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0093D5"/>
          <w:spacing w:val="40"/>
          <w:sz w:val="18"/>
          <w:szCs w:val="18"/>
        </w:rPr>
        <w:t xml:space="preserve">PREPAREDNESS DATA EXCHANGE  ·  TECHNICAL BRIEF</w:t>
      </w:r>
    </w:p>
    <w:p>
      <w:pPr>
        <w:spacing w:after="100" w:before="200"/>
      </w:pPr>
      <w:r>
        <w:rPr>
          <w:rFonts w:ascii="Arial" w:cs="Arial" w:eastAsia="Arial" w:hAnsi="Arial"/>
          <w:b/>
          <w:bCs/>
          <w:color w:val="003B6F"/>
          <w:sz w:val="44"/>
          <w:szCs w:val="44"/>
        </w:rPr>
        <w:t xml:space="preserve">Integrating the wbepi Stochastic Epidemic Engine into the PDX Predictions Dashboard</w:t>
      </w:r>
    </w:p>
    <w:p>
      <w:pPr>
        <w:spacing w:after="600" w:before="80"/>
      </w:pPr>
      <w:r>
        <w:rPr>
          <w:rFonts w:ascii="Arial" w:cs="Arial" w:eastAsia="Arial" w:hAnsi="Arial"/>
          <w:i/>
          <w:iCs/>
          <w:color w:val="5A5A5A"/>
          <w:sz w:val="24"/>
          <w:szCs w:val="24"/>
        </w:rPr>
        <w:t xml:space="preserve">A scoping and integration brief for the PDX full-stack engineering team</w:t>
      </w:r>
    </w:p>
    <w:p>
      <w:pPr>
        <w:pBdr>
          <w:bottom w:val="single" w:color="0093D5" w:sz="12" w:space="8"/>
        </w:pBdr>
      </w:pPr>
      <w:r>
        <w:rPr>
          <w:rFonts w:ascii="Arial" w:cs="Arial" w:eastAsia="Arial" w:hAnsi="Arial"/>
        </w:rPr>
        <w:t xml:space="preserve"/>
      </w:r>
    </w:p>
    <w:p>
      <w:pPr>
        <w:spacing w:before="200"/>
      </w:pPr>
      <w:r>
        <w:rPr>
          <w:rFonts w:ascii="Arial" w:cs="Arial" w:eastAsia="Arial" w:hAnsi="Arial"/>
          <w:b/>
          <w:bCs/>
          <w:color w:val="1A1A1A"/>
          <w:sz w:val="22"/>
          <w:szCs w:val="22"/>
        </w:rPr>
        <w:t xml:space="preserve">Source package:  </w:t>
      </w:r>
      <w:r>
        <w:rPr>
          <w:rFonts w:ascii="Arial" w:cs="Arial" w:eastAsia="Arial" w:hAnsi="Arial"/>
          <w:color w:val="2C2C2C"/>
          <w:sz w:val="22"/>
          <w:szCs w:val="22"/>
        </w:rPr>
        <w:t xml:space="preserve">wbepi  ·  World Bank Group / London School of Tropical Medicine (LSTM)</w:t>
      </w:r>
    </w:p>
    <w:p>
      <w:pPr>
        <w:spacing w:before="80"/>
      </w:pPr>
      <w:r>
        <w:rPr>
          <w:rFonts w:ascii="Arial" w:cs="Arial" w:eastAsia="Arial" w:hAnsi="Arial"/>
          <w:b/>
          <w:bCs/>
          <w:color w:val="1A1A1A"/>
          <w:sz w:val="22"/>
          <w:szCs w:val="22"/>
        </w:rPr>
        <w:t xml:space="preserve">Author of source:  </w:t>
      </w:r>
      <w:r>
        <w:rPr>
          <w:rFonts w:ascii="Arial" w:cs="Arial" w:eastAsia="Arial" w:hAnsi="Arial"/>
          <w:color w:val="2C2C2C"/>
          <w:sz w:val="22"/>
          <w:szCs w:val="22"/>
        </w:rPr>
        <w:t xml:space="preserve">Thibaut Jombart (LSTM)</w:t>
      </w:r>
    </w:p>
    <w:p>
      <w:pPr>
        <w:spacing w:before="80"/>
      </w:pPr>
      <w:r>
        <w:rPr>
          <w:rFonts w:ascii="Arial" w:cs="Arial" w:eastAsia="Arial" w:hAnsi="Arial"/>
          <w:b/>
          <w:bCs/>
          <w:color w:val="1A1A1A"/>
          <w:sz w:val="22"/>
          <w:szCs w:val="22"/>
        </w:rPr>
        <w:t xml:space="preserve">Brief author:  </w:t>
      </w:r>
      <w:r>
        <w:rPr>
          <w:rFonts w:ascii="Arial" w:cs="Arial" w:eastAsia="Arial" w:hAnsi="Arial"/>
          <w:color w:val="2C2C2C"/>
          <w:sz w:val="22"/>
          <w:szCs w:val="22"/>
        </w:rPr>
        <w:t xml:space="preserve">Isaias Fernandes CO  ·  Machine Learning Specialist, WHO AFRO</w:t>
      </w:r>
    </w:p>
    <w:p>
      <w:pPr>
        <w:spacing w:before="80"/>
      </w:pPr>
      <w:r>
        <w:rPr>
          <w:rFonts w:ascii="Arial" w:cs="Arial" w:eastAsia="Arial" w:hAnsi="Arial"/>
          <w:b/>
          <w:bCs/>
          <w:color w:val="1A1A1A"/>
          <w:sz w:val="22"/>
          <w:szCs w:val="22"/>
        </w:rPr>
        <w:t xml:space="preserve">Audience:  </w:t>
      </w:r>
      <w:r>
        <w:rPr>
          <w:rFonts w:ascii="Arial" w:cs="Arial" w:eastAsia="Arial" w:hAnsi="Arial"/>
          <w:color w:val="2C2C2C"/>
          <w:sz w:val="22"/>
          <w:szCs w:val="22"/>
        </w:rPr>
        <w:t xml:space="preserve">PDX full-stack development team</w:t>
      </w:r>
    </w:p>
    <w:p>
      <w:pPr>
        <w:spacing w:after="400" w:before="80"/>
      </w:pPr>
      <w:r>
        <w:rPr>
          <w:rFonts w:ascii="Arial" w:cs="Arial" w:eastAsia="Arial" w:hAnsi="Arial"/>
          <w:b/>
          <w:bCs/>
          <w:color w:val="1A1A1A"/>
          <w:sz w:val="22"/>
          <w:szCs w:val="22"/>
        </w:rPr>
        <w:t xml:space="preserve">Status:  </w:t>
      </w:r>
      <w:r>
        <w:rPr>
          <w:rFonts w:ascii="Arial" w:cs="Arial" w:eastAsia="Arial" w:hAnsi="Arial"/>
          <w:color w:val="2C2C2C"/>
          <w:sz w:val="22"/>
          <w:szCs w:val="22"/>
        </w:rPr>
        <w:t xml:space="preserve">Internal scoping document  ·  PDX Phase III</w:t>
      </w:r>
    </w:p>
    <w:p>
      <w:r>
        <w:br w:type="page"/>
      </w:r>
    </w:p>
    <w:p>
      <w:pPr>
        <w:pStyle w:val="Heading1"/>
        <w:pBdr>
          <w:bottom w:val="single" w:color="0093D5" w:sz="8" w:space="4"/>
        </w:pBdr>
        <w:spacing w:after="200" w:before="360"/>
      </w:pPr>
      <w:r>
        <w:rPr>
          <w:rFonts w:ascii="Arial" w:cs="Arial" w:eastAsia="Arial" w:hAnsi="Arial"/>
          <w:b/>
          <w:bCs/>
          <w:color w:val="003B6F"/>
          <w:sz w:val="32"/>
          <w:szCs w:val="32"/>
        </w:rPr>
        <w:t xml:space="preserve">1.  Executive summary</w:t>
      </w:r>
    </w:p>
    <w:p>
      <w:pPr>
        <w:spacing w:after="120" w:before="80" w:line="320"/>
        <w:jc w:val="both"/>
      </w:pPr>
      <w:r>
        <w:rPr>
          <w:rFonts w:ascii="Arial" w:cs="Arial" w:eastAsia="Arial" w:hAnsi="Arial"/>
          <w:color w:val="2C2C2C"/>
        </w:rPr>
        <w:t xml:space="preserve">The </w:t>
      </w:r>
      <w:r>
        <w:rPr>
          <w:rFonts w:ascii="Arial" w:cs="Arial" w:eastAsia="Arial" w:hAnsi="Arial"/>
          <w:b/>
          <w:bCs/>
          <w:color w:val="2C2C2C"/>
        </w:rPr>
        <w:t xml:space="preserve">wbepi</w:t>
      </w:r>
      <w:r>
        <w:rPr>
          <w:rFonts w:ascii="Arial" w:cs="Arial" w:eastAsia="Arial" w:hAnsi="Arial"/>
          <w:color w:val="2C2C2C"/>
        </w:rPr>
        <w:t xml:space="preserve"> package is a stochastic compartmental epidemic simulator developed by the World Bank Group with technical authorship from the London School of Tropical Medicine. The handover used the abbreviation </w:t>
      </w:r>
      <w:r>
        <w:rPr>
          <w:rFonts w:ascii="Arial" w:cs="Arial" w:eastAsia="Arial" w:hAnsi="Arial"/>
          <w:b/>
          <w:bCs/>
          <w:color w:val="2C2C2C"/>
        </w:rPr>
        <w:t xml:space="preserve">LSTM</w:t>
      </w:r>
      <w:r>
        <w:rPr>
          <w:rFonts w:ascii="Arial" w:cs="Arial" w:eastAsia="Arial" w:hAnsi="Arial"/>
          <w:color w:val="2C2C2C"/>
        </w:rPr>
        <w:t xml:space="preserve"> — this refers to the </w:t>
      </w:r>
      <w:r>
        <w:rPr>
          <w:rFonts w:ascii="Arial" w:cs="Arial" w:eastAsia="Arial" w:hAnsi="Arial"/>
          <w:b/>
          <w:bCs/>
          <w:i/>
          <w:iCs/>
          <w:color w:val="2C2C2C"/>
        </w:rPr>
        <w:t xml:space="preserve">London School of Tropical Medicine</w:t>
      </w:r>
      <w:r>
        <w:rPr>
          <w:rFonts w:ascii="Arial" w:cs="Arial" w:eastAsia="Arial" w:hAnsi="Arial"/>
          <w:color w:val="2C2C2C"/>
        </w:rPr>
        <w:t xml:space="preserve">, not to the deep-learning architecture of the same acronym. The package is a classical mechanistic epidemiological model implemented in R, with the numerical core compiled to C through the </w:t>
      </w:r>
      <w:r>
        <w:rPr>
          <w:rFonts w:ascii="Arial" w:cs="Arial" w:eastAsia="Arial" w:hAnsi="Arial"/>
          <w:i/>
          <w:iCs/>
          <w:color w:val="2C2C2C"/>
        </w:rPr>
        <w:t xml:space="preserve">odin</w:t>
      </w:r>
      <w:r>
        <w:rPr>
          <w:rFonts w:ascii="Arial" w:cs="Arial" w:eastAsia="Arial" w:hAnsi="Arial"/>
          <w:color w:val="2C2C2C"/>
        </w:rPr>
        <w:t xml:space="preserve"> framework for performance.</w:t>
      </w:r>
    </w:p>
    <w:p>
      <w:pPr>
        <w:spacing w:after="120" w:before="80" w:line="320"/>
        <w:jc w:val="both"/>
      </w:pPr>
      <w:r>
        <w:rPr>
          <w:rFonts w:ascii="Arial" w:cs="Arial" w:eastAsia="Arial" w:hAnsi="Arial"/>
          <w:color w:val="2C2C2C"/>
        </w:rPr>
        <w:t xml:space="preserve">The model implements a </w:t>
      </w:r>
      <w:r>
        <w:rPr>
          <w:rFonts w:ascii="Arial" w:cs="Arial" w:eastAsia="Arial" w:hAnsi="Arial"/>
          <w:b/>
          <w:bCs/>
          <w:color w:val="2C2C2C"/>
        </w:rPr>
        <w:t xml:space="preserve">six-compartment SEIRDV system</w:t>
      </w:r>
      <w:r>
        <w:rPr>
          <w:rFonts w:ascii="Arial" w:cs="Arial" w:eastAsia="Arial" w:hAnsi="Arial"/>
          <w:color w:val="2C2C2C"/>
        </w:rPr>
        <w:t xml:space="preserve"> — Susceptible, Exposed, Infectious, Recovered, Dead, Vaccinated — over a metapopulation of arbitrary size, with spatial diffusion of the force of infection between populations and a built-in reactive intervention layer. It is well suited as a </w:t>
      </w:r>
      <w:r>
        <w:rPr>
          <w:rFonts w:ascii="Arial" w:cs="Arial" w:eastAsia="Arial" w:hAnsi="Arial"/>
          <w:b/>
          <w:bCs/>
          <w:color w:val="2C2C2C"/>
        </w:rPr>
        <w:t xml:space="preserve">counterfactual scenario engine</w:t>
      </w:r>
      <w:r>
        <w:rPr>
          <w:rFonts w:ascii="Arial" w:cs="Arial" w:eastAsia="Arial" w:hAnsi="Arial"/>
          <w:color w:val="2C2C2C"/>
        </w:rPr>
        <w:t xml:space="preserve"> for the PDX Predictions dashboard, where it would complement existing forecasting models by answering questions of the form: </w:t>
      </w:r>
      <w:r>
        <w:rPr>
          <w:rFonts w:ascii="Arial" w:cs="Arial" w:eastAsia="Arial" w:hAnsi="Arial"/>
          <w:i/>
          <w:iCs/>
          <w:color w:val="2C2C2C"/>
        </w:rPr>
        <w:t xml:space="preserve">“if we trigger ring vaccination seven days after detection in District X, with two hundred contacts vaccinated per case, what is the distribution of outbreak sizes over the next ninety days versus doing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3D5" w:sz="4"/>
              <w:left w:val="single" w:color="0093D5" w:sz="24"/>
              <w:bottom w:val="single" w:color="0093D5" w:sz="4"/>
              <w:right w:val="single" w:color="0093D5" w:sz="4"/>
            </w:tcBorders>
            <w:shd w:fill="EAF4FB" w:val="clear"/>
            <w:tcMar>
              <w:top w:type="dxa" w:w="160"/>
              <w:left w:type="dxa" w:w="220"/>
              <w:bottom w:type="dxa" w:w="160"/>
              <w:right w:type="dxa" w:w="220"/>
            </w:tcMar>
          </w:tcPr>
          <w:p>
            <w:pPr>
              <w:spacing w:after="80"/>
            </w:pPr>
            <w:r>
              <w:rPr>
                <w:rFonts w:ascii="Arial" w:cs="Arial" w:eastAsia="Arial" w:hAnsi="Arial"/>
                <w:b/>
                <w:bCs/>
                <w:color w:val="0093D5"/>
                <w:sz w:val="22"/>
                <w:szCs w:val="22"/>
              </w:rPr>
              <w:t xml:space="preserve">Key takeaway</w:t>
            </w:r>
          </w:p>
          <w:p>
            <w:pPr>
              <w:spacing w:after="40" w:before="40" w:line="300"/>
            </w:pPr>
            <w:r>
              <w:rPr>
                <w:rFonts w:ascii="Arial" w:cs="Arial" w:eastAsia="Arial" w:hAnsi="Arial"/>
                <w:color w:val="2C2C2C"/>
                <w:sz w:val="22"/>
                <w:szCs w:val="22"/>
              </w:rPr>
              <w:t xml:space="preserve">wbepi is a counterfactual scenario engine, not a forecaster. It does not predict whether an outbreak will start. It quantifies what would happen under each candidate response, with full uncertainty bands. This is exactly the analytical layer required before cost-effectiveness analysis can be embedded into PDX.</w:t>
            </w:r>
          </w:p>
        </w:tc>
      </w:tr>
    </w:tbl>
    <w:p>
      <w:r>
        <w:br w:type="page"/>
      </w:r>
    </w:p>
    <w:p>
      <w:pPr>
        <w:pStyle w:val="Heading1"/>
        <w:pBdr>
          <w:bottom w:val="single" w:color="0093D5" w:sz="8" w:space="4"/>
        </w:pBdr>
        <w:spacing w:after="200" w:before="360"/>
      </w:pPr>
      <w:r>
        <w:rPr>
          <w:rFonts w:ascii="Arial" w:cs="Arial" w:eastAsia="Arial" w:hAnsi="Arial"/>
          <w:b/>
          <w:bCs/>
          <w:color w:val="003B6F"/>
          <w:sz w:val="32"/>
          <w:szCs w:val="32"/>
        </w:rPr>
        <w:t xml:space="preserve">2.  What the model is</w:t>
      </w:r>
    </w:p>
    <w:p>
      <w:pPr>
        <w:pStyle w:val="Heading2"/>
        <w:spacing w:after="140" w:before="280"/>
      </w:pPr>
      <w:r>
        <w:rPr>
          <w:rFonts w:ascii="Arial" w:cs="Arial" w:eastAsia="Arial" w:hAnsi="Arial"/>
          <w:b/>
          <w:bCs/>
          <w:color w:val="005B96"/>
          <w:sz w:val="26"/>
          <w:szCs w:val="26"/>
        </w:rPr>
        <w:t xml:space="preserve">2.1  Origin and authorship</w:t>
      </w:r>
    </w:p>
    <w:p>
      <w:pPr>
        <w:spacing w:after="120" w:before="80" w:line="320"/>
        <w:jc w:val="both"/>
      </w:pPr>
      <w:r>
        <w:rPr>
          <w:rFonts w:ascii="Arial" w:cs="Arial" w:eastAsia="Arial" w:hAnsi="Arial"/>
          <w:color w:val="2C2C2C"/>
        </w:rPr>
        <w:t xml:space="preserve">The repository ships as an R package named </w:t>
      </w:r>
      <w:r>
        <w:rPr>
          <w:rFonts w:ascii="Arial" w:cs="Arial" w:eastAsia="Arial" w:hAnsi="Arial"/>
          <w:b/>
          <w:bCs/>
          <w:color w:val="2C2C2C"/>
        </w:rPr>
        <w:t xml:space="preserve">wbepi</w:t>
      </w:r>
      <w:r>
        <w:rPr>
          <w:rFonts w:ascii="Arial" w:cs="Arial" w:eastAsia="Arial" w:hAnsi="Arial"/>
          <w:color w:val="2C2C2C"/>
        </w:rPr>
        <w:t xml:space="preserve"> (“World Bank Epidemics”), version 0.1.0.999, MIT-licensed. Sole author of record is Thibaut Jombart, a senior epidemiologist with longstanding affiliation to LSTM and previous appointments at the WHO Health Emergencies Programme. The package depends on </w:t>
      </w:r>
      <w:r>
        <w:rPr>
          <w:rFonts w:ascii="Arial" w:cs="Arial" w:eastAsia="Arial" w:hAnsi="Arial"/>
          <w:i/>
          <w:iCs/>
          <w:color w:val="2C2C2C"/>
        </w:rPr>
        <w:t xml:space="preserve">odin</w:t>
      </w:r>
      <w:r>
        <w:rPr>
          <w:rFonts w:ascii="Arial" w:cs="Arial" w:eastAsia="Arial" w:hAnsi="Arial"/>
          <w:color w:val="2C2C2C"/>
        </w:rPr>
        <w:t xml:space="preserve"> (developed by the MRC Centre for Global Infectious Disease Analysis at Imperial College), which transpiles a domain-specific R syntax into compiled C code at runtime.</w:t>
      </w:r>
    </w:p>
    <w:p>
      <w:pPr>
        <w:pStyle w:val="Heading2"/>
        <w:spacing w:after="140" w:before="280"/>
      </w:pPr>
      <w:r>
        <w:rPr>
          <w:rFonts w:ascii="Arial" w:cs="Arial" w:eastAsia="Arial" w:hAnsi="Arial"/>
          <w:b/>
          <w:bCs/>
          <w:color w:val="005B96"/>
          <w:sz w:val="26"/>
          <w:szCs w:val="26"/>
        </w:rPr>
        <w:t xml:space="preserve">2.2  Model class</w:t>
      </w:r>
    </w:p>
    <w:p>
      <w:pPr>
        <w:spacing w:after="120" w:before="80" w:line="320"/>
        <w:jc w:val="both"/>
      </w:pPr>
      <w:r>
        <w:rPr>
          <w:rFonts w:ascii="Arial" w:cs="Arial" w:eastAsia="Arial" w:hAnsi="Arial"/>
          <w:color w:val="2C2C2C"/>
        </w:rPr>
        <w:t xml:space="preserve">The model is a </w:t>
      </w:r>
      <w:r>
        <w:rPr>
          <w:rFonts w:ascii="Arial" w:cs="Arial" w:eastAsia="Arial" w:hAnsi="Arial"/>
          <w:b/>
          <w:bCs/>
          <w:color w:val="2C2C2C"/>
        </w:rPr>
        <w:t xml:space="preserve">discrete-time, stochastic, frequency-dependent SEIRDV compartmental model with spatial metapopulation structure and reactive intervention dynamics</w:t>
      </w:r>
      <w:r>
        <w:rPr>
          <w:rFonts w:ascii="Arial" w:cs="Arial" w:eastAsia="Arial" w:hAnsi="Arial"/>
          <w:color w:val="2C2C2C"/>
        </w:rPr>
        <w:t xml:space="preserve">. The six compartments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Compartment</w:t>
            </w:r>
          </w:p>
        </w:tc>
        <w:tc>
          <w:tcPr>
            <w:tcW w:type="dxa" w:w="624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Meaning</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S</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Susceptible individuals</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E</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Exposed — infected but not yet infectious (incubating)</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I</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Infectious — currently transmitting</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R</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Recovered — no longer infectious, assumed immune</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D</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Deceased from the disease</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V</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Vaccinated — protected, removed from S</w:t>
            </w:r>
          </w:p>
        </w:tc>
      </w:tr>
    </w:tbl>
    <w:p>
      <w:pPr>
        <w:pStyle w:val="Heading3"/>
        <w:spacing w:after="100" w:before="200"/>
      </w:pPr>
      <w:r>
        <w:rPr>
          <w:rFonts w:ascii="Arial" w:cs="Arial" w:eastAsia="Arial" w:hAnsi="Arial"/>
          <w:b/>
          <w:bCs/>
          <w:color w:val="1A1A1A"/>
          <w:sz w:val="22"/>
          <w:szCs w:val="22"/>
        </w:rPr>
        <w:t xml:space="preserve">2.2.1  Stochasticity</w:t>
      </w:r>
    </w:p>
    <w:p>
      <w:pPr>
        <w:spacing w:after="120" w:before="80" w:line="320"/>
        <w:jc w:val="both"/>
      </w:pPr>
      <w:r>
        <w:rPr>
          <w:rFonts w:ascii="Arial" w:cs="Arial" w:eastAsia="Arial" w:hAnsi="Arial"/>
          <w:color w:val="2C2C2C"/>
        </w:rPr>
        <w:t xml:space="preserve">Transitions between compartments are not solved as a deterministic ordinary differential equation. At every daily time step, the number of individuals moving between compartments is drawn from a Binomial distribution with probability </w:t>
      </w:r>
      <w:r>
        <w:rPr>
          <w:rFonts w:ascii="Arial" w:cs="Arial" w:eastAsia="Arial" w:hAnsi="Arial"/>
          <w:i/>
          <w:iCs/>
          <w:color w:val="2C2C2C"/>
        </w:rPr>
        <w:t xml:space="preserve">1 − exp(−λ)</w:t>
      </w:r>
      <w:r>
        <w:rPr>
          <w:rFonts w:ascii="Arial" w:cs="Arial" w:eastAsia="Arial" w:hAnsi="Arial"/>
          <w:color w:val="2C2C2C"/>
        </w:rPr>
        <w:t xml:space="preserve">, where λ is the relevant individual-level transition rate. When two destinations are possible from the same source compartment (for example, an infectious individual either recovers or dies), nested Binomial draws are used. The practical consequence is that running the simulator </w:t>
      </w:r>
      <w:r>
        <w:rPr>
          <w:rFonts w:ascii="Consolas" w:cs="Consolas" w:eastAsia="Consolas" w:hAnsi="Consolas"/>
          <w:color w:val="2C2C2C"/>
        </w:rPr>
        <w:t xml:space="preserve">n_sims</w:t>
      </w:r>
      <w:r>
        <w:rPr>
          <w:rFonts w:ascii="Arial" w:cs="Arial" w:eastAsia="Arial" w:hAnsi="Arial"/>
          <w:color w:val="2C2C2C"/>
        </w:rPr>
        <w:t xml:space="preserve"> times yields a distribution of trajectories rather than a single deterministic curve — which is precisely what is needed for credible decision support and for cost-effectiveness analysis under uncertainty.</w:t>
      </w:r>
    </w:p>
    <w:p>
      <w:pPr>
        <w:pStyle w:val="Heading3"/>
        <w:spacing w:after="100" w:before="200"/>
      </w:pPr>
      <w:r>
        <w:rPr>
          <w:rFonts w:ascii="Arial" w:cs="Arial" w:eastAsia="Arial" w:hAnsi="Arial"/>
          <w:b/>
          <w:bCs/>
          <w:color w:val="1A1A1A"/>
          <w:sz w:val="22"/>
          <w:szCs w:val="22"/>
        </w:rPr>
        <w:t xml:space="preserve">2.2.2  Spatial metapopulation</w:t>
      </w:r>
    </w:p>
    <w:p>
      <w:pPr>
        <w:spacing w:after="120" w:before="80" w:line="320"/>
        <w:jc w:val="both"/>
      </w:pPr>
      <w:r>
        <w:rPr>
          <w:rFonts w:ascii="Arial" w:cs="Arial" w:eastAsia="Arial" w:hAnsi="Arial"/>
          <w:color w:val="2C2C2C"/>
        </w:rPr>
        <w:t xml:space="preserve">The simulator supports an arbitrary number of linked populations — these can map to administrative units (districts, provinces, countries) at any granularity. Connectivity is encoded as a row-standardised </w:t>
      </w:r>
      <w:r>
        <w:rPr>
          <w:rFonts w:ascii="Arial" w:cs="Arial" w:eastAsia="Arial" w:hAnsi="Arial"/>
          <w:i/>
          <w:iCs/>
          <w:color w:val="2C2C2C"/>
        </w:rPr>
        <w:t xml:space="preserve">K × K</w:t>
      </w:r>
      <w:r>
        <w:rPr>
          <w:rFonts w:ascii="Arial" w:cs="Arial" w:eastAsia="Arial" w:hAnsi="Arial"/>
          <w:color w:val="2C2C2C"/>
        </w:rPr>
        <w:t xml:space="preserve"> matrix δ where δᵢⱼ is the proportion of force of infection generated in population </w:t>
      </w:r>
      <w:r>
        <w:rPr>
          <w:rFonts w:ascii="Arial" w:cs="Arial" w:eastAsia="Arial" w:hAnsi="Arial"/>
          <w:i/>
          <w:iCs/>
          <w:color w:val="2C2C2C"/>
        </w:rPr>
        <w:t xml:space="preserve">i</w:t>
      </w:r>
      <w:r>
        <w:rPr>
          <w:rFonts w:ascii="Arial" w:cs="Arial" w:eastAsia="Arial" w:hAnsi="Arial"/>
          <w:color w:val="2C2C2C"/>
        </w:rPr>
        <w:t xml:space="preserve"> that seeds infections in population </w:t>
      </w:r>
      <w:r>
        <w:rPr>
          <w:rFonts w:ascii="Arial" w:cs="Arial" w:eastAsia="Arial" w:hAnsi="Arial"/>
          <w:i/>
          <w:iCs/>
          <w:color w:val="2C2C2C"/>
        </w:rPr>
        <w:t xml:space="preserve">j</w:t>
      </w:r>
      <w:r>
        <w:rPr>
          <w:rFonts w:ascii="Arial" w:cs="Arial" w:eastAsia="Arial" w:hAnsi="Arial"/>
          <w:color w:val="2C2C2C"/>
        </w:rPr>
        <w:t xml:space="preserve">. Crucially, </w:t>
      </w:r>
      <w:r>
        <w:rPr>
          <w:rFonts w:ascii="Arial" w:cs="Arial" w:eastAsia="Arial" w:hAnsi="Arial"/>
          <w:b/>
          <w:bCs/>
          <w:color w:val="2C2C2C"/>
        </w:rPr>
        <w:t xml:space="preserve">individuals do not move between populations</w:t>
      </w:r>
      <w:r>
        <w:rPr>
          <w:rFonts w:ascii="Arial" w:cs="Arial" w:eastAsia="Arial" w:hAnsi="Arial"/>
          <w:color w:val="2C2C2C"/>
        </w:rPr>
        <w:t xml:space="preserve"> — only the force of infection diffuses. This is the standard simplifying assumption for short-horizon outbreak modelling and avoids the heavy data requirements of an agent-based mobility model.</w:t>
      </w:r>
    </w:p>
    <w:p>
      <w:pPr>
        <w:pStyle w:val="Heading3"/>
        <w:spacing w:after="100" w:before="200"/>
      </w:pPr>
      <w:r>
        <w:rPr>
          <w:rFonts w:ascii="Arial" w:cs="Arial" w:eastAsia="Arial" w:hAnsi="Arial"/>
          <w:b/>
          <w:bCs/>
          <w:color w:val="1A1A1A"/>
          <w:sz w:val="22"/>
          <w:szCs w:val="22"/>
        </w:rPr>
        <w:t xml:space="preserve">2.2.3  Reactive intervention layer</w:t>
      </w:r>
    </w:p>
    <w:p>
      <w:pPr>
        <w:spacing w:after="120" w:before="80" w:line="320"/>
        <w:jc w:val="both"/>
      </w:pPr>
      <w:r>
        <w:rPr>
          <w:rFonts w:ascii="Arial" w:cs="Arial" w:eastAsia="Arial" w:hAnsi="Arial"/>
          <w:color w:val="2C2C2C"/>
        </w:rPr>
        <w:t xml:space="preserve">Each population operates in one of two states: naive (no response active) or response. A population transitions into response mode </w:t>
      </w:r>
      <w:r>
        <w:rPr>
          <w:rFonts w:ascii="Consolas" w:cs="Consolas" w:eastAsia="Consolas" w:hAnsi="Consolas"/>
          <w:color w:val="2C2C2C"/>
        </w:rPr>
        <w:t xml:space="preserve">interv_delay</w:t>
      </w:r>
      <w:r>
        <w:rPr>
          <w:rFonts w:ascii="Arial" w:cs="Arial" w:eastAsia="Arial" w:hAnsi="Arial"/>
          <w:color w:val="2C2C2C"/>
        </w:rPr>
        <w:t xml:space="preserve"> days after its first detected case, and exits response mode after </w:t>
      </w:r>
      <w:r>
        <w:rPr>
          <w:rFonts w:ascii="Consolas" w:cs="Consolas" w:eastAsia="Consolas" w:hAnsi="Consolas"/>
          <w:color w:val="2C2C2C"/>
        </w:rPr>
        <w:t xml:space="preserve">interv_release</w:t>
      </w:r>
      <w:r>
        <w:rPr>
          <w:rFonts w:ascii="Arial" w:cs="Arial" w:eastAsia="Arial" w:hAnsi="Arial"/>
          <w:color w:val="2C2C2C"/>
        </w:rPr>
        <w:t xml:space="preserve"> consecutive days with zero infectious individuals. Two intervention components are active during response:</w:t>
      </w:r>
    </w:p>
    <w:p>
      <w:pPr>
        <w:pStyle w:val="ListParagraph"/>
        <w:numPr>
          <w:ilvl w:val="0"/>
          <w:numId w:val="2"/>
        </w:numPr>
        <w:spacing w:after="40" w:before="40" w:line="300"/>
      </w:pPr>
      <w:r>
        <w:rPr>
          <w:rFonts w:ascii="Arial" w:cs="Arial" w:eastAsia="Arial" w:hAnsi="Arial"/>
          <w:color w:val="2C2C2C"/>
        </w:rPr>
        <w:t xml:space="preserve">Transmission reduction — β is multiplied by (1 − interv_efficacy), representing the aggregate effect of contact tracing, isolation, communication, and non-pharmaceutical interventions.</w:t>
      </w:r>
    </w:p>
    <w:p>
      <w:pPr>
        <w:pStyle w:val="ListParagraph"/>
        <w:numPr>
          <w:ilvl w:val="0"/>
          <w:numId w:val="2"/>
        </w:numPr>
        <w:spacing w:after="40" w:before="40" w:line="300"/>
      </w:pPr>
      <w:r>
        <w:rPr>
          <w:rFonts w:ascii="Arial" w:cs="Arial" w:eastAsia="Arial" w:hAnsi="Arial"/>
          <w:color w:val="2C2C2C"/>
        </w:rPr>
        <w:t xml:space="preserve">Reactive vaccination — implemented in two modes: global (a fixed daily proportion of susceptibles is vaccinated) or targeted (an average of target_size individuals is vaccinated per infectious case, parameterisable as a ring around each detected case).</w:t>
      </w:r>
    </w:p>
    <w:p>
      <w:pPr>
        <w:spacing w:after="120" w:before="80" w:line="320"/>
        <w:jc w:val="both"/>
      </w:pPr>
      <w:r>
        <w:rPr>
          <w:rFonts w:ascii="Arial" w:cs="Arial" w:eastAsia="Arial" w:hAnsi="Arial"/>
          <w:color w:val="2C2C2C"/>
        </w:rPr>
        <w:t xml:space="preserve">This intervention logic maps cleanly onto how Member State responses to cholera, Mpox, Ebola, measles and meningitis are operationally structured, which is one of the strongest arguments for adopting this engine over a generic textbook SEIR.</w:t>
      </w:r>
    </w:p>
    <w:p>
      <w:pPr>
        <w:pStyle w:val="Heading2"/>
        <w:spacing w:after="140" w:before="280"/>
      </w:pPr>
      <w:r>
        <w:rPr>
          <w:rFonts w:ascii="Arial" w:cs="Arial" w:eastAsia="Arial" w:hAnsi="Arial"/>
          <w:b/>
          <w:bCs/>
          <w:color w:val="005B96"/>
          <w:sz w:val="26"/>
          <w:szCs w:val="26"/>
        </w:rPr>
        <w:t xml:space="preserve">2.3  Inputs and outputs</w:t>
      </w:r>
    </w:p>
    <w:p>
      <w:pPr>
        <w:spacing w:after="120" w:before="80" w:line="320"/>
        <w:jc w:val="both"/>
      </w:pPr>
      <w:r>
        <w:rPr>
          <w:rFonts w:ascii="Arial" w:cs="Arial" w:eastAsia="Arial" w:hAnsi="Arial"/>
          <w:color w:val="2C2C2C"/>
        </w:rPr>
        <w:t xml:space="preserve">The single user-facing entry point is the </w:t>
      </w:r>
      <w:r>
        <w:rPr>
          <w:rFonts w:ascii="Consolas" w:cs="Consolas" w:eastAsia="Consolas" w:hAnsi="Consolas"/>
          <w:b/>
          <w:bCs/>
          <w:color w:val="2C2C2C"/>
        </w:rPr>
        <w:t xml:space="preserve">run_seirdv()</w:t>
      </w:r>
      <w:r>
        <w:rPr>
          <w:rFonts w:ascii="Arial" w:cs="Arial" w:eastAsia="Arial" w:hAnsi="Arial"/>
          <w:color w:val="2C2C2C"/>
        </w:rPr>
        <w:t xml:space="preserve"> function. It accepts initial compartment sizes per population, the transmission and progression rate parameters (β, σ, γ, μ), routine and reactive vaccination parameters, the spatial diffusion specification (either uniform or via an explicit δ matrix), the intervention configuration, the simulation horizon in days, and the number of independent stochastic simulations. Output is a long-format table with columns for simulation index, time step, and per-population values of every compartment plus the response status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3D5" w:sz="4"/>
              <w:left w:val="single" w:color="0093D5" w:sz="24"/>
              <w:bottom w:val="single" w:color="0093D5" w:sz="4"/>
              <w:right w:val="single" w:color="0093D5" w:sz="4"/>
            </w:tcBorders>
            <w:shd w:fill="EAF4FB" w:val="clear"/>
            <w:tcMar>
              <w:top w:type="dxa" w:w="160"/>
              <w:left w:type="dxa" w:w="220"/>
              <w:bottom w:type="dxa" w:w="160"/>
              <w:right w:type="dxa" w:w="220"/>
            </w:tcMar>
          </w:tcPr>
          <w:p>
            <w:pPr>
              <w:spacing w:after="80"/>
            </w:pPr>
            <w:r>
              <w:rPr>
                <w:rFonts w:ascii="Arial" w:cs="Arial" w:eastAsia="Arial" w:hAnsi="Arial"/>
                <w:b/>
                <w:bCs/>
                <w:color w:val="0093D5"/>
                <w:sz w:val="22"/>
                <w:szCs w:val="22"/>
              </w:rPr>
              <w:t xml:space="preserve">What the toy dataset shows</w:t>
            </w:r>
          </w:p>
          <w:p>
            <w:pPr>
              <w:spacing w:after="40" w:before="40" w:line="300"/>
            </w:pPr>
            <w:r>
              <w:rPr>
                <w:rFonts w:ascii="Arial" w:cs="Arial" w:eastAsia="Arial" w:hAnsi="Arial"/>
                <w:color w:val="2C2C2C"/>
                <w:sz w:val="22"/>
                <w:szCs w:val="22"/>
              </w:rPr>
              <w:t xml:space="preserve">The shipped toy_data.xlsx contains a 4-population × 365-day × 10-simulation run, totalling 3,650 rows and 30 columns. This is the canonical output shape: one row per (simulation, time step) combination, with compartment values indexed by population. Any PDX integration must accept and visualise data in this shape.</w:t>
            </w:r>
          </w:p>
        </w:tc>
      </w:tr>
    </w:tbl>
    <w:p>
      <w:r>
        <w:br w:type="page"/>
      </w:r>
    </w:p>
    <w:p>
      <w:pPr>
        <w:pStyle w:val="Heading1"/>
        <w:pBdr>
          <w:bottom w:val="single" w:color="0093D5" w:sz="8" w:space="4"/>
        </w:pBdr>
        <w:spacing w:after="200" w:before="360"/>
      </w:pPr>
      <w:r>
        <w:rPr>
          <w:rFonts w:ascii="Arial" w:cs="Arial" w:eastAsia="Arial" w:hAnsi="Arial"/>
          <w:b/>
          <w:bCs/>
          <w:color w:val="003B6F"/>
          <w:sz w:val="32"/>
          <w:szCs w:val="32"/>
        </w:rPr>
        <w:t xml:space="preserve">3.  Honest assessment of strengths and limitations</w:t>
      </w:r>
    </w:p>
    <w:p>
      <w:pPr>
        <w:spacing w:after="120" w:before="80" w:line="320"/>
        <w:jc w:val="both"/>
      </w:pPr>
      <w:r>
        <w:rPr>
          <w:rFonts w:ascii="Arial" w:cs="Arial" w:eastAsia="Arial" w:hAnsi="Arial"/>
          <w:color w:val="2C2C2C"/>
        </w:rPr>
        <w:t xml:space="preserve">Before recommending integration, it is important to be candid about what this engine does and does not provide. Both will inform the build plan.</w:t>
      </w:r>
    </w:p>
    <w:p>
      <w:pPr>
        <w:pStyle w:val="Heading2"/>
        <w:spacing w:after="140" w:before="280"/>
      </w:pPr>
      <w:r>
        <w:rPr>
          <w:rFonts w:ascii="Arial" w:cs="Arial" w:eastAsia="Arial" w:hAnsi="Arial"/>
          <w:b/>
          <w:bCs/>
          <w:color w:val="005B96"/>
          <w:sz w:val="26"/>
          <w:szCs w:val="26"/>
        </w:rPr>
        <w:t xml:space="preserve">3.1  Strengths</w:t>
      </w:r>
    </w:p>
    <w:p>
      <w:pPr>
        <w:pStyle w:val="ListParagraph"/>
        <w:numPr>
          <w:ilvl w:val="0"/>
          <w:numId w:val="3"/>
        </w:numPr>
        <w:spacing w:after="40" w:before="40" w:line="300"/>
      </w:pPr>
      <w:r>
        <w:rPr>
          <w:rFonts w:ascii="Arial" w:cs="Arial" w:eastAsia="Arial" w:hAnsi="Arial"/>
          <w:color w:val="2C2C2C"/>
        </w:rPr>
        <w:t xml:space="preserve">Mechanistic — every parameter has an epidemiological meaning, which is essential for stakeholder trust and required for any subsequent cost-effectiveness work.</w:t>
      </w:r>
    </w:p>
    <w:p>
      <w:pPr>
        <w:pStyle w:val="ListParagraph"/>
        <w:numPr>
          <w:ilvl w:val="0"/>
          <w:numId w:val="3"/>
        </w:numPr>
        <w:spacing w:after="40" w:before="40" w:line="300"/>
      </w:pPr>
      <w:r>
        <w:rPr>
          <w:rFonts w:ascii="Arial" w:cs="Arial" w:eastAsia="Arial" w:hAnsi="Arial"/>
          <w:color w:val="2C2C2C"/>
        </w:rPr>
        <w:t xml:space="preserve">Built-in uncertainty quantification through stochastic Binomial draws — the engine returns a distribution of trajectories, not a point estimate.</w:t>
      </w:r>
    </w:p>
    <w:p>
      <w:pPr>
        <w:pStyle w:val="ListParagraph"/>
        <w:numPr>
          <w:ilvl w:val="0"/>
          <w:numId w:val="3"/>
        </w:numPr>
        <w:spacing w:after="40" w:before="40" w:line="300"/>
      </w:pPr>
      <w:r>
        <w:rPr>
          <w:rFonts w:ascii="Arial" w:cs="Arial" w:eastAsia="Arial" w:hAnsi="Arial"/>
          <w:color w:val="2C2C2C"/>
        </w:rPr>
        <w:t xml:space="preserve">Spatial diffusion fits the multi-country and sub-national reality of WHO AFRO operations.</w:t>
      </w:r>
    </w:p>
    <w:p>
      <w:pPr>
        <w:pStyle w:val="ListParagraph"/>
        <w:numPr>
          <w:ilvl w:val="0"/>
          <w:numId w:val="3"/>
        </w:numPr>
        <w:spacing w:after="40" w:before="40" w:line="300"/>
      </w:pPr>
      <w:r>
        <w:rPr>
          <w:rFonts w:ascii="Arial" w:cs="Arial" w:eastAsia="Arial" w:hAnsi="Arial"/>
          <w:color w:val="2C2C2C"/>
        </w:rPr>
        <w:t xml:space="preserve">Reactive intervention logic is operationally realistic and matches how Member States actually run outbreak response.</w:t>
      </w:r>
    </w:p>
    <w:p>
      <w:pPr>
        <w:pStyle w:val="ListParagraph"/>
        <w:numPr>
          <w:ilvl w:val="0"/>
          <w:numId w:val="3"/>
        </w:numPr>
        <w:spacing w:after="40" w:before="40" w:line="300"/>
      </w:pPr>
      <w:r>
        <w:rPr>
          <w:rFonts w:ascii="Arial" w:cs="Arial" w:eastAsia="Arial" w:hAnsi="Arial"/>
          <w:color w:val="2C2C2C"/>
        </w:rPr>
        <w:t xml:space="preserve">Compiled C numerical core via odin — fast enough to run thousands of simulations within typical dashboard response times.</w:t>
      </w:r>
    </w:p>
    <w:p>
      <w:pPr>
        <w:pStyle w:val="ListParagraph"/>
        <w:numPr>
          <w:ilvl w:val="0"/>
          <w:numId w:val="3"/>
        </w:numPr>
        <w:spacing w:after="40" w:before="40" w:line="300"/>
      </w:pPr>
      <w:r>
        <w:rPr>
          <w:rFonts w:ascii="Arial" w:cs="Arial" w:eastAsia="Arial" w:hAnsi="Arial"/>
          <w:color w:val="2C2C2C"/>
        </w:rPr>
        <w:t xml:space="preserve">Shipped with a peer-reviewable model description vignette, a test suite, and a reproducible toy dataset.</w:t>
      </w:r>
    </w:p>
    <w:p>
      <w:pPr>
        <w:pStyle w:val="Heading2"/>
        <w:spacing w:after="140" w:before="280"/>
      </w:pPr>
      <w:r>
        <w:rPr>
          <w:rFonts w:ascii="Arial" w:cs="Arial" w:eastAsia="Arial" w:hAnsi="Arial"/>
          <w:b/>
          <w:bCs/>
          <w:color w:val="005B96"/>
          <w:sz w:val="26"/>
          <w:szCs w:val="26"/>
        </w:rPr>
        <w:t xml:space="preserve">3.2  Limitations to plan around</w:t>
      </w:r>
    </w:p>
    <w:p>
      <w:pPr>
        <w:spacing w:after="120" w:before="80" w:line="320"/>
        <w:jc w:val="both"/>
      </w:pPr>
      <w:r>
        <w:rPr>
          <w:rFonts w:ascii="Arial" w:cs="Arial" w:eastAsia="Arial" w:hAnsi="Arial"/>
          <w:color w:val="2C2C2C"/>
        </w:rPr>
        <w:t xml:space="preserve">These are not reasons to reject the engine. They are scoping notes that the build team must understand before estimating effort:</w:t>
      </w:r>
    </w:p>
    <w:p>
      <w:pPr>
        <w:pStyle w:val="ListParagraph"/>
        <w:numPr>
          <w:ilvl w:val="0"/>
          <w:numId w:val="3"/>
        </w:numPr>
        <w:spacing w:after="40" w:before="40" w:line="300"/>
      </w:pPr>
      <w:r>
        <w:rPr>
          <w:rFonts w:ascii="Arial" w:cs="Arial" w:eastAsia="Arial" w:hAnsi="Arial"/>
          <w:color w:val="2C2C2C"/>
        </w:rPr>
        <w:t xml:space="preserve">No age structure, no contact matrices, no waning immunity, and no reinfection. The model is single-strain with homogeneous mixing within each population. Adequate for short outbreak windows; weak for endemic disease modelling or multi-wave dynamics.</w:t>
      </w:r>
    </w:p>
    <w:p>
      <w:pPr>
        <w:pStyle w:val="ListParagraph"/>
        <w:numPr>
          <w:ilvl w:val="0"/>
          <w:numId w:val="3"/>
        </w:numPr>
        <w:spacing w:after="40" w:before="40" w:line="300"/>
      </w:pPr>
      <w:r>
        <w:rPr>
          <w:rFonts w:ascii="Arial" w:cs="Arial" w:eastAsia="Arial" w:hAnsi="Arial"/>
          <w:color w:val="2C2C2C"/>
        </w:rPr>
        <w:t xml:space="preserve">No vital dynamics — births, non-disease deaths, and migration are absent. The population is closed apart from the disease itself.</w:t>
      </w:r>
    </w:p>
    <w:p>
      <w:pPr>
        <w:pStyle w:val="ListParagraph"/>
        <w:numPr>
          <w:ilvl w:val="0"/>
          <w:numId w:val="3"/>
        </w:numPr>
        <w:spacing w:after="40" w:before="40" w:line="300"/>
      </w:pPr>
      <w:r>
        <w:rPr>
          <w:rFonts w:ascii="Arial" w:cs="Arial" w:eastAsia="Arial" w:hAnsi="Arial"/>
          <w:color w:val="2C2C2C"/>
        </w:rPr>
        <w:t xml:space="preserve">Single pathogen at a time — no co-circulation of multiple agents.</w:t>
      </w:r>
    </w:p>
    <w:p>
      <w:pPr>
        <w:pStyle w:val="ListParagraph"/>
        <w:numPr>
          <w:ilvl w:val="0"/>
          <w:numId w:val="3"/>
        </w:numPr>
        <w:spacing w:after="40" w:before="40" w:line="300"/>
      </w:pPr>
      <w:r>
        <w:rPr>
          <w:rFonts w:ascii="Arial" w:cs="Arial" w:eastAsia="Arial" w:hAnsi="Arial"/>
          <w:color w:val="2C2C2C"/>
        </w:rPr>
        <w:t xml:space="preserve">Parameters (β, σ, γ, μ) are inputs, not estimated from data. The package as shipped does not include a parameter-fitting layer. This is the most consequential gap and must be addressed in our build, not skipped.</w:t>
      </w:r>
    </w:p>
    <w:p>
      <w:pPr>
        <w:pStyle w:val="ListParagraph"/>
        <w:numPr>
          <w:ilvl w:val="0"/>
          <w:numId w:val="3"/>
        </w:numPr>
        <w:spacing w:after="40" w:before="40" w:line="300"/>
      </w:pPr>
      <w:r>
        <w:rPr>
          <w:rFonts w:ascii="Arial" w:cs="Arial" w:eastAsia="Arial" w:hAnsi="Arial"/>
          <w:color w:val="2C2C2C"/>
        </w:rPr>
        <w:t xml:space="preserve">Pure R implementation — the package cannot be invoked directly from the FastAPI Python backend that PDX runs on. A bridge of some kind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24"/>
              <w:bottom w:val="single" w:color="B7791F" w:sz="4"/>
              <w:right w:val="single" w:color="B7791F" w:sz="4"/>
            </w:tcBorders>
            <w:shd w:fill="FFF7E6" w:val="clear"/>
            <w:tcMar>
              <w:top w:type="dxa" w:w="160"/>
              <w:left w:type="dxa" w:w="220"/>
              <w:bottom w:type="dxa" w:w="160"/>
              <w:right w:type="dxa" w:w="220"/>
            </w:tcMar>
          </w:tcPr>
          <w:p>
            <w:pPr>
              <w:spacing w:after="80"/>
            </w:pPr>
            <w:r>
              <w:rPr>
                <w:rFonts w:ascii="Arial" w:cs="Arial" w:eastAsia="Arial" w:hAnsi="Arial"/>
                <w:b/>
                <w:bCs/>
                <w:color w:val="B7791F"/>
                <w:sz w:val="22"/>
                <w:szCs w:val="22"/>
              </w:rPr>
              <w:t xml:space="preserve">What this means in practice</w:t>
            </w:r>
          </w:p>
          <w:p>
            <w:pPr>
              <w:spacing w:after="40" w:before="40" w:line="300"/>
            </w:pPr>
            <w:r>
              <w:rPr>
                <w:rFonts w:ascii="Arial" w:cs="Arial" w:eastAsia="Arial" w:hAnsi="Arial"/>
                <w:color w:val="2C2C2C"/>
                <w:sz w:val="22"/>
                <w:szCs w:val="22"/>
              </w:rPr>
              <w:t xml:space="preserve">The wbepi package as delivered is a research artefact, not a production service. Two pieces of engineering work are non-negotiable before it powers a public dashboard: (1) a parameter-fitting layer that estimates β, σ, γ, μ and their credible intervals from country case data, and (2) an integration bridge that lets the PDX Python backend invoke the engine. Everything else — caching, queueing, scenario storage, UI — sits on top of these two foundations.</w:t>
            </w:r>
          </w:p>
        </w:tc>
      </w:tr>
    </w:tbl>
    <w:p>
      <w:r>
        <w:br w:type="page"/>
      </w:r>
    </w:p>
    <w:p>
      <w:pPr>
        <w:pStyle w:val="Heading1"/>
        <w:pBdr>
          <w:bottom w:val="single" w:color="0093D5" w:sz="8" w:space="4"/>
        </w:pBdr>
        <w:spacing w:after="200" w:before="360"/>
      </w:pPr>
      <w:r>
        <w:rPr>
          <w:rFonts w:ascii="Arial" w:cs="Arial" w:eastAsia="Arial" w:hAnsi="Arial"/>
          <w:b/>
          <w:bCs/>
          <w:color w:val="003B6F"/>
          <w:sz w:val="32"/>
          <w:szCs w:val="32"/>
        </w:rPr>
        <w:t xml:space="preserve">4.  Where the engine should live inside PDX</w:t>
      </w:r>
    </w:p>
    <w:p>
      <w:pPr>
        <w:spacing w:after="120" w:before="80" w:line="320"/>
        <w:jc w:val="both"/>
      </w:pPr>
      <w:r>
        <w:rPr>
          <w:rFonts w:ascii="Arial" w:cs="Arial" w:eastAsia="Arial" w:hAnsi="Arial"/>
          <w:color w:val="2C2C2C"/>
        </w:rPr>
        <w:t xml:space="preserve">The intended home for this engine is the </w:t>
      </w:r>
      <w:r>
        <w:rPr>
          <w:rFonts w:ascii="Arial" w:cs="Arial" w:eastAsia="Arial" w:hAnsi="Arial"/>
          <w:b/>
          <w:bCs/>
          <w:color w:val="2C2C2C"/>
        </w:rPr>
        <w:t xml:space="preserve">PDX Predictions Dashboard</w:t>
      </w:r>
      <w:r>
        <w:rPr>
          <w:rFonts w:ascii="Arial" w:cs="Arial" w:eastAsia="Arial" w:hAnsi="Arial"/>
          <w:color w:val="2C2C2C"/>
        </w:rPr>
        <w:t xml:space="preserve"> — not the OneHealth intelligence module. Its role there is to extend the existing forecasting stack with a new analytical capability: counterfactual intervention simulation. The current Predictions stack projects what is likely to happen. The wbepi engine projects what would happen under each candidate response. These are complementary, not redundant.</w:t>
      </w:r>
    </w:p>
    <w:p>
      <w:pPr>
        <w:spacing w:after="120" w:before="80" w:line="320"/>
        <w:jc w:val="both"/>
      </w:pPr>
      <w:r>
        <w:rPr>
          <w:rFonts w:ascii="Arial" w:cs="Arial" w:eastAsia="Arial" w:hAnsi="Arial"/>
          <w:color w:val="2C2C2C"/>
        </w:rPr>
        <w:t xml:space="preserve">Three architectural placement options were considered. Each is described below with its trade-offs, so the engineering team can make an informed decision rather than receive a fait accompli.</w:t>
      </w:r>
    </w:p>
    <w:p>
      <w:pPr>
        <w:pStyle w:val="Heading2"/>
        <w:spacing w:after="140" w:before="280"/>
      </w:pPr>
      <w:r>
        <w:rPr>
          <w:rFonts w:ascii="Arial" w:cs="Arial" w:eastAsia="Arial" w:hAnsi="Arial"/>
          <w:b/>
          <w:bCs/>
          <w:color w:val="005B96"/>
          <w:sz w:val="26"/>
          <w:szCs w:val="26"/>
        </w:rPr>
        <w:t xml:space="preserve">4.1  Option A — Embedded module of the Predictions Dashboard (recommended)</w:t>
      </w:r>
    </w:p>
    <w:p>
      <w:pPr>
        <w:spacing w:after="120" w:before="80" w:line="320"/>
        <w:jc w:val="both"/>
      </w:pPr>
      <w:r>
        <w:rPr>
          <w:rFonts w:ascii="Arial" w:cs="Arial" w:eastAsia="Arial" w:hAnsi="Arial"/>
          <w:color w:val="2C2C2C"/>
        </w:rPr>
        <w:t xml:space="preserve">The engine becomes a new section of the existing Predictions Dashboard, branded as the </w:t>
      </w:r>
      <w:r>
        <w:rPr>
          <w:rFonts w:ascii="Arial" w:cs="Arial" w:eastAsia="Arial" w:hAnsi="Arial"/>
          <w:b/>
          <w:bCs/>
          <w:color w:val="2C2C2C"/>
        </w:rPr>
        <w:t xml:space="preserve">Scenario &amp; Response Engine</w:t>
      </w:r>
      <w:r>
        <w:rPr>
          <w:rFonts w:ascii="Arial" w:cs="Arial" w:eastAsia="Arial" w:hAnsi="Arial"/>
          <w:color w:val="2C2C2C"/>
        </w:rPr>
        <w:t xml:space="preserve"> or a similar name. The user enters the dashboard, selects a country and pathogen, configures one or more candidate response scenarios (timing of intervention, vaccination strategy, ring size), and the dashboard renders side-by-side trajectory comparisons with uncertainty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Aspect</w:t>
            </w:r>
          </w:p>
        </w:tc>
        <w:tc>
          <w:tcPr>
            <w:tcW w:type="dxa" w:w="351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Strength</w:t>
            </w:r>
          </w:p>
        </w:tc>
        <w:tc>
          <w:tcPr>
            <w:tcW w:type="dxa" w:w="351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Trade-off</w:t>
            </w:r>
          </w:p>
        </w:tc>
      </w:tr>
      <w:tr>
        <w:tc>
          <w:tcPr>
            <w:tcW w:type="dxa" w:w="23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User experience</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Single coherent dashboard for all forward-looking analysis. No tab switching.</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Predictions Dashboard becomes denser; needs careful information architecture.</w:t>
            </w:r>
          </w:p>
        </w:tc>
      </w:tr>
      <w:tr>
        <w:tc>
          <w:tcPr>
            <w:tcW w:type="dxa" w:w="23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Stakeholder framing</w:t>
            </w:r>
          </w:p>
        </w:tc>
        <w:tc>
          <w:tcPr>
            <w:tcW w:type="dxa" w:w="351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Clear narrative: “this is where PDX answers what-if questions.”</w:t>
            </w:r>
          </w:p>
        </w:tc>
        <w:tc>
          <w:tcPr>
            <w:tcW w:type="dxa" w:w="351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Some users may not realise the engine is mechanistic, not a forecast — clear UI labelling required.</w:t>
            </w:r>
          </w:p>
        </w:tc>
      </w:tr>
      <w:tr>
        <w:tc>
          <w:tcPr>
            <w:tcW w:type="dxa" w:w="23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Engineering</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Reuses Predictions Dashboard auth, layout, theming, and data pipes.</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Build team must touch the existing Predictions codebase rather than start fresh.</w:t>
            </w:r>
          </w:p>
        </w:tc>
      </w:tr>
      <w:tr>
        <w:tc>
          <w:tcPr>
            <w:tcW w:type="dxa" w:w="23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Cost-effectiveness extension</w:t>
            </w:r>
          </w:p>
        </w:tc>
        <w:tc>
          <w:tcPr>
            <w:tcW w:type="dxa" w:w="351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CEA module slots in naturally as a downstream tab on the same scenarios.</w:t>
            </w:r>
          </w:p>
        </w:tc>
        <w:tc>
          <w:tcPr>
            <w:tcW w:type="dxa" w:w="351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Couples scenario engine and CEA in the same code path — needs clean module boundaries.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4"/>
              <w:left w:val="single" w:color="1F7A4D" w:sz="24"/>
              <w:bottom w:val="single" w:color="1F7A4D" w:sz="4"/>
              <w:right w:val="single" w:color="1F7A4D" w:sz="4"/>
            </w:tcBorders>
            <w:shd w:fill="E8F5EE" w:val="clear"/>
            <w:tcMar>
              <w:top w:type="dxa" w:w="160"/>
              <w:left w:type="dxa" w:w="220"/>
              <w:bottom w:type="dxa" w:w="160"/>
              <w:right w:type="dxa" w:w="220"/>
            </w:tcMar>
          </w:tcPr>
          <w:p>
            <w:pPr>
              <w:spacing w:after="80"/>
            </w:pPr>
            <w:r>
              <w:rPr>
                <w:rFonts w:ascii="Arial" w:cs="Arial" w:eastAsia="Arial" w:hAnsi="Arial"/>
                <w:b/>
                <w:bCs/>
                <w:color w:val="1F7A4D"/>
                <w:sz w:val="22"/>
                <w:szCs w:val="22"/>
              </w:rPr>
              <w:t xml:space="preserve">Why this is the recommended option</w:t>
            </w:r>
          </w:p>
          <w:p>
            <w:pPr>
              <w:spacing w:after="40" w:before="40" w:line="300"/>
            </w:pPr>
            <w:r>
              <w:rPr>
                <w:rFonts w:ascii="Arial" w:cs="Arial" w:eastAsia="Arial" w:hAnsi="Arial"/>
                <w:color w:val="2C2C2C"/>
                <w:sz w:val="22"/>
                <w:szCs w:val="22"/>
              </w:rPr>
              <w:t xml:space="preserve">The engine's outputs (trajectories, intervention impact, eventually cost-effectiveness) belong in the same mental model as the rest of the Predictions Dashboard. Splitting them off into a standalone module would force users to context-switch between “what will happen” and “what should we do about it,” which fragments the decision workflow.</w:t>
            </w:r>
          </w:p>
        </w:tc>
      </w:tr>
    </w:tbl>
    <w:p>
      <w:pPr>
        <w:pStyle w:val="Heading2"/>
        <w:spacing w:after="140" w:before="280"/>
      </w:pPr>
      <w:r>
        <w:rPr>
          <w:rFonts w:ascii="Arial" w:cs="Arial" w:eastAsia="Arial" w:hAnsi="Arial"/>
          <w:b/>
          <w:bCs/>
          <w:color w:val="005B96"/>
          <w:sz w:val="26"/>
          <w:szCs w:val="26"/>
        </w:rPr>
        <w:t xml:space="preserve">4.2  Option B — Standalone PDX module</w:t>
      </w:r>
    </w:p>
    <w:p>
      <w:pPr>
        <w:spacing w:after="120" w:before="80" w:line="320"/>
        <w:jc w:val="both"/>
      </w:pPr>
      <w:r>
        <w:rPr>
          <w:rFonts w:ascii="Arial" w:cs="Arial" w:eastAsia="Arial" w:hAnsi="Arial"/>
          <w:color w:val="2C2C2C"/>
        </w:rPr>
        <w:t xml:space="preserve">The engine is built as its own top-level PDX module — for example, </w:t>
      </w:r>
      <w:r>
        <w:rPr>
          <w:rFonts w:ascii="Arial" w:cs="Arial" w:eastAsia="Arial" w:hAnsi="Arial"/>
          <w:b/>
          <w:bCs/>
          <w:color w:val="2C2C2C"/>
        </w:rPr>
        <w:t xml:space="preserve">PDX Scenarios</w:t>
      </w:r>
      <w:r>
        <w:rPr>
          <w:rFonts w:ascii="Arial" w:cs="Arial" w:eastAsia="Arial" w:hAnsi="Arial"/>
          <w:color w:val="2C2C2C"/>
        </w:rPr>
        <w:t xml:space="preserve"> — accessible from the main navigation alongside OneHealth, AMRS, HSSPM, OCV, and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Aspect</w:t>
            </w:r>
          </w:p>
        </w:tc>
        <w:tc>
          <w:tcPr>
            <w:tcW w:type="dxa" w:w="351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Strength</w:t>
            </w:r>
          </w:p>
        </w:tc>
        <w:tc>
          <w:tcPr>
            <w:tcW w:type="dxa" w:w="351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Trade-off</w:t>
            </w:r>
          </w:p>
        </w:tc>
      </w:tr>
      <w:tr>
        <w:tc>
          <w:tcPr>
            <w:tcW w:type="dxa" w:w="23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Separation of concerns</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Clean isolation; engine can evolve independently of Predictions.</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Adds a sixth or seventh top-level module to PDX navigation, increasing cognitive load.</w:t>
            </w:r>
          </w:p>
        </w:tc>
      </w:tr>
      <w:tr>
        <w:tc>
          <w:tcPr>
            <w:tcW w:type="dxa" w:w="23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Funder visibility</w:t>
            </w:r>
          </w:p>
        </w:tc>
        <w:tc>
          <w:tcPr>
            <w:tcW w:type="dxa" w:w="351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Easier to brand and showcase as a discrete deliverable to the World Bank.</w:t>
            </w:r>
          </w:p>
        </w:tc>
        <w:tc>
          <w:tcPr>
            <w:tcW w:type="dxa" w:w="351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Risks fragmentation — users see a forecast in one place and scenarios in another.</w:t>
            </w:r>
          </w:p>
        </w:tc>
      </w:tr>
      <w:tr>
        <w:tc>
          <w:tcPr>
            <w:tcW w:type="dxa" w:w="23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Engineering</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Greenfield codebase; no risk of regressions in Predictions.</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Duplicates layout, filters, country selectors, and theming.</w:t>
            </w:r>
          </w:p>
        </w:tc>
      </w:tr>
    </w:tbl>
    <w:p>
      <w:pPr>
        <w:spacing w:after="120" w:before="80" w:line="320"/>
        <w:jc w:val="both"/>
      </w:pPr>
      <w:r>
        <w:rPr>
          <w:rFonts w:ascii="Arial" w:cs="Arial" w:eastAsia="Arial" w:hAnsi="Arial"/>
          <w:color w:val="2C2C2C"/>
        </w:rPr>
        <w:t xml:space="preserve">Choose this option if the World Bank explicitly wants the engine surfaced as its own brand-visible component, or if the Predictions Dashboard is already saturated and adding another section would harm usability.</w:t>
      </w:r>
    </w:p>
    <w:p>
      <w:pPr>
        <w:pStyle w:val="Heading2"/>
        <w:spacing w:after="140" w:before="280"/>
      </w:pPr>
      <w:r>
        <w:rPr>
          <w:rFonts w:ascii="Arial" w:cs="Arial" w:eastAsia="Arial" w:hAnsi="Arial"/>
          <w:b/>
          <w:bCs/>
          <w:color w:val="005B96"/>
          <w:sz w:val="26"/>
          <w:szCs w:val="26"/>
        </w:rPr>
        <w:t xml:space="preserve">4.3  Option C — Backend service consumed by multiple PDX modules</w:t>
      </w:r>
    </w:p>
    <w:p>
      <w:pPr>
        <w:spacing w:after="120" w:before="80" w:line="320"/>
        <w:jc w:val="both"/>
      </w:pPr>
      <w:r>
        <w:rPr>
          <w:rFonts w:ascii="Arial" w:cs="Arial" w:eastAsia="Arial" w:hAnsi="Arial"/>
          <w:color w:val="2C2C2C"/>
        </w:rPr>
        <w:t xml:space="preserve">The engine is built purely as a backend service, with no dedicated UI of its own. Other PDX modules consume its outputs through internal APIs:</w:t>
      </w:r>
    </w:p>
    <w:p>
      <w:pPr>
        <w:pStyle w:val="ListParagraph"/>
        <w:numPr>
          <w:ilvl w:val="0"/>
          <w:numId w:val="3"/>
        </w:numPr>
        <w:spacing w:after="40" w:before="40" w:line="300"/>
      </w:pPr>
      <w:r>
        <w:rPr>
          <w:rFonts w:ascii="Arial" w:cs="Arial" w:eastAsia="Arial" w:hAnsi="Arial"/>
          <w:b/>
          <w:bCs/>
          <w:color w:val="2C2C2C"/>
        </w:rPr>
        <w:t xml:space="preserve">OneHealth</w:t>
      </w:r>
      <w:r>
        <w:rPr>
          <w:rFonts w:ascii="Arial" w:cs="Arial" w:eastAsia="Arial" w:hAnsi="Arial"/>
          <w:color w:val="2C2C2C"/>
        </w:rPr>
        <w:t xml:space="preserve"> consumes scenarios when its spillover detection engine fires, to display “response options” inline with the alert.</w:t>
      </w:r>
    </w:p>
    <w:p>
      <w:pPr>
        <w:pStyle w:val="ListParagraph"/>
        <w:numPr>
          <w:ilvl w:val="0"/>
          <w:numId w:val="3"/>
        </w:numPr>
        <w:spacing w:after="40" w:before="40" w:line="300"/>
      </w:pPr>
      <w:r>
        <w:rPr>
          <w:rFonts w:ascii="Arial" w:cs="Arial" w:eastAsia="Arial" w:hAnsi="Arial"/>
          <w:b/>
          <w:bCs/>
          <w:color w:val="2C2C2C"/>
        </w:rPr>
        <w:t xml:space="preserve">Decision WHO</w:t>
      </w:r>
      <w:r>
        <w:rPr>
          <w:rFonts w:ascii="Arial" w:cs="Arial" w:eastAsia="Arial" w:hAnsi="Arial"/>
          <w:color w:val="2C2C2C"/>
        </w:rPr>
        <w:t xml:space="preserve"> (the agent that evolved from Ask WHO) calls the engine to ground its recommendations in simulated counterfactuals rather than retrieval alone.</w:t>
      </w:r>
    </w:p>
    <w:p>
      <w:pPr>
        <w:pStyle w:val="ListParagraph"/>
        <w:numPr>
          <w:ilvl w:val="0"/>
          <w:numId w:val="3"/>
        </w:numPr>
        <w:spacing w:after="40" w:before="40" w:line="300"/>
      </w:pPr>
      <w:r>
        <w:rPr>
          <w:rFonts w:ascii="Arial" w:cs="Arial" w:eastAsia="Arial" w:hAnsi="Arial"/>
          <w:b/>
          <w:bCs/>
          <w:color w:val="2C2C2C"/>
        </w:rPr>
        <w:t xml:space="preserve">Risk Sentinel</w:t>
      </w:r>
      <w:r>
        <w:rPr>
          <w:rFonts w:ascii="Arial" w:cs="Arial" w:eastAsia="Arial" w:hAnsi="Arial"/>
          <w:color w:val="2C2C2C"/>
        </w:rPr>
        <w:t xml:space="preserve"> uses scenario distributions to rank candidate interventions in its automated risk scoring.</w:t>
      </w:r>
    </w:p>
    <w:p>
      <w:pPr>
        <w:pStyle w:val="ListParagraph"/>
        <w:numPr>
          <w:ilvl w:val="0"/>
          <w:numId w:val="3"/>
        </w:numPr>
        <w:spacing w:after="40" w:before="40" w:line="300"/>
      </w:pPr>
      <w:r>
        <w:rPr>
          <w:rFonts w:ascii="Arial" w:cs="Arial" w:eastAsia="Arial" w:hAnsi="Arial"/>
          <w:b/>
          <w:bCs/>
          <w:color w:val="2C2C2C"/>
        </w:rPr>
        <w:t xml:space="preserve">Predictions Dashboard</w:t>
      </w:r>
      <w:r>
        <w:rPr>
          <w:rFonts w:ascii="Arial" w:cs="Arial" w:eastAsia="Arial" w:hAnsi="Arial"/>
          <w:color w:val="2C2C2C"/>
        </w:rPr>
        <w:t xml:space="preserve"> still gets a UI section, but the engine is not owned by the dashboard.</w:t>
      </w:r>
    </w:p>
    <w:p>
      <w:pPr>
        <w:spacing w:after="120" w:before="80" w:line="320"/>
        <w:jc w:val="both"/>
      </w:pPr>
      <w:r>
        <w:rPr>
          <w:rFonts w:ascii="Arial" w:cs="Arial" w:eastAsia="Arial" w:hAnsi="Arial"/>
          <w:color w:val="2C2C2C"/>
        </w:rPr>
        <w:t xml:space="preserve">This is the most architecturally pure option but also the most labour-intensive — it requires defining a stable internal scenario API and building consumer code in every dependent module. It is the right long-term destination, but probably not the right starting point.</w:t>
      </w:r>
    </w:p>
    <w:p>
      <w:pPr>
        <w:pStyle w:val="Heading2"/>
        <w:spacing w:after="140" w:before="280"/>
      </w:pPr>
      <w:r>
        <w:rPr>
          <w:rFonts w:ascii="Arial" w:cs="Arial" w:eastAsia="Arial" w:hAnsi="Arial"/>
          <w:b/>
          <w:bCs/>
          <w:color w:val="005B96"/>
          <w:sz w:val="26"/>
          <w:szCs w:val="26"/>
        </w:rPr>
        <w:t xml:space="preserve">4.4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3D5" w:sz="4"/>
              <w:left w:val="single" w:color="0093D5" w:sz="24"/>
              <w:bottom w:val="single" w:color="0093D5" w:sz="4"/>
              <w:right w:val="single" w:color="0093D5" w:sz="4"/>
            </w:tcBorders>
            <w:shd w:fill="EAF4FB" w:val="clear"/>
            <w:tcMar>
              <w:top w:type="dxa" w:w="160"/>
              <w:left w:type="dxa" w:w="220"/>
              <w:bottom w:type="dxa" w:w="160"/>
              <w:right w:type="dxa" w:w="220"/>
            </w:tcMar>
          </w:tcPr>
          <w:p>
            <w:pPr>
              <w:spacing w:after="80"/>
            </w:pPr>
            <w:r>
              <w:rPr>
                <w:rFonts w:ascii="Arial" w:cs="Arial" w:eastAsia="Arial" w:hAnsi="Arial"/>
                <w:b/>
                <w:bCs/>
                <w:color w:val="0093D5"/>
                <w:sz w:val="22"/>
                <w:szCs w:val="22"/>
              </w:rPr>
              <w:t xml:space="preserve">Build path</w:t>
            </w:r>
          </w:p>
          <w:p>
            <w:pPr>
              <w:spacing w:after="40" w:before="40" w:line="300"/>
            </w:pPr>
            <w:r>
              <w:rPr>
                <w:rFonts w:ascii="Arial" w:cs="Arial" w:eastAsia="Arial" w:hAnsi="Arial"/>
                <w:color w:val="2C2C2C"/>
                <w:sz w:val="22"/>
                <w:szCs w:val="22"/>
              </w:rPr>
              <w:t xml:space="preserve">Phase 1 — implement Option A: embed the engine in the Predictions Dashboard as a new Scenario &amp; Response section. This delivers visible value fastest and lets us validate the engine with real users before broadening the surface area.</w:t>
            </w:r>
          </w:p>
          <w:p>
            <w:pPr>
              <w:spacing w:after="40" w:before="40" w:line="300"/>
            </w:pPr>
            <w:r>
              <w:rPr>
                <w:rFonts w:ascii="Arial" w:cs="Arial" w:eastAsia="Arial" w:hAnsi="Arial"/>
                <w:color w:val="2C2C2C"/>
                <w:sz w:val="22"/>
                <w:szCs w:val="22"/>
              </w:rPr>
              <w:t xml:space="preserve">Phase 2 — refactor toward Option C: once the engine is stable and validated in Predictions, expose its scenario API to OneHealth, Decision WHO, and Risk Sentinel. The dashboard UI remains the primary user surface; other modules become additional consumers of the same backend service.</w:t>
            </w:r>
          </w:p>
          <w:p>
            <w:pPr>
              <w:spacing w:after="40" w:before="40" w:line="300"/>
            </w:pPr>
            <w:r>
              <w:rPr>
                <w:rFonts w:ascii="Arial" w:cs="Arial" w:eastAsia="Arial" w:hAnsi="Arial"/>
                <w:color w:val="2C2C2C"/>
                <w:sz w:val="22"/>
                <w:szCs w:val="22"/>
              </w:rPr>
              <w:t xml:space="preserve">Option B is not recommended unless the World Bank specifically requests a standalone branded component.</w:t>
            </w:r>
          </w:p>
        </w:tc>
      </w:tr>
    </w:tbl>
    <w:p>
      <w:r>
        <w:br w:type="page"/>
      </w:r>
    </w:p>
    <w:p>
      <w:pPr>
        <w:pStyle w:val="Heading1"/>
        <w:pBdr>
          <w:bottom w:val="single" w:color="0093D5" w:sz="8" w:space="4"/>
        </w:pBdr>
        <w:spacing w:after="200" w:before="360"/>
      </w:pPr>
      <w:r>
        <w:rPr>
          <w:rFonts w:ascii="Arial" w:cs="Arial" w:eastAsia="Arial" w:hAnsi="Arial"/>
          <w:b/>
          <w:bCs/>
          <w:color w:val="003B6F"/>
          <w:sz w:val="32"/>
          <w:szCs w:val="32"/>
        </w:rPr>
        <w:t xml:space="preserve">5.  Integration architecture</w:t>
      </w:r>
    </w:p>
    <w:p>
      <w:pPr>
        <w:spacing w:after="120" w:before="80" w:line="320"/>
        <w:jc w:val="both"/>
      </w:pPr>
      <w:r>
        <w:rPr>
          <w:rFonts w:ascii="Arial" w:cs="Arial" w:eastAsia="Arial" w:hAnsi="Arial"/>
          <w:color w:val="2C2C2C"/>
        </w:rPr>
        <w:t xml:space="preserve">The package is pure R. PDX is FastAPI / Python on the backend with a React / TypeScript frontend. There are two viable strategies for bridging this gap. Both are described below; my recommendation is at the end of this section.</w:t>
      </w:r>
    </w:p>
    <w:p>
      <w:pPr>
        <w:pStyle w:val="Heading2"/>
        <w:spacing w:after="140" w:before="280"/>
      </w:pPr>
      <w:r>
        <w:rPr>
          <w:rFonts w:ascii="Arial" w:cs="Arial" w:eastAsia="Arial" w:hAnsi="Arial"/>
          <w:b/>
          <w:bCs/>
          <w:color w:val="005B96"/>
          <w:sz w:val="26"/>
          <w:szCs w:val="26"/>
        </w:rPr>
        <w:t xml:space="preserve">5.1  Strategy 1 — Wrap the R package as-is behind a thin HTTP service</w:t>
      </w:r>
    </w:p>
    <w:p>
      <w:pPr>
        <w:spacing w:after="120" w:before="80" w:line="320"/>
        <w:jc w:val="both"/>
      </w:pPr>
      <w:r>
        <w:rPr>
          <w:rFonts w:ascii="Arial" w:cs="Arial" w:eastAsia="Arial" w:hAnsi="Arial"/>
          <w:color w:val="2C2C2C"/>
        </w:rPr>
        <w:t xml:space="preserve">Keep wbepi unchanged and run it inside a sidecar container that exposes a small HTTP API using R's </w:t>
      </w:r>
      <w:r>
        <w:rPr>
          <w:rFonts w:ascii="Consolas" w:cs="Consolas" w:eastAsia="Consolas" w:hAnsi="Consolas"/>
          <w:color w:val="2C2C2C"/>
        </w:rPr>
        <w:t xml:space="preserve">Plumber</w:t>
      </w:r>
      <w:r>
        <w:rPr>
          <w:rFonts w:ascii="Arial" w:cs="Arial" w:eastAsia="Arial" w:hAnsi="Arial"/>
          <w:color w:val="2C2C2C"/>
        </w:rPr>
        <w:t xml:space="preserve"> framework. The PDX FastAPI backend calls this sidecar over an internal network. A typical request/response cycle:</w:t>
      </w:r>
    </w:p>
    <w:p>
      <w:pPr>
        <w:shd w:fill="F4F6F8" w:val="clear"/>
        <w:spacing w:after="20" w:before="20" w:line="260"/>
      </w:pPr>
      <w:r>
        <w:rPr>
          <w:rFonts w:ascii="Consolas" w:cs="Consolas" w:eastAsia="Consolas" w:hAnsi="Consolas"/>
          <w:color w:val="1A1A1A"/>
          <w:sz w:val="18"/>
          <w:szCs w:val="18"/>
        </w:rPr>
        <w:t xml:space="preserve">POST  http://wbepi-engine:8000/run</w:t>
      </w:r>
    </w:p>
    <w:p>
      <w:pPr>
        <w:shd w:fill="F4F6F8" w:val="clear"/>
        <w:spacing w:after="20" w:before="20" w:line="260"/>
      </w:pPr>
      <w:r>
        <w:rPr>
          <w:rFonts w:ascii="Consolas" w:cs="Consolas" w:eastAsia="Consolas" w:hAnsi="Consolas"/>
          <w:color w:val="1A1A1A"/>
          <w:sz w:val="18"/>
          <w:szCs w:val="18"/>
        </w:rPr>
        <w:t xml:space="preserve">Body: { country, pathogen, n_populations, ini_S, ini_I, beta, sigma, gamma,</w:t>
      </w:r>
    </w:p>
    <w:p>
      <w:pPr>
        <w:shd w:fill="F4F6F8" w:val="clear"/>
        <w:spacing w:after="20" w:before="20" w:line="260"/>
      </w:pPr>
      <w:r>
        <w:rPr>
          <w:rFonts w:ascii="Consolas" w:cs="Consolas" w:eastAsia="Consolas" w:hAnsi="Consolas"/>
          <w:color w:val="1A1A1A"/>
          <w:sz w:val="18"/>
          <w:szCs w:val="18"/>
        </w:rPr>
        <w:t xml:space="preserve">        mu, vacc_coverage, interv_delay, interv_efficacy, target_size,</w:t>
      </w:r>
    </w:p>
    <w:p>
      <w:pPr>
        <w:shd w:fill="F4F6F8" w:val="clear"/>
        <w:spacing w:after="20" w:before="20" w:line="260"/>
      </w:pPr>
      <w:r>
        <w:rPr>
          <w:rFonts w:ascii="Consolas" w:cs="Consolas" w:eastAsia="Consolas" w:hAnsi="Consolas"/>
          <w:color w:val="1A1A1A"/>
          <w:sz w:val="18"/>
          <w:szCs w:val="18"/>
        </w:rPr>
        <w:t xml:space="preserve">        time, n_sims, delta_matrix }</w:t>
      </w:r>
    </w:p>
    <w:p>
      <w:pPr>
        <w:shd w:fill="F4F6F8" w:val="clear"/>
        <w:spacing w:after="20" w:before="20" w:line="260"/>
      </w:pPr>
      <w:r>
        <w:rPr>
          <w:rFonts w:ascii="Consolas" w:cs="Consolas" w:eastAsia="Consolas" w:hAnsi="Consolas"/>
          <w:color w:val="1A1A1A"/>
          <w:sz w:val="18"/>
          <w:szCs w:val="18"/>
        </w:rPr>
        <w:t xml:space="preserve">Response: { trajectories: [...], summary_stats: {...}, run_id: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Aspect</w:t>
            </w:r>
          </w:p>
        </w:tc>
        <w:tc>
          <w:tcPr>
            <w:tcW w:type="dxa" w:w="351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Strength</w:t>
            </w:r>
          </w:p>
        </w:tc>
        <w:tc>
          <w:tcPr>
            <w:tcW w:type="dxa" w:w="351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Trade-off</w:t>
            </w:r>
          </w:p>
        </w:tc>
      </w:tr>
      <w:tr>
        <w:tc>
          <w:tcPr>
            <w:tcW w:type="dxa" w:w="23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Time to first usable build</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Fastest path — days, not weeks.</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Adds a polyglot deployment (Python + R containers) to the PDX stack.</w:t>
            </w:r>
          </w:p>
        </w:tc>
      </w:tr>
      <w:tr>
        <w:tc>
          <w:tcPr>
            <w:tcW w:type="dxa" w:w="23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Fidelity</w:t>
            </w:r>
          </w:p>
        </w:tc>
        <w:tc>
          <w:tcPr>
            <w:tcW w:type="dxa" w:w="351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Identical behaviour to the World Bank reference implementation, by definition.</w:t>
            </w:r>
          </w:p>
        </w:tc>
        <w:tc>
          <w:tcPr>
            <w:tcW w:type="dxa" w:w="351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Engine evolves at LSTM's pace, not ours.</w:t>
            </w:r>
          </w:p>
        </w:tc>
      </w:tr>
      <w:tr>
        <w:tc>
          <w:tcPr>
            <w:tcW w:type="dxa" w:w="23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Operations</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Containerised; sidecar can be horizontally scaled.</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Two languages to maintain, monitor, and patch for security.</w:t>
            </w:r>
          </w:p>
        </w:tc>
      </w:tr>
    </w:tbl>
    <w:p>
      <w:pPr>
        <w:pStyle w:val="Heading2"/>
        <w:spacing w:after="140" w:before="280"/>
      </w:pPr>
      <w:r>
        <w:rPr>
          <w:rFonts w:ascii="Arial" w:cs="Arial" w:eastAsia="Arial" w:hAnsi="Arial"/>
          <w:b/>
          <w:bCs/>
          <w:color w:val="005B96"/>
          <w:sz w:val="26"/>
          <w:szCs w:val="26"/>
        </w:rPr>
        <w:t xml:space="preserve">5.2  Strategy 2 — Re-implement the engine in Python (recommended)</w:t>
      </w:r>
    </w:p>
    <w:p>
      <w:pPr>
        <w:spacing w:after="120" w:before="80" w:line="320"/>
        <w:jc w:val="both"/>
      </w:pPr>
      <w:r>
        <w:rPr>
          <w:rFonts w:ascii="Arial" w:cs="Arial" w:eastAsia="Arial" w:hAnsi="Arial"/>
          <w:color w:val="2C2C2C"/>
        </w:rPr>
        <w:t xml:space="preserve">The SEIRDV equations and stochastic transition machinery total roughly fifty lines of vectorised Python using </w:t>
      </w:r>
      <w:r>
        <w:rPr>
          <w:rFonts w:ascii="Consolas" w:cs="Consolas" w:eastAsia="Consolas" w:hAnsi="Consolas"/>
          <w:color w:val="2C2C2C"/>
        </w:rPr>
        <w:t xml:space="preserve">numpy</w:t>
      </w:r>
      <w:r>
        <w:rPr>
          <w:rFonts w:ascii="Arial" w:cs="Arial" w:eastAsia="Arial" w:hAnsi="Arial"/>
          <w:color w:val="2C2C2C"/>
        </w:rPr>
        <w:t xml:space="preserve"> and (optionally) </w:t>
      </w:r>
      <w:r>
        <w:rPr>
          <w:rFonts w:ascii="Consolas" w:cs="Consolas" w:eastAsia="Consolas" w:hAnsi="Consolas"/>
          <w:color w:val="2C2C2C"/>
        </w:rPr>
        <w:t xml:space="preserve">numba</w:t>
      </w:r>
      <w:r>
        <w:rPr>
          <w:rFonts w:ascii="Arial" w:cs="Arial" w:eastAsia="Arial" w:hAnsi="Arial"/>
          <w:color w:val="2C2C2C"/>
        </w:rPr>
        <w:t xml:space="preserve"> for JIT compilation of the inner loop. Validation is straightforward: regression-test the Python implementation against the wbepi toy dataset and against fresh R runs across a parameter sweep, with seed-locked randomness to confirm distributional equivalence.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Aspect</w:t>
            </w:r>
          </w:p>
        </w:tc>
        <w:tc>
          <w:tcPr>
            <w:tcW w:type="dxa" w:w="351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Strength</w:t>
            </w:r>
          </w:p>
        </w:tc>
        <w:tc>
          <w:tcPr>
            <w:tcW w:type="dxa" w:w="351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Trade-off</w:t>
            </w:r>
          </w:p>
        </w:tc>
      </w:tr>
      <w:tr>
        <w:tc>
          <w:tcPr>
            <w:tcW w:type="dxa" w:w="23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Long-term fit with PDX</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Native to the FastAPI backend; no polyglot deployment; integrates with PDX caching, async workers, and observability.</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Higher upfront cost — one to two weeks of careful ML-specialist time.</w:t>
            </w:r>
          </w:p>
        </w:tc>
      </w:tr>
      <w:tr>
        <w:tc>
          <w:tcPr>
            <w:tcW w:type="dxa" w:w="23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Extensibility</w:t>
            </w:r>
          </w:p>
        </w:tc>
        <w:tc>
          <w:tcPr>
            <w:tcW w:type="dxa" w:w="351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We can add age structure, waning immunity, and other extensions without R refactoring.</w:t>
            </w:r>
          </w:p>
        </w:tc>
        <w:tc>
          <w:tcPr>
            <w:tcW w:type="dxa" w:w="351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We carry the maintenance burden ourselves.</w:t>
            </w:r>
          </w:p>
        </w:tc>
      </w:tr>
      <w:tr>
        <w:tc>
          <w:tcPr>
            <w:tcW w:type="dxa" w:w="23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Validation rigour</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Testing against the reference R implementation forces us to fully understand every transition rule.</w:t>
            </w:r>
          </w:p>
        </w:tc>
        <w:tc>
          <w:tcPr>
            <w:tcW w:type="dxa" w:w="351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Requires disciplined test coverage — non-trivial.</w:t>
            </w:r>
          </w:p>
        </w:tc>
      </w:tr>
      <w:tr>
        <w:tc>
          <w:tcPr>
            <w:tcW w:type="dxa" w:w="23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Diplomatic optics</w:t>
            </w:r>
          </w:p>
        </w:tc>
        <w:tc>
          <w:tcPr>
            <w:tcW w:type="dxa" w:w="351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We can credit the World Bank and LSTM authors prominently in documentation and the UI.</w:t>
            </w:r>
          </w:p>
        </w:tc>
        <w:tc>
          <w:tcPr>
            <w:tcW w:type="dxa" w:w="351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We must be transparent that this is a re-implementation, not a wrapper, to avoid attribution disputes.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4"/>
              <w:left w:val="single" w:color="1F7A4D" w:sz="24"/>
              <w:bottom w:val="single" w:color="1F7A4D" w:sz="4"/>
              <w:right w:val="single" w:color="1F7A4D" w:sz="4"/>
            </w:tcBorders>
            <w:shd w:fill="E8F5EE" w:val="clear"/>
            <w:tcMar>
              <w:top w:type="dxa" w:w="160"/>
              <w:left w:type="dxa" w:w="220"/>
              <w:bottom w:type="dxa" w:w="160"/>
              <w:right w:type="dxa" w:w="220"/>
            </w:tcMar>
          </w:tcPr>
          <w:p>
            <w:pPr>
              <w:spacing w:after="80"/>
            </w:pPr>
            <w:r>
              <w:rPr>
                <w:rFonts w:ascii="Arial" w:cs="Arial" w:eastAsia="Arial" w:hAnsi="Arial"/>
                <w:b/>
                <w:bCs/>
                <w:color w:val="1F7A4D"/>
                <w:sz w:val="22"/>
                <w:szCs w:val="22"/>
              </w:rPr>
              <w:t xml:space="preserve">Recommendation</w:t>
            </w:r>
          </w:p>
          <w:p>
            <w:pPr>
              <w:spacing w:after="40" w:before="40" w:line="300"/>
            </w:pPr>
            <w:r>
              <w:rPr>
                <w:rFonts w:ascii="Arial" w:cs="Arial" w:eastAsia="Arial" w:hAnsi="Arial"/>
                <w:color w:val="2C2C2C"/>
                <w:sz w:val="22"/>
                <w:szCs w:val="22"/>
              </w:rPr>
              <w:t xml:space="preserve">Strategy 2 — Python re-implementation — is the right answer for PDX, despite the higher upfront cost.</w:t>
            </w:r>
          </w:p>
          <w:p>
            <w:pPr>
              <w:spacing w:after="40" w:before="40" w:line="300"/>
            </w:pPr>
            <w:r>
              <w:rPr>
                <w:rFonts w:ascii="Arial" w:cs="Arial" w:eastAsia="Arial" w:hAnsi="Arial"/>
                <w:color w:val="2C2C2C"/>
                <w:sz w:val="22"/>
                <w:szCs w:val="22"/>
              </w:rPr>
              <w:t xml:space="preserve">Reasons: (a) the PDX backend is Python-first and the production team is Python-fluent; (b) every other PDX module is Python, so polyglot deployment for one feature is a maintenance smell; (c) the engine is small enough to re-implement and validate within two weeks; (d) the scientific authority remains with the World Bank / LSTM model — we are simply running the same equations in a different language, with their original publication as the reference specification.</w:t>
            </w:r>
          </w:p>
        </w:tc>
      </w:tr>
    </w:tbl>
    <w:p>
      <w:r>
        <w:br w:type="page"/>
      </w:r>
    </w:p>
    <w:p>
      <w:pPr>
        <w:pStyle w:val="Heading1"/>
        <w:pBdr>
          <w:bottom w:val="single" w:color="0093D5" w:sz="8" w:space="4"/>
        </w:pBdr>
        <w:spacing w:after="200" w:before="360"/>
      </w:pPr>
      <w:r>
        <w:rPr>
          <w:rFonts w:ascii="Arial" w:cs="Arial" w:eastAsia="Arial" w:hAnsi="Arial"/>
          <w:b/>
          <w:bCs/>
          <w:color w:val="003B6F"/>
          <w:sz w:val="32"/>
          <w:szCs w:val="32"/>
        </w:rPr>
        <w:t xml:space="preserve">6.  Build plan for the full-stack team</w:t>
      </w:r>
    </w:p>
    <w:p>
      <w:pPr>
        <w:spacing w:after="120" w:before="80" w:line="320"/>
        <w:jc w:val="both"/>
      </w:pPr>
      <w:r>
        <w:rPr>
          <w:rFonts w:ascii="Arial" w:cs="Arial" w:eastAsia="Arial" w:hAnsi="Arial"/>
          <w:color w:val="2C2C2C"/>
        </w:rPr>
        <w:t xml:space="preserve">This section is organised so it can be lifted directly into a sprint planning document. Effort estimates assume one ML specialist, one backend engineer, and one frontend engineer working in parallel where dependencies allow.</w:t>
      </w:r>
    </w:p>
    <w:p>
      <w:pPr>
        <w:pStyle w:val="Heading2"/>
        <w:spacing w:after="140" w:before="280"/>
      </w:pPr>
      <w:r>
        <w:rPr>
          <w:rFonts w:ascii="Arial" w:cs="Arial" w:eastAsia="Arial" w:hAnsi="Arial"/>
          <w:b/>
          <w:bCs/>
          <w:color w:val="005B96"/>
          <w:sz w:val="26"/>
          <w:szCs w:val="26"/>
        </w:rPr>
        <w:t xml:space="preserve">6.1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c>
          <w:tcPr>
            <w:tcW w:type="dxa" w:w="290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Workstream</w:t>
            </w:r>
          </w:p>
        </w:tc>
        <w:tc>
          <w:tcPr>
            <w:tcW w:type="dxa" w:w="190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Owner</w:t>
            </w:r>
          </w:p>
        </w:tc>
        <w:tc>
          <w:tcPr>
            <w:tcW w:type="dxa" w:w="456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Deliverable</w:t>
            </w:r>
          </w:p>
        </w:tc>
      </w:tr>
      <w:tr>
        <w:tc>
          <w:tcPr>
            <w:tcW w:type="dxa" w:w="290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Engine port to Python</w:t>
            </w:r>
          </w:p>
        </w:tc>
        <w:tc>
          <w:tcPr>
            <w:tcW w:type="dxa" w:w="190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ML specialist</w:t>
            </w:r>
          </w:p>
        </w:tc>
        <w:tc>
          <w:tcPr>
            <w:tcW w:type="dxa" w:w="456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wbepi.py module with full test coverage against R reference outputs</w:t>
            </w:r>
          </w:p>
        </w:tc>
      </w:tr>
      <w:tr>
        <w:tc>
          <w:tcPr>
            <w:tcW w:type="dxa" w:w="290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Parameter-fitting layer</w:t>
            </w:r>
          </w:p>
        </w:tc>
        <w:tc>
          <w:tcPr>
            <w:tcW w:type="dxa" w:w="190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ML specialist</w:t>
            </w:r>
          </w:p>
        </w:tc>
        <w:tc>
          <w:tcPr>
            <w:tcW w:type="dxa" w:w="456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Bayesian estimation of β, σ, γ, μ from country case data with credible intervals</w:t>
            </w:r>
          </w:p>
        </w:tc>
      </w:tr>
      <w:tr>
        <w:tc>
          <w:tcPr>
            <w:tcW w:type="dxa" w:w="290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Scenario API</w:t>
            </w:r>
          </w:p>
        </w:tc>
        <w:tc>
          <w:tcPr>
            <w:tcW w:type="dxa" w:w="190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Backend engineer</w:t>
            </w:r>
          </w:p>
        </w:tc>
        <w:tc>
          <w:tcPr>
            <w:tcW w:type="dxa" w:w="456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FastAPI endpoints: POST /scenarios, GET /scenarios/{id}, GET /scenarios/{id}/results</w:t>
            </w:r>
          </w:p>
        </w:tc>
      </w:tr>
      <w:tr>
        <w:tc>
          <w:tcPr>
            <w:tcW w:type="dxa" w:w="290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Scenario storage</w:t>
            </w:r>
          </w:p>
        </w:tc>
        <w:tc>
          <w:tcPr>
            <w:tcW w:type="dxa" w:w="190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Backend engineer</w:t>
            </w:r>
          </w:p>
        </w:tc>
        <w:tc>
          <w:tcPr>
            <w:tcW w:type="dxa" w:w="456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Postgres schema with pgvector for similar-scenario retrieval</w:t>
            </w:r>
          </w:p>
        </w:tc>
      </w:tr>
      <w:tr>
        <w:tc>
          <w:tcPr>
            <w:tcW w:type="dxa" w:w="290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Async execution</w:t>
            </w:r>
          </w:p>
        </w:tc>
        <w:tc>
          <w:tcPr>
            <w:tcW w:type="dxa" w:w="190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Backend engineer</w:t>
            </w:r>
          </w:p>
        </w:tc>
        <w:tc>
          <w:tcPr>
            <w:tcW w:type="dxa" w:w="456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Background worker queue (Celery or APScheduler) for long-running simulations</w:t>
            </w:r>
          </w:p>
        </w:tc>
      </w:tr>
      <w:tr>
        <w:tc>
          <w:tcPr>
            <w:tcW w:type="dxa" w:w="290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Predictions Dashboard UI</w:t>
            </w:r>
          </w:p>
        </w:tc>
        <w:tc>
          <w:tcPr>
            <w:tcW w:type="dxa" w:w="190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Frontend engineer</w:t>
            </w:r>
          </w:p>
        </w:tc>
        <w:tc>
          <w:tcPr>
            <w:tcW w:type="dxa" w:w="456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Scenario configurator, trajectory comparison plots, uncertainty bands, export</w:t>
            </w:r>
          </w:p>
        </w:tc>
      </w:tr>
      <w:tr>
        <w:tc>
          <w:tcPr>
            <w:tcW w:type="dxa" w:w="290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Documentation &amp; attribution</w:t>
            </w:r>
          </w:p>
        </w:tc>
        <w:tc>
          <w:tcPr>
            <w:tcW w:type="dxa" w:w="190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ML specialist</w:t>
            </w:r>
          </w:p>
        </w:tc>
        <w:tc>
          <w:tcPr>
            <w:tcW w:type="dxa" w:w="456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Methods note crediting World Bank / LSTM, model card, validation report</w:t>
            </w:r>
          </w:p>
        </w:tc>
      </w:tr>
    </w:tbl>
    <w:p>
      <w:pPr>
        <w:pStyle w:val="Heading2"/>
        <w:spacing w:after="140" w:before="280"/>
      </w:pPr>
      <w:r>
        <w:rPr>
          <w:rFonts w:ascii="Arial" w:cs="Arial" w:eastAsia="Arial" w:hAnsi="Arial"/>
          <w:b/>
          <w:bCs/>
          <w:color w:val="005B96"/>
          <w:sz w:val="26"/>
          <w:szCs w:val="26"/>
        </w:rPr>
        <w:t xml:space="preserve">6.2  Phasing</w:t>
      </w:r>
    </w:p>
    <w:p>
      <w:pPr>
        <w:pStyle w:val="ListParagraph"/>
        <w:numPr>
          <w:ilvl w:val="0"/>
          <w:numId w:val="2"/>
        </w:numPr>
        <w:spacing w:after="40" w:before="40" w:line="300"/>
      </w:pPr>
      <w:r>
        <w:rPr>
          <w:rFonts w:ascii="Arial" w:cs="Arial" w:eastAsia="Arial" w:hAnsi="Arial"/>
          <w:color w:val="2C2C2C"/>
        </w:rPr>
        <w:t xml:space="preserve">Sprint 1 — port engine to Python and validate against R toy dataset; stand up the FastAPI scaffold with a synchronous endpoint for small scenarios.</w:t>
      </w:r>
    </w:p>
    <w:p>
      <w:pPr>
        <w:pStyle w:val="ListParagraph"/>
        <w:numPr>
          <w:ilvl w:val="0"/>
          <w:numId w:val="2"/>
        </w:numPr>
        <w:spacing w:after="40" w:before="40" w:line="300"/>
      </w:pPr>
      <w:r>
        <w:rPr>
          <w:rFonts w:ascii="Arial" w:cs="Arial" w:eastAsia="Arial" w:hAnsi="Arial"/>
          <w:color w:val="2C2C2C"/>
        </w:rPr>
        <w:t xml:space="preserve">Sprint 2 — add the parameter-fitting layer using a single pilot pathogen (cholera or Mpox) for a single pilot country; add async execution for runs above a configurable threshold.</w:t>
      </w:r>
    </w:p>
    <w:p>
      <w:pPr>
        <w:pStyle w:val="ListParagraph"/>
        <w:numPr>
          <w:ilvl w:val="0"/>
          <w:numId w:val="2"/>
        </w:numPr>
        <w:spacing w:after="40" w:before="40" w:line="300"/>
      </w:pPr>
      <w:r>
        <w:rPr>
          <w:rFonts w:ascii="Arial" w:cs="Arial" w:eastAsia="Arial" w:hAnsi="Arial"/>
          <w:color w:val="2C2C2C"/>
        </w:rPr>
        <w:t xml:space="preserve">Sprint 3 — Predictions Dashboard UI for scenario configuration and trajectory comparison; integrate with existing country and pathogen selectors.</w:t>
      </w:r>
    </w:p>
    <w:p>
      <w:pPr>
        <w:pStyle w:val="ListParagraph"/>
        <w:numPr>
          <w:ilvl w:val="0"/>
          <w:numId w:val="2"/>
        </w:numPr>
        <w:spacing w:after="40" w:before="40" w:line="300"/>
      </w:pPr>
      <w:r>
        <w:rPr>
          <w:rFonts w:ascii="Arial" w:cs="Arial" w:eastAsia="Arial" w:hAnsi="Arial"/>
          <w:color w:val="2C2C2C"/>
        </w:rPr>
        <w:t xml:space="preserve">Sprint 4 — add cost-effectiveness layer (DALYs averted, deaths averted, ICERs against WHO-CHOICE thresholds), with cost-effectiveness distributions rather than point estimates.</w:t>
      </w:r>
    </w:p>
    <w:p>
      <w:pPr>
        <w:pStyle w:val="ListParagraph"/>
        <w:numPr>
          <w:ilvl w:val="0"/>
          <w:numId w:val="2"/>
        </w:numPr>
        <w:spacing w:after="40" w:before="40" w:line="300"/>
      </w:pPr>
      <w:r>
        <w:rPr>
          <w:rFonts w:ascii="Arial" w:cs="Arial" w:eastAsia="Arial" w:hAnsi="Arial"/>
          <w:color w:val="2C2C2C"/>
        </w:rPr>
        <w:t xml:space="preserve">Sprint 5 — expose the scenario API to OneHealth, Decision WHO, and Risk Sentinel as internal consumers (this begins the transition from Option A toward Option C).</w:t>
      </w:r>
    </w:p>
    <w:p>
      <w:pPr>
        <w:pStyle w:val="Heading2"/>
        <w:spacing w:after="140" w:before="280"/>
      </w:pPr>
      <w:r>
        <w:rPr>
          <w:rFonts w:ascii="Arial" w:cs="Arial" w:eastAsia="Arial" w:hAnsi="Arial"/>
          <w:b/>
          <w:bCs/>
          <w:color w:val="005B96"/>
          <w:sz w:val="26"/>
          <w:szCs w:val="26"/>
        </w:rPr>
        <w:t xml:space="preserve">6.3  What the cost-effectiveness layer adds</w:t>
      </w:r>
    </w:p>
    <w:p>
      <w:pPr>
        <w:spacing w:after="120" w:before="80" w:line="320"/>
        <w:jc w:val="both"/>
      </w:pPr>
      <w:r>
        <w:rPr>
          <w:rFonts w:ascii="Arial" w:cs="Arial" w:eastAsia="Arial" w:hAnsi="Arial"/>
          <w:color w:val="2C2C2C"/>
        </w:rPr>
        <w:t xml:space="preserve">This is the strategic destination for the engine, so it is worth describing explicitly. Once the engine returns intervention-vs-no-intervention trajectory distributions, cost-effectiveness analysis becomes a clean addition: monetise DALYs averted and deaths averted from each simulation draw, pull intervention costs from a unit-cost reference table (vaccine doses, CHW days per case, case management costs), and compute incremental cost-effectiveness ratios using the same stochastic draws so that the output is a </w:t>
      </w:r>
      <w:r>
        <w:rPr>
          <w:rFonts w:ascii="Arial" w:cs="Arial" w:eastAsia="Arial" w:hAnsi="Arial"/>
          <w:i/>
          <w:iCs/>
          <w:color w:val="2C2C2C"/>
        </w:rPr>
        <w:t xml:space="preserve">distribution</w:t>
      </w:r>
      <w:r>
        <w:rPr>
          <w:rFonts w:ascii="Arial" w:cs="Arial" w:eastAsia="Arial" w:hAnsi="Arial"/>
          <w:color w:val="2C2C2C"/>
        </w:rPr>
        <w:t xml:space="preserve"> of cost-effectiveness, not a single number. WHO-CHOICE thresholds give the willingness-to-pay benchmarks per country. The decision-grade output then reads, for example: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3D5" w:sz="4"/>
              <w:left w:val="single" w:color="0093D5" w:sz="24"/>
              <w:bottom w:val="single" w:color="0093D5" w:sz="4"/>
              <w:right w:val="single" w:color="0093D5" w:sz="4"/>
            </w:tcBorders>
            <w:shd w:fill="EAF4FB" w:val="clear"/>
            <w:tcMar>
              <w:top w:type="dxa" w:w="160"/>
              <w:left w:type="dxa" w:w="220"/>
              <w:bottom w:type="dxa" w:w="160"/>
              <w:right w:type="dxa" w:w="220"/>
            </w:tcMar>
          </w:tcPr>
          <w:p>
            <w:pPr>
              <w:spacing w:after="80"/>
            </w:pPr>
            <w:r>
              <w:rPr>
                <w:rFonts w:ascii="Arial" w:cs="Arial" w:eastAsia="Arial" w:hAnsi="Arial"/>
                <w:b/>
                <w:bCs/>
                <w:color w:val="0093D5"/>
                <w:sz w:val="22"/>
                <w:szCs w:val="22"/>
              </w:rPr>
              <w:t xml:space="preserve">Example output</w:t>
            </w:r>
          </w:p>
          <w:p>
            <w:pPr>
              <w:spacing w:after="40" w:before="40" w:line="300"/>
            </w:pPr>
            <w:r>
              <w:rPr>
                <w:rFonts w:ascii="Arial" w:cs="Arial" w:eastAsia="Arial" w:hAnsi="Arial"/>
                <w:color w:val="2C2C2C"/>
                <w:sz w:val="22"/>
                <w:szCs w:val="22"/>
              </w:rPr>
              <w:t xml:space="preserve">“Ring vaccination starting at day 7 with target_size = 200 is cost-effective in 87% of simulations at the WHO-CHOICE threshold for Country X. Median ICER: USD 245 per DALY averted (95% credible interval USD 110–520).”</w:t>
            </w:r>
          </w:p>
        </w:tc>
      </w:tr>
    </w:tbl>
    <w:p>
      <w:r>
        <w:br w:type="page"/>
      </w:r>
    </w:p>
    <w:p>
      <w:pPr>
        <w:pStyle w:val="Heading1"/>
        <w:pBdr>
          <w:bottom w:val="single" w:color="0093D5" w:sz="8" w:space="4"/>
        </w:pBdr>
        <w:spacing w:after="200" w:before="360"/>
      </w:pPr>
      <w:r>
        <w:rPr>
          <w:rFonts w:ascii="Arial" w:cs="Arial" w:eastAsia="Arial" w:hAnsi="Arial"/>
          <w:b/>
          <w:bCs/>
          <w:color w:val="003B6F"/>
          <w:sz w:val="32"/>
          <w:szCs w:val="32"/>
        </w:rPr>
        <w:t xml:space="preserve">7.  Risks and items to clarify before building</w:t>
      </w:r>
    </w:p>
    <w:p>
      <w:pPr>
        <w:pStyle w:val="ListParagraph"/>
        <w:numPr>
          <w:ilvl w:val="0"/>
          <w:numId w:val="2"/>
        </w:numPr>
        <w:spacing w:after="40" w:before="40" w:line="300"/>
      </w:pPr>
      <w:r>
        <w:rPr>
          <w:rFonts w:ascii="Arial" w:cs="Arial" w:eastAsia="Arial" w:hAnsi="Arial"/>
          <w:color w:val="2C2C2C"/>
        </w:rPr>
        <w:t xml:space="preserve">Confirm the LSTM attribution. The acronym is now confirmed as London School of Tropical Medicine — this should be reflected explicitly in PDX documentation, the UI, and any external communication, to avoid confusion with the deep-learning architecture.</w:t>
      </w:r>
    </w:p>
    <w:p>
      <w:pPr>
        <w:pStyle w:val="ListParagraph"/>
        <w:numPr>
          <w:ilvl w:val="0"/>
          <w:numId w:val="2"/>
        </w:numPr>
        <w:spacing w:after="40" w:before="40" w:line="300"/>
      </w:pPr>
      <w:r>
        <w:rPr>
          <w:rFonts w:ascii="Arial" w:cs="Arial" w:eastAsia="Arial" w:hAnsi="Arial"/>
          <w:color w:val="2C2C2C"/>
        </w:rPr>
        <w:t xml:space="preserve">Confirm licensing for sovereign deployments. The repository is MIT-licensed, which permits embedding and modification, but we should obtain written confirmation from the World Bank before deploying the engine inside Member State sovereign instances of PDX.</w:t>
      </w:r>
    </w:p>
    <w:p>
      <w:pPr>
        <w:pStyle w:val="ListParagraph"/>
        <w:numPr>
          <w:ilvl w:val="0"/>
          <w:numId w:val="2"/>
        </w:numPr>
        <w:spacing w:after="40" w:before="40" w:line="300"/>
      </w:pPr>
      <w:r>
        <w:rPr>
          <w:rFonts w:ascii="Arial" w:cs="Arial" w:eastAsia="Arial" w:hAnsi="Arial"/>
          <w:color w:val="2C2C2C"/>
        </w:rPr>
        <w:t xml:space="preserve">Confirm the package version we are integrating against. The shipped version is 0.1.0.999 — a development version. We should pin to a specific commit hash for reproducibility, and agree with the World Bank team how upstream changes will be tracked.</w:t>
      </w:r>
    </w:p>
    <w:p>
      <w:pPr>
        <w:pStyle w:val="ListParagraph"/>
        <w:numPr>
          <w:ilvl w:val="0"/>
          <w:numId w:val="2"/>
        </w:numPr>
        <w:spacing w:after="40" w:before="40" w:line="300"/>
      </w:pPr>
      <w:r>
        <w:rPr>
          <w:rFonts w:ascii="Arial" w:cs="Arial" w:eastAsia="Arial" w:hAnsi="Arial"/>
          <w:color w:val="2C2C2C"/>
        </w:rPr>
        <w:t xml:space="preserve">Agree on attribution language. Whether we wrap or re-implement, the methods documentation, the model card, and the dashboard UI should credit the World Bank Group and Thibaut Jombart / LSTM as the model authors. This must be done correctly; it is both an ethical obligation and a relationship asset.</w:t>
      </w:r>
    </w:p>
    <w:p>
      <w:pPr>
        <w:pStyle w:val="ListParagraph"/>
        <w:numPr>
          <w:ilvl w:val="0"/>
          <w:numId w:val="2"/>
        </w:numPr>
        <w:spacing w:after="40" w:before="40" w:line="300"/>
      </w:pPr>
      <w:r>
        <w:rPr>
          <w:rFonts w:ascii="Arial" w:cs="Arial" w:eastAsia="Arial" w:hAnsi="Arial"/>
          <w:color w:val="2C2C2C"/>
        </w:rPr>
        <w:t xml:space="preserve">Decide on parameter sources. β, σ, γ, μ priors should come from published literature for each pathogen. We will need a small reference library of pathogen parameter sets — start with cholera, Mpox, measles, meningitis, and Ebola, given AFRO priorities.</w:t>
      </w:r>
    </w:p>
    <w:p>
      <w:pPr>
        <w:pStyle w:val="ListParagraph"/>
        <w:numPr>
          <w:ilvl w:val="0"/>
          <w:numId w:val="2"/>
        </w:numPr>
        <w:spacing w:after="40" w:before="40" w:line="300"/>
      </w:pPr>
      <w:r>
        <w:rPr>
          <w:rFonts w:ascii="Arial" w:cs="Arial" w:eastAsia="Arial" w:hAnsi="Arial"/>
          <w:color w:val="2C2C2C"/>
        </w:rPr>
        <w:t xml:space="preserve">Validate against at least one real historical outbreak before going live. Re-running a known outbreak (for example, the 2018–2020 Ebola outbreak in eastern DRC, or a recent cholera wave) and comparing simulated counterfactuals against documented response decisions is the credibility check that will matter to Ministers.</w:t>
      </w:r>
    </w:p>
    <w:p>
      <w:r>
        <w:br w:type="page"/>
      </w:r>
    </w:p>
    <w:p>
      <w:pPr>
        <w:pStyle w:val="Heading1"/>
        <w:pBdr>
          <w:bottom w:val="single" w:color="0093D5" w:sz="8" w:space="4"/>
        </w:pBdr>
        <w:spacing w:after="200" w:before="360"/>
      </w:pPr>
      <w:r>
        <w:rPr>
          <w:rFonts w:ascii="Arial" w:cs="Arial" w:eastAsia="Arial" w:hAnsi="Arial"/>
          <w:b/>
          <w:bCs/>
          <w:color w:val="003B6F"/>
          <w:sz w:val="32"/>
          <w:szCs w:val="32"/>
        </w:rPr>
        <w:t xml:space="preserve">8.  At-a-glance summary for the engineering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Question</w:t>
            </w:r>
          </w:p>
        </w:tc>
        <w:tc>
          <w:tcPr>
            <w:tcW w:type="dxa" w:w="624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Answer</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What is wbepi?</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An R package implementing a stochastic SEIRDV metapopulation epidemic simulator with reactive interventions, authored by Thibaut Jombart for the World Bank Group, with LSTM (London School of Tropical Medicine) affiliation.</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Is this an LSTM neural network?</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No. LSTM here means London School of Tropical Medicine. The model is a classical mechanistic compartmental simulator.</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What does it do for PDX?</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Runs counterfactual scenarios — “what would happen under each candidate response” — with full uncertainty distributions. Foundation layer for cost-effectiveness analysis.</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Where does it live in PDX?</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Embedded in the Predictions Dashboard as a Scenario &amp; Response section (Option A). Later refactored to a backend service consumed by OneHealth, Decision WHO, and Risk Sentinel (Option C).</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Wrap the R package, or re-implement in Python?</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Re-implement in Python. The model is small, validation is tractable, and it keeps the PDX stack monolingual.</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What is missing from the package?</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A parameter-fitting layer (Bayesian estimation of β, σ, γ, μ from country data) and a cost-effectiveness layer. Both must be built by us.</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What is the build effort?</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Roughly five sprints to first production release with cost-effectiveness, with one ML specialist plus one backend and one frontend engineer.</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Is the package's output shape stable?</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Yes — long-format table, one row per (simulation, time step), with compartments indexed by population. The toy_data.xlsx in the repository is the canonical example.</w:t>
            </w:r>
          </w:p>
        </w:tc>
      </w:tr>
    </w:tbl>
    <w:p>
      <w:r>
        <w:br w:type="page"/>
      </w:r>
    </w:p>
    <w:p>
      <w:pPr>
        <w:pStyle w:val="Heading1"/>
        <w:pBdr>
          <w:bottom w:val="single" w:color="0093D5" w:sz="8" w:space="4"/>
        </w:pBdr>
        <w:spacing w:after="200" w:before="360"/>
      </w:pPr>
      <w:r>
        <w:rPr>
          <w:rFonts w:ascii="Arial" w:cs="Arial" w:eastAsia="Arial" w:hAnsi="Arial"/>
          <w:b/>
          <w:bCs/>
          <w:color w:val="003B6F"/>
          <w:sz w:val="32"/>
          <w:szCs w:val="32"/>
        </w:rPr>
        <w:t xml:space="preserve">Appendix A.  Reference parameters from the toy dataset</w:t>
      </w:r>
    </w:p>
    <w:p>
      <w:pPr>
        <w:spacing w:after="120" w:before="80" w:line="320"/>
        <w:jc w:val="both"/>
      </w:pPr>
      <w:r>
        <w:rPr>
          <w:rFonts w:ascii="Arial" w:cs="Arial" w:eastAsia="Arial" w:hAnsi="Arial"/>
          <w:color w:val="2C2C2C"/>
        </w:rPr>
        <w:t xml:space="preserve">The toy dataset shipped with the package was generated using the parameters below. These are useful as a baseline sanity check during the Python re-implementation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Parameter</w:t>
            </w:r>
          </w:p>
        </w:tc>
        <w:tc>
          <w:tcPr>
            <w:tcW w:type="dxa" w:w="6240"/>
            <w:tcBorders>
              <w:top w:val="single" w:color="B9D9EB" w:sz="4"/>
              <w:left w:val="single" w:color="B9D9EB" w:sz="4"/>
              <w:bottom w:val="single" w:color="B9D9EB" w:sz="4"/>
              <w:right w:val="single" w:color="B9D9EB" w:sz="4"/>
            </w:tcBorders>
            <w:shd w:fill="005B96" w:val="clear"/>
            <w:tcMar>
              <w:top w:type="dxa" w:w="100"/>
              <w:left w:type="dxa" w:w="140"/>
              <w:bottom w:type="dxa" w:w="100"/>
              <w:right w:type="dxa" w:w="140"/>
            </w:tcMar>
          </w:tcPr>
          <w:p>
            <w:r>
              <w:rPr>
                <w:rFonts w:ascii="Arial" w:cs="Arial" w:eastAsia="Arial" w:hAnsi="Arial"/>
                <w:b/>
                <w:bCs/>
                <w:color w:val="FFFFFF"/>
                <w:sz w:val="21"/>
                <w:szCs w:val="21"/>
              </w:rPr>
              <w:t xml:space="preserve">Value</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n_populations</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4</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ini_S (per population)</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1000, 3000, 12000, 2000</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ini_I (per population)</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10, 0, 0, 1</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β (transmission rate)</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0.2</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σ (1 / incubation time)</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1/7  (~1 week incubation)</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γ (1 / illness duration)</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1/14  (~2 weeks illness)</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μ (case fatality ratio)</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0.30</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interv_delay</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10 days</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interv_efficacy</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0.25  (25% reduction in transmission)</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interv_vacc_type</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2  (targeted)</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target_size</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200  (200 contacts vaccinated per case)</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interv_release</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28 days without case</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diffusion</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0.10  (10% spatial diffusion)</w:t>
            </w:r>
          </w:p>
        </w:tc>
      </w:tr>
      <w:tr>
        <w:tc>
          <w:tcPr>
            <w:tcW w:type="dxa" w:w="312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time</w:t>
            </w:r>
          </w:p>
        </w:tc>
        <w:tc>
          <w:tcPr>
            <w:tcW w:type="dxa" w:w="6240"/>
            <w:tcBorders>
              <w:top w:val="single" w:color="B9D9EB" w:sz="4"/>
              <w:left w:val="single" w:color="B9D9EB" w:sz="4"/>
              <w:bottom w:val="single" w:color="B9D9EB" w:sz="4"/>
              <w:right w:val="single" w:color="B9D9EB" w:sz="4"/>
            </w:tcBorders>
            <w:shd w:fill="EAF4FB" w:val="clear"/>
            <w:tcMar>
              <w:top w:type="dxa" w:w="90"/>
              <w:left w:type="dxa" w:w="140"/>
              <w:bottom w:type="dxa" w:w="90"/>
              <w:right w:type="dxa" w:w="140"/>
            </w:tcMar>
          </w:tcPr>
          <w:p>
            <w:r>
              <w:rPr>
                <w:rFonts w:ascii="Arial" w:cs="Arial" w:eastAsia="Arial" w:hAnsi="Arial"/>
                <w:color w:val="2C2C2C"/>
                <w:sz w:val="20"/>
                <w:szCs w:val="20"/>
              </w:rPr>
              <w:t xml:space="preserve">365 days</w:t>
            </w:r>
          </w:p>
        </w:tc>
      </w:tr>
      <w:tr>
        <w:tc>
          <w:tcPr>
            <w:tcW w:type="dxa" w:w="312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n_sims</w:t>
            </w:r>
          </w:p>
        </w:tc>
        <w:tc>
          <w:tcPr>
            <w:tcW w:type="dxa" w:w="6240"/>
            <w:tcBorders>
              <w:top w:val="single" w:color="B9D9EB" w:sz="4"/>
              <w:left w:val="single" w:color="B9D9EB" w:sz="4"/>
              <w:bottom w:val="single" w:color="B9D9EB" w:sz="4"/>
              <w:right w:val="single" w:color="B9D9EB" w:sz="4"/>
            </w:tcBorders>
            <w:tcMar>
              <w:top w:type="dxa" w:w="90"/>
              <w:left w:type="dxa" w:w="140"/>
              <w:bottom w:type="dxa" w:w="90"/>
              <w:right w:type="dxa" w:w="140"/>
            </w:tcMar>
          </w:tcPr>
          <w:p>
            <w:r>
              <w:rPr>
                <w:rFonts w:ascii="Arial" w:cs="Arial" w:eastAsia="Arial" w:hAnsi="Arial"/>
                <w:color w:val="2C2C2C"/>
                <w:sz w:val="20"/>
                <w:szCs w:val="20"/>
              </w:rPr>
              <w:t xml:space="preserve">10</w:t>
            </w:r>
          </w:p>
        </w:tc>
      </w:tr>
    </w:tbl>
    <w:p>
      <w:pPr>
        <w:pStyle w:val="Heading1"/>
        <w:pBdr>
          <w:bottom w:val="single" w:color="0093D5" w:sz="8" w:space="4"/>
        </w:pBdr>
        <w:spacing w:after="200" w:before="360"/>
      </w:pPr>
      <w:r>
        <w:rPr>
          <w:rFonts w:ascii="Arial" w:cs="Arial" w:eastAsia="Arial" w:hAnsi="Arial"/>
          <w:b/>
          <w:bCs/>
          <w:color w:val="003B6F"/>
          <w:sz w:val="32"/>
          <w:szCs w:val="32"/>
        </w:rPr>
        <w:t xml:space="preserve">Appendix B.  File structure of the wbepi repository</w:t>
      </w:r>
    </w:p>
    <w:p>
      <w:pPr>
        <w:shd w:fill="F4F6F8" w:val="clear"/>
        <w:spacing w:after="20" w:before="20" w:line="260"/>
      </w:pPr>
      <w:r>
        <w:rPr>
          <w:rFonts w:ascii="Consolas" w:cs="Consolas" w:eastAsia="Consolas" w:hAnsi="Consolas"/>
          <w:color w:val="1A1A1A"/>
          <w:sz w:val="18"/>
          <w:szCs w:val="18"/>
        </w:rPr>
        <w:t xml:space="preserve">wbepi-main/</w:t>
      </w:r>
    </w:p>
    <w:p>
      <w:pPr>
        <w:shd w:fill="F4F6F8" w:val="clear"/>
        <w:spacing w:after="20" w:before="20" w:line="260"/>
      </w:pPr>
      <w:r>
        <w:rPr>
          <w:rFonts w:ascii="Consolas" w:cs="Consolas" w:eastAsia="Consolas" w:hAnsi="Consolas"/>
          <w:color w:val="1A1A1A"/>
          <w:sz w:val="18"/>
          <w:szCs w:val="18"/>
        </w:rPr>
        <w:t xml:space="preserve">├── DESCRIPTION              # Package metadata</w:t>
      </w:r>
    </w:p>
    <w:p>
      <w:pPr>
        <w:shd w:fill="F4F6F8" w:val="clear"/>
        <w:spacing w:after="20" w:before="20" w:line="260"/>
      </w:pPr>
      <w:r>
        <w:rPr>
          <w:rFonts w:ascii="Consolas" w:cs="Consolas" w:eastAsia="Consolas" w:hAnsi="Consolas"/>
          <w:color w:val="1A1A1A"/>
          <w:sz w:val="18"/>
          <w:szCs w:val="18"/>
        </w:rPr>
        <w:t xml:space="preserve">├── NAMESPACE                # Exported functions</w:t>
      </w:r>
    </w:p>
    <w:p>
      <w:pPr>
        <w:shd w:fill="F4F6F8" w:val="clear"/>
        <w:spacing w:after="20" w:before="20" w:line="260"/>
      </w:pPr>
      <w:r>
        <w:rPr>
          <w:rFonts w:ascii="Consolas" w:cs="Consolas" w:eastAsia="Consolas" w:hAnsi="Consolas"/>
          <w:color w:val="1A1A1A"/>
          <w:sz w:val="18"/>
          <w:szCs w:val="18"/>
        </w:rPr>
        <w:t xml:space="preserve">├── R/                       # R source code</w:t>
      </w:r>
    </w:p>
    <w:p>
      <w:pPr>
        <w:shd w:fill="F4F6F8" w:val="clear"/>
        <w:spacing w:after="20" w:before="20" w:line="260"/>
      </w:pPr>
      <w:r>
        <w:rPr>
          <w:rFonts w:ascii="Consolas" w:cs="Consolas" w:eastAsia="Consolas" w:hAnsi="Consolas"/>
          <w:color w:val="1A1A1A"/>
          <w:sz w:val="18"/>
          <w:szCs w:val="18"/>
        </w:rPr>
        <w:t xml:space="preserve">│   ├── run_seirdv.R         # Main user-facing entry point</w:t>
      </w:r>
    </w:p>
    <w:p>
      <w:pPr>
        <w:shd w:fill="F4F6F8" w:val="clear"/>
        <w:spacing w:after="20" w:before="20" w:line="260"/>
      </w:pPr>
      <w:r>
        <w:rPr>
          <w:rFonts w:ascii="Consolas" w:cs="Consolas" w:eastAsia="Consolas" w:hAnsi="Consolas"/>
          <w:color w:val="1A1A1A"/>
          <w:sz w:val="18"/>
          <w:szCs w:val="18"/>
        </w:rPr>
        <w:t xml:space="preserve">│   ├── build_seirdv.R       # Compiles odin model to C</w:t>
      </w:r>
    </w:p>
    <w:p>
      <w:pPr>
        <w:shd w:fill="F4F6F8" w:val="clear"/>
        <w:spacing w:after="20" w:before="20" w:line="260"/>
      </w:pPr>
      <w:r>
        <w:rPr>
          <w:rFonts w:ascii="Consolas" w:cs="Consolas" w:eastAsia="Consolas" w:hAnsi="Consolas"/>
          <w:color w:val="1A1A1A"/>
          <w:sz w:val="18"/>
          <w:szCs w:val="18"/>
        </w:rPr>
        <w:t xml:space="preserve">│   ├── process_inputs.R     # Input validation</w:t>
      </w:r>
    </w:p>
    <w:p>
      <w:pPr>
        <w:shd w:fill="F4F6F8" w:val="clear"/>
        <w:spacing w:after="20" w:before="20" w:line="260"/>
      </w:pPr>
      <w:r>
        <w:rPr>
          <w:rFonts w:ascii="Consolas" w:cs="Consolas" w:eastAsia="Consolas" w:hAnsi="Consolas"/>
          <w:color w:val="1A1A1A"/>
          <w:sz w:val="18"/>
          <w:szCs w:val="18"/>
        </w:rPr>
        <w:t xml:space="preserve">│   └── process_*.R          # Helper preprocessors</w:t>
      </w:r>
    </w:p>
    <w:p>
      <w:pPr>
        <w:shd w:fill="F4F6F8" w:val="clear"/>
        <w:spacing w:after="20" w:before="20" w:line="260"/>
      </w:pPr>
      <w:r>
        <w:rPr>
          <w:rFonts w:ascii="Consolas" w:cs="Consolas" w:eastAsia="Consolas" w:hAnsi="Consolas"/>
          <w:color w:val="1A1A1A"/>
          <w:sz w:val="18"/>
          <w:szCs w:val="18"/>
        </w:rPr>
        <w:t xml:space="preserve">├── inst/odin/seirdv.R       # The model definition (odin DSL)</w:t>
      </w:r>
    </w:p>
    <w:p>
      <w:pPr>
        <w:shd w:fill="F4F6F8" w:val="clear"/>
        <w:spacing w:after="20" w:before="20" w:line="260"/>
      </w:pPr>
      <w:r>
        <w:rPr>
          <w:rFonts w:ascii="Consolas" w:cs="Consolas" w:eastAsia="Consolas" w:hAnsi="Consolas"/>
          <w:color w:val="1A1A1A"/>
          <w:sz w:val="18"/>
          <w:szCs w:val="18"/>
        </w:rPr>
        <w:t xml:space="preserve">├── src/odin.c               # Auto-generated compiled C model</w:t>
      </w:r>
    </w:p>
    <w:p>
      <w:pPr>
        <w:shd w:fill="F4F6F8" w:val="clear"/>
        <w:spacing w:after="20" w:before="20" w:line="260"/>
      </w:pPr>
      <w:r>
        <w:rPr>
          <w:rFonts w:ascii="Consolas" w:cs="Consolas" w:eastAsia="Consolas" w:hAnsi="Consolas"/>
          <w:color w:val="1A1A1A"/>
          <w:sz w:val="18"/>
          <w:szCs w:val="18"/>
        </w:rPr>
        <w:t xml:space="preserve">├── vignettes/               # Mathematical model description</w:t>
      </w:r>
    </w:p>
    <w:p>
      <w:pPr>
        <w:shd w:fill="F4F6F8" w:val="clear"/>
        <w:spacing w:after="20" w:before="20" w:line="260"/>
      </w:pPr>
      <w:r>
        <w:rPr>
          <w:rFonts w:ascii="Consolas" w:cs="Consolas" w:eastAsia="Consolas" w:hAnsi="Consolas"/>
          <w:color w:val="1A1A1A"/>
          <w:sz w:val="18"/>
          <w:szCs w:val="18"/>
        </w:rPr>
        <w:t xml:space="preserve">├── tests/testthat/          # Test suite</w:t>
      </w:r>
    </w:p>
    <w:p>
      <w:pPr>
        <w:shd w:fill="F4F6F8" w:val="clear"/>
        <w:spacing w:after="20" w:before="20" w:line="260"/>
      </w:pPr>
      <w:r>
        <w:rPr>
          <w:rFonts w:ascii="Consolas" w:cs="Consolas" w:eastAsia="Consolas" w:hAnsi="Consolas"/>
          <w:color w:val="1A1A1A"/>
          <w:sz w:val="18"/>
          <w:szCs w:val="18"/>
        </w:rPr>
        <w:t xml:space="preserve">└── toy_data.xlsx            # Reference output dataset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3D5" w:sz="6" w:space="4"/>
      </w:pBdr>
      <w:tabs>
        <w:tab w:val="right" w:pos="9026"/>
      </w:tabs>
    </w:pPr>
    <w:r>
      <w:rPr>
        <w:rFonts w:ascii="Arial" w:cs="Arial" w:eastAsia="Arial" w:hAnsi="Arial"/>
        <w:color w:val="5A5A5A"/>
        <w:sz w:val="18"/>
        <w:szCs w:val="18"/>
      </w:rPr>
      <w:t xml:space="preserve">WHO AFRO  ·  Preparedness Data Exchange</w:t>
    </w:r>
    <w:r>
      <w:rPr>
        <w:rFonts w:ascii="Arial" w:cs="Arial" w:eastAsia="Arial" w:hAnsi="Arial"/>
      </w:rPr>
      <w:t xml:space="preserve">	</w:t>
    </w:r>
    <w:r>
      <w:rPr>
        <w:rFonts w:ascii="Arial" w:cs="Arial" w:eastAsia="Arial" w:hAnsi="Arial"/>
        <w:color w:val="5A5A5A"/>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3D5" w:sz="6" w:space="4"/>
      </w:pBdr>
      <w:jc w:val="right"/>
    </w:pPr>
    <w:r>
      <w:rPr>
        <w:rFonts w:ascii="Arial" w:cs="Arial" w:eastAsia="Arial" w:hAnsi="Arial"/>
        <w:color w:val="5A5A5A"/>
        <w:sz w:val="18"/>
        <w:szCs w:val="18"/>
      </w:rPr>
      <w:t xml:space="preserve">PDX  ·  Technical Brief  ·  wbepi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B6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5B9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wbepi into the PDX Predictions Dashboard</dc:title>
  <dc:creator>Isaias Fernandes CO</dc:creator>
  <dc:description>Technical brief on integrating the World Bank / LSTM SEIRDV engine into PDX</dc:description>
  <cp:lastModifiedBy>Un-named</cp:lastModifiedBy>
  <cp:revision>1</cp:revision>
  <dcterms:created xsi:type="dcterms:W3CDTF">2026-04-30T13:52:01.544Z</dcterms:created>
  <dcterms:modified xsi:type="dcterms:W3CDTF">2026-04-30T13:52:01.545Z</dcterms:modified>
</cp:coreProperties>
</file>

<file path=docProps/custom.xml><?xml version="1.0" encoding="utf-8"?>
<Properties xmlns="http://schemas.openxmlformats.org/officeDocument/2006/custom-properties" xmlns:vt="http://schemas.openxmlformats.org/officeDocument/2006/docPropsVTypes"/>
</file>