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33A9" w:rsidRDefault="007C33A9" w:rsidP="007C33A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bidi="mr-IN"/>
        </w:rPr>
      </w:pPr>
    </w:p>
    <w:p w:rsidR="007C33A9" w:rsidRDefault="007C33A9" w:rsidP="007C33A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bidi="mr-IN"/>
        </w:rPr>
      </w:pPr>
    </w:p>
    <w:p w:rsidR="007C33A9" w:rsidRDefault="007C33A9" w:rsidP="007C33A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bidi="mr-IN"/>
        </w:rPr>
      </w:pPr>
    </w:p>
    <w:p w:rsidR="007C33A9" w:rsidRDefault="007C33A9" w:rsidP="007C33A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bidi="mr-IN"/>
        </w:rPr>
      </w:pPr>
    </w:p>
    <w:p w:rsidR="007C33A9" w:rsidRDefault="007C33A9" w:rsidP="007C33A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bidi="mr-IN"/>
        </w:rPr>
      </w:pPr>
    </w:p>
    <w:p w:rsidR="007C33A9" w:rsidRDefault="007C33A9" w:rsidP="007C33A9">
      <w:pPr>
        <w:pStyle w:val="Heading1"/>
        <w:jc w:val="center"/>
      </w:pPr>
      <w:r>
        <w:t>CYBERSECURITY INCIDENT RESPONSE PLAYBOOK</w:t>
      </w:r>
    </w:p>
    <w:p w:rsidR="007C33A9" w:rsidRDefault="007C33A9" w:rsidP="007C33A9">
      <w:pPr>
        <w:pStyle w:val="NormalWeb"/>
        <w:jc w:val="center"/>
      </w:pPr>
      <w:r>
        <w:rPr>
          <w:rStyle w:val="Strong"/>
        </w:rPr>
        <w:t>A Practical Guide for a Small Organisation</w:t>
      </w:r>
    </w:p>
    <w:p w:rsidR="007C33A9" w:rsidRDefault="007C33A9" w:rsidP="007C33A9">
      <w:pPr>
        <w:pStyle w:val="NormalWeb"/>
        <w:jc w:val="center"/>
      </w:pPr>
      <w:r>
        <w:rPr>
          <w:rStyle w:val="Strong"/>
        </w:rPr>
        <w:t>Hypothetical Organisation:</w:t>
      </w:r>
      <w:r>
        <w:t xml:space="preserve"> BrightWave Solutions Pvt. Ltd.</w:t>
      </w:r>
    </w:p>
    <w:p w:rsidR="007C33A9" w:rsidRDefault="007C33A9" w:rsidP="007C33A9">
      <w:pPr>
        <w:pStyle w:val="NormalWeb"/>
        <w:jc w:val="center"/>
      </w:pPr>
      <w:r>
        <w:rPr>
          <w:rStyle w:val="Strong"/>
        </w:rPr>
        <w:t>Prepared by:</w:t>
      </w:r>
      <w:r w:rsidR="00D946A9">
        <w:t xml:space="preserve"> [Rocky Fernandes</w:t>
      </w:r>
      <w:r>
        <w:t>]</w:t>
      </w:r>
    </w:p>
    <w:p w:rsidR="007C33A9" w:rsidRDefault="007C33A9" w:rsidP="007C33A9">
      <w:pPr>
        <w:pStyle w:val="NormalWeb"/>
        <w:jc w:val="center"/>
      </w:pPr>
      <w:r>
        <w:rPr>
          <w:rStyle w:val="Strong"/>
        </w:rPr>
        <w:t>Subject:</w:t>
      </w:r>
      <w:r>
        <w:t xml:space="preserve"> Cybersecurity / Information Security</w:t>
      </w:r>
    </w:p>
    <w:p w:rsidR="007C33A9" w:rsidRDefault="007C33A9" w:rsidP="007C33A9">
      <w:pPr>
        <w:pStyle w:val="NormalWeb"/>
        <w:jc w:val="center"/>
      </w:pPr>
      <w:r>
        <w:rPr>
          <w:rStyle w:val="Strong"/>
        </w:rPr>
        <w:t>Date:</w:t>
      </w:r>
      <w:r>
        <w:t xml:space="preserve"> 25 October 2026</w:t>
      </w:r>
    </w:p>
    <w:p w:rsidR="007C33A9" w:rsidRDefault="007C33A9" w:rsidP="007C33A9">
      <w:pPr>
        <w:pStyle w:val="NormalWeb"/>
        <w:jc w:val="center"/>
      </w:pPr>
      <w:r>
        <w:rPr>
          <w:rStyle w:val="Strong"/>
        </w:rPr>
        <w:t>Version:</w:t>
      </w:r>
      <w:r>
        <w:t xml:space="preserve"> 1.0</w:t>
      </w:r>
    </w:p>
    <w:p w:rsidR="007C33A9" w:rsidRDefault="007C33A9" w:rsidP="007C33A9">
      <w:pPr>
        <w:pStyle w:val="Heading1"/>
        <w:jc w:val="center"/>
      </w:pPr>
      <w:r>
        <w:br w:type="page"/>
      </w:r>
    </w:p>
    <w:p w:rsidR="007C33A9" w:rsidRDefault="007C33A9" w:rsidP="007C33A9">
      <w:pPr>
        <w:pStyle w:val="Heading2"/>
      </w:pPr>
      <w:r>
        <w:lastRenderedPageBreak/>
        <w:t>1. Introduction</w:t>
      </w:r>
    </w:p>
    <w:p w:rsidR="007C33A9" w:rsidRDefault="007C33A9" w:rsidP="007C33A9">
      <w:pPr>
        <w:pStyle w:val="NormalWeb"/>
      </w:pPr>
      <w:r>
        <w:t>This incident response playbook provides a structured procedure for handling suspected cybersecurity incidents in a small organisation. It defines the actions required to identify, report, contain, investigate, and recover from a compromised account or workstation.</w:t>
      </w:r>
    </w:p>
    <w:p w:rsidR="007C33A9" w:rsidRDefault="007C33A9" w:rsidP="007C33A9">
      <w:pPr>
        <w:pStyle w:val="NormalWeb"/>
      </w:pPr>
      <w:r>
        <w:t>The main objective is to minimise damage, protect company information, preserve evidence, and restore normal business operations safely.</w:t>
      </w:r>
    </w:p>
    <w:p w:rsidR="007C33A9" w:rsidRDefault="007C33A9" w:rsidP="007C33A9">
      <w:pPr>
        <w:pStyle w:val="Heading2"/>
      </w:pPr>
      <w:r>
        <w:t>2. Organisation Profile and Incident Scenario</w:t>
      </w:r>
    </w:p>
    <w:p w:rsidR="007C33A9" w:rsidRDefault="007C33A9" w:rsidP="007C33A9">
      <w:pPr>
        <w:pStyle w:val="NormalWeb"/>
      </w:pPr>
      <w:r>
        <w:rPr>
          <w:rStyle w:val="Strong"/>
        </w:rPr>
        <w:t>Organisation Name:</w:t>
      </w:r>
      <w:r>
        <w:t xml:space="preserve"> BrightWave Solutions Pvt. Ltd.</w:t>
      </w:r>
    </w:p>
    <w:p w:rsidR="007C33A9" w:rsidRDefault="007C33A9" w:rsidP="007C33A9">
      <w:pPr>
        <w:pStyle w:val="NormalWeb"/>
      </w:pPr>
      <w:r>
        <w:rPr>
          <w:rStyle w:val="Strong"/>
        </w:rPr>
        <w:t>Organisation Type:</w:t>
      </w:r>
      <w:r>
        <w:t xml:space="preserve"> Small IT services company</w:t>
      </w:r>
    </w:p>
    <w:p w:rsidR="007C33A9" w:rsidRDefault="007C33A9" w:rsidP="007C33A9">
      <w:pPr>
        <w:pStyle w:val="NormalWeb"/>
      </w:pPr>
      <w:r>
        <w:rPr>
          <w:rStyle w:val="Strong"/>
        </w:rPr>
        <w:t>Number of Employees:</w:t>
      </w:r>
      <w:r>
        <w:t xml:space="preserve"> 25</w:t>
      </w:r>
    </w:p>
    <w:p w:rsidR="007C33A9" w:rsidRDefault="007C33A9" w:rsidP="007C33A9">
      <w:pPr>
        <w:pStyle w:val="NormalWeb"/>
      </w:pPr>
      <w:r>
        <w:rPr>
          <w:rStyle w:val="Strong"/>
        </w:rPr>
        <w:t>Incident Scenario:</w:t>
      </w:r>
    </w:p>
    <w:p w:rsidR="007C33A9" w:rsidRDefault="007C33A9" w:rsidP="007C33A9">
      <w:pPr>
        <w:pStyle w:val="NormalWeb"/>
      </w:pPr>
      <w:r>
        <w:t>An employee receives an unexpected login alert, and their workstation begins behaving unusually. The organisation suspects that the employee's account credentials may have been stolen or that malware may have infected the workstation.</w:t>
      </w:r>
    </w:p>
    <w:p w:rsidR="007C33A9" w:rsidRDefault="007C33A9" w:rsidP="007C33A9">
      <w:pPr>
        <w:pStyle w:val="NormalWeb"/>
      </w:pPr>
      <w:r>
        <w:t>The IT team must investigate the incident, preserve relevant evidence, restrict unauthorised access, recover affected systems, and implement preventive measures.</w:t>
      </w:r>
    </w:p>
    <w:p w:rsidR="007C33A9" w:rsidRDefault="007C33A9" w:rsidP="007C33A9">
      <w:pPr>
        <w:pStyle w:val="Heading2"/>
      </w:pPr>
      <w:r>
        <w:t>3. Objectives</w:t>
      </w:r>
    </w:p>
    <w:p w:rsidR="007C33A9" w:rsidRDefault="007C33A9" w:rsidP="007C33A9">
      <w:pPr>
        <w:pStyle w:val="NormalWeb"/>
        <w:numPr>
          <w:ilvl w:val="0"/>
          <w:numId w:val="1"/>
        </w:numPr>
      </w:pPr>
      <w:r>
        <w:t>Identify and report suspected cybersecurity incidents quickly.</w:t>
      </w:r>
    </w:p>
    <w:p w:rsidR="007C33A9" w:rsidRDefault="007C33A9" w:rsidP="007C33A9">
      <w:pPr>
        <w:pStyle w:val="NormalWeb"/>
        <w:numPr>
          <w:ilvl w:val="0"/>
          <w:numId w:val="1"/>
        </w:numPr>
      </w:pPr>
      <w:r>
        <w:t>Preserve relevant digital evidence.</w:t>
      </w:r>
    </w:p>
    <w:p w:rsidR="007C33A9" w:rsidRDefault="007C33A9" w:rsidP="007C33A9">
      <w:pPr>
        <w:pStyle w:val="NormalWeb"/>
        <w:numPr>
          <w:ilvl w:val="0"/>
          <w:numId w:val="1"/>
        </w:numPr>
      </w:pPr>
      <w:r>
        <w:t>Notify the appropriate personnel.</w:t>
      </w:r>
    </w:p>
    <w:p w:rsidR="007C33A9" w:rsidRDefault="007C33A9" w:rsidP="007C33A9">
      <w:pPr>
        <w:pStyle w:val="NormalWeb"/>
        <w:numPr>
          <w:ilvl w:val="0"/>
          <w:numId w:val="1"/>
        </w:numPr>
      </w:pPr>
      <w:r>
        <w:t>Contain the incident and prevent further damage.</w:t>
      </w:r>
    </w:p>
    <w:p w:rsidR="007C33A9" w:rsidRDefault="007C33A9" w:rsidP="007C33A9">
      <w:pPr>
        <w:pStyle w:val="NormalWeb"/>
        <w:numPr>
          <w:ilvl w:val="0"/>
          <w:numId w:val="1"/>
        </w:numPr>
      </w:pPr>
      <w:r>
        <w:t>Remove the threat and restore systems securely.</w:t>
      </w:r>
    </w:p>
    <w:p w:rsidR="007C33A9" w:rsidRDefault="007C33A9" w:rsidP="007C33A9">
      <w:pPr>
        <w:pStyle w:val="NormalWeb"/>
        <w:numPr>
          <w:ilvl w:val="0"/>
          <w:numId w:val="1"/>
        </w:numPr>
      </w:pPr>
      <w:r>
        <w:t>Review the incident and improve security measures.</w:t>
      </w:r>
    </w:p>
    <w:p w:rsidR="00AE05B9" w:rsidRDefault="00AE05B9">
      <w:pPr>
        <w:rPr>
          <w:rFonts w:ascii="Arial Black" w:hAnsi="Arial Black"/>
        </w:rPr>
      </w:pPr>
      <w:r>
        <w:rPr>
          <w:rFonts w:ascii="Arial Black" w:hAnsi="Arial Black"/>
        </w:rPr>
        <w:br w:type="page"/>
      </w:r>
    </w:p>
    <w:p w:rsidR="00AE05B9" w:rsidRDefault="00AE05B9" w:rsidP="00AE05B9">
      <w:pPr>
        <w:pStyle w:val="Heading2"/>
      </w:pPr>
      <w:r>
        <w:lastRenderedPageBreak/>
        <w:t>4. Step-by-Step Incident Response Procedure</w:t>
      </w:r>
    </w:p>
    <w:p w:rsidR="00AE05B9" w:rsidRDefault="00AE05B9" w:rsidP="00AE05B9">
      <w:pPr>
        <w:pStyle w:val="Heading3"/>
      </w:pPr>
      <w:r>
        <w:t>Step 1: Identification and Reporting</w:t>
      </w:r>
    </w:p>
    <w:p w:rsidR="00AE05B9" w:rsidRDefault="00AE05B9" w:rsidP="00AE05B9">
      <w:pPr>
        <w:pStyle w:val="NormalWeb"/>
      </w:pPr>
      <w:r>
        <w:t>The employee must immediately report suspicious login alerts, unusual workstation behaviour, unexpected applications, or missing files to the IT team.</w:t>
      </w:r>
    </w:p>
    <w:p w:rsidR="00AE05B9" w:rsidRDefault="00AE05B9" w:rsidP="00AE05B9">
      <w:pPr>
        <w:pStyle w:val="NormalWeb"/>
      </w:pPr>
      <w:r>
        <w:t>The IT team records the date, time, affected account or device, and symptoms. The incident is treated as a suspected security incident until investigated.</w:t>
      </w:r>
    </w:p>
    <w:p w:rsidR="00AE05B9" w:rsidRDefault="00AE05B9" w:rsidP="00AE05B9">
      <w:pPr>
        <w:pStyle w:val="Heading3"/>
      </w:pPr>
      <w:r>
        <w:t>Step 2: Evidence Preservation</w:t>
      </w:r>
    </w:p>
    <w:p w:rsidR="00AE05B9" w:rsidRDefault="00AE05B9" w:rsidP="00AE05B9">
      <w:pPr>
        <w:pStyle w:val="NormalWeb"/>
      </w:pPr>
      <w:r>
        <w:t>The IT team preserves relevant security alerts, login records, system logs, suspicious emails, screenshots, and device details.</w:t>
      </w:r>
    </w:p>
    <w:p w:rsidR="00AE05B9" w:rsidRDefault="00AE05B9" w:rsidP="00AE05B9">
      <w:pPr>
        <w:pStyle w:val="NormalWeb"/>
      </w:pPr>
      <w:r>
        <w:t>Evidence must be stored securely, and all investigative actions must be documented. Files and logs should not be deleted, and the workstation should not be reset before evidence is collected unless urgent containment is necessary.</w:t>
      </w:r>
    </w:p>
    <w:p w:rsidR="00AE05B9" w:rsidRDefault="00AE05B9" w:rsidP="00AE05B9">
      <w:pPr>
        <w:pStyle w:val="Heading3"/>
      </w:pPr>
      <w:r>
        <w:t>Step 3: Notification and Escalation</w:t>
      </w:r>
    </w:p>
    <w:p w:rsidR="00AE05B9" w:rsidRDefault="00AE05B9" w:rsidP="00AE05B9">
      <w:pPr>
        <w:pStyle w:val="NormalWeb"/>
      </w:pPr>
      <w:r>
        <w:t>The IT or Incident Response Lead must be notified immediately. Management, the affected account owner, and external security specialists are contacted when necessary.</w:t>
      </w:r>
    </w:p>
    <w:p w:rsidR="00AE05B9" w:rsidRDefault="00AE05B9" w:rsidP="00AE05B9">
      <w:pPr>
        <w:pStyle w:val="NormalWeb"/>
      </w:pPr>
      <w:r>
        <w:t>Legal or privacy support must be involved if sensitive information may have been exposed. A trusted communication channel should be used if the affected account may be monitored by an attacker.</w:t>
      </w:r>
    </w:p>
    <w:p w:rsidR="00AE05B9" w:rsidRDefault="00AE05B9" w:rsidP="00AE05B9">
      <w:pPr>
        <w:pStyle w:val="Heading3"/>
      </w:pPr>
      <w:r>
        <w:t>Step 4: Containment</w:t>
      </w:r>
    </w:p>
    <w:p w:rsidR="00AE05B9" w:rsidRDefault="00AE05B9" w:rsidP="00AE05B9">
      <w:pPr>
        <w:pStyle w:val="NormalWeb"/>
      </w:pPr>
      <w:r>
        <w:t>The IT team takes appropriate steps to prevent further damage.</w:t>
      </w:r>
    </w:p>
    <w:p w:rsidR="00AE05B9" w:rsidRDefault="00AE05B9" w:rsidP="00AE05B9">
      <w:pPr>
        <w:pStyle w:val="NormalWeb"/>
        <w:numPr>
          <w:ilvl w:val="0"/>
          <w:numId w:val="2"/>
        </w:numPr>
      </w:pPr>
      <w:r>
        <w:t>Suspend or restrict a compromised account when necessary.</w:t>
      </w:r>
    </w:p>
    <w:p w:rsidR="00AE05B9" w:rsidRDefault="00AE05B9" w:rsidP="00AE05B9">
      <w:pPr>
        <w:pStyle w:val="NormalWeb"/>
        <w:numPr>
          <w:ilvl w:val="0"/>
          <w:numId w:val="2"/>
        </w:numPr>
      </w:pPr>
      <w:r>
        <w:t>Revoke active login sessions and suspicious access tokens.</w:t>
      </w:r>
    </w:p>
    <w:p w:rsidR="00AE05B9" w:rsidRDefault="00AE05B9" w:rsidP="00AE05B9">
      <w:pPr>
        <w:pStyle w:val="NormalWeb"/>
        <w:numPr>
          <w:ilvl w:val="0"/>
          <w:numId w:val="2"/>
        </w:numPr>
      </w:pPr>
      <w:r>
        <w:t>Disconnect an affected workstation from the network using approved methods.</w:t>
      </w:r>
    </w:p>
    <w:p w:rsidR="00AE05B9" w:rsidRDefault="00AE05B9" w:rsidP="00AE05B9">
      <w:pPr>
        <w:pStyle w:val="NormalWeb"/>
        <w:numPr>
          <w:ilvl w:val="0"/>
          <w:numId w:val="2"/>
        </w:numPr>
      </w:pPr>
      <w:r>
        <w:t>Restrict remote access and investigate other potentially affected devices.</w:t>
      </w:r>
    </w:p>
    <w:p w:rsidR="00AE05B9" w:rsidRDefault="00AE05B9" w:rsidP="00AE05B9">
      <w:pPr>
        <w:pStyle w:val="NormalWeb"/>
      </w:pPr>
      <w:r>
        <w:t>Urgent containment takes priority when active damage is occurring, while preserving available evidence wherever possible.</w:t>
      </w:r>
    </w:p>
    <w:p w:rsidR="00AE05B9" w:rsidRDefault="00AE05B9" w:rsidP="00AE05B9">
      <w:pPr>
        <w:pStyle w:val="Heading3"/>
      </w:pPr>
      <w:r>
        <w:t>Step 5: Eradication and Recovery</w:t>
      </w:r>
    </w:p>
    <w:p w:rsidR="00AE05B9" w:rsidRDefault="00AE05B9" w:rsidP="00AE05B9">
      <w:pPr>
        <w:pStyle w:val="NormalWeb"/>
      </w:pPr>
      <w:r>
        <w:t>The IT team identifies and removes malware or other causes of compromise. Affected systems are patched, compromised credentials are reset, and multifactor authentication is enabled or verified.</w:t>
      </w:r>
    </w:p>
    <w:p w:rsidR="00AE05B9" w:rsidRDefault="00AE05B9" w:rsidP="00AE05B9">
      <w:pPr>
        <w:pStyle w:val="NormalWeb"/>
      </w:pPr>
      <w:r>
        <w:lastRenderedPageBreak/>
        <w:t>If a device cannot be trusted, it is rebuilt using a known-good system image. Required files are restored from verified clean backups. Systems are tested and approved by the Incident Response Lead before normal operations resume.</w:t>
      </w:r>
    </w:p>
    <w:p w:rsidR="00AE05B9" w:rsidRDefault="00AE05B9" w:rsidP="00AE05B9">
      <w:pPr>
        <w:pStyle w:val="Heading3"/>
      </w:pPr>
      <w:r>
        <w:t>Step 6: Post-Incident Review</w:t>
      </w:r>
    </w:p>
    <w:p w:rsidR="00AE05B9" w:rsidRDefault="00AE05B9" w:rsidP="00AE05B9">
      <w:pPr>
        <w:pStyle w:val="NormalWeb"/>
      </w:pPr>
      <w:r>
        <w:t>After recovery, the IT team prepares an incident report documenting the timeline, root cause, impact, response actions, and lessons learned.</w:t>
      </w:r>
    </w:p>
    <w:p w:rsidR="00AE05B9" w:rsidRDefault="00AE05B9" w:rsidP="00AE05B9">
      <w:pPr>
        <w:pStyle w:val="NormalWeb"/>
      </w:pPr>
      <w:r>
        <w:t>The organisation identifies security weaknesses, assigns corrective actions, updates its incident response procedures, and provides employee security awareness training.</w:t>
      </w:r>
    </w:p>
    <w:p w:rsidR="00AE05B9" w:rsidRDefault="00AE05B9">
      <w:pPr>
        <w:rPr>
          <w:rFonts w:ascii="Arial Black" w:hAnsi="Arial Black"/>
        </w:rPr>
      </w:pPr>
      <w:r>
        <w:rPr>
          <w:rFonts w:ascii="Arial Black" w:hAnsi="Arial Black"/>
        </w:rPr>
        <w:br w:type="page"/>
      </w:r>
    </w:p>
    <w:p w:rsidR="00AE05B9" w:rsidRDefault="00AE05B9" w:rsidP="00AE05B9">
      <w:pPr>
        <w:pStyle w:val="Heading2"/>
      </w:pPr>
      <w:r>
        <w:lastRenderedPageBreak/>
        <w:t>5. Escalation and Contact-Role Matrix</w:t>
      </w:r>
    </w:p>
    <w:p w:rsidR="00AE05B9" w:rsidRDefault="00AE05B9" w:rsidP="00AE05B9">
      <w:pPr>
        <w:pStyle w:val="NormalWeb"/>
      </w:pPr>
      <w:r>
        <w:t>The escalation matrix defines the responsibilities of each role during a cybersecurity incident. It ensures that incidents are reported quickly and handled by the appropriate personnel.</w:t>
      </w:r>
    </w:p>
    <w:tbl>
      <w:tblPr>
        <w:tblW w:w="0" w:type="auto"/>
        <w:tblCellSpacing w:w="15" w:type="dxa"/>
        <w:tblCellMar>
          <w:top w:w="15" w:type="dxa"/>
          <w:left w:w="15" w:type="dxa"/>
          <w:bottom w:w="15" w:type="dxa"/>
          <w:right w:w="15" w:type="dxa"/>
        </w:tblCellMar>
        <w:tblLook w:val="04A0"/>
      </w:tblPr>
      <w:tblGrid>
        <w:gridCol w:w="2076"/>
        <w:gridCol w:w="3903"/>
        <w:gridCol w:w="3471"/>
      </w:tblGrid>
      <w:tr w:rsidR="00AE05B9" w:rsidTr="00AE05B9">
        <w:trPr>
          <w:tblCellSpacing w:w="15" w:type="dxa"/>
        </w:trPr>
        <w:tc>
          <w:tcPr>
            <w:tcW w:w="0" w:type="auto"/>
            <w:vAlign w:val="center"/>
            <w:hideMark/>
          </w:tcPr>
          <w:p w:rsidR="00AE05B9" w:rsidRDefault="00AE05B9">
            <w:pPr>
              <w:jc w:val="center"/>
              <w:rPr>
                <w:b/>
                <w:bCs/>
                <w:sz w:val="24"/>
                <w:szCs w:val="24"/>
              </w:rPr>
            </w:pPr>
            <w:r>
              <w:rPr>
                <w:b/>
                <w:bCs/>
              </w:rPr>
              <w:t>Role</w:t>
            </w:r>
          </w:p>
        </w:tc>
        <w:tc>
          <w:tcPr>
            <w:tcW w:w="0" w:type="auto"/>
            <w:vAlign w:val="center"/>
            <w:hideMark/>
          </w:tcPr>
          <w:p w:rsidR="00AE05B9" w:rsidRDefault="00AE05B9">
            <w:pPr>
              <w:jc w:val="center"/>
              <w:rPr>
                <w:b/>
                <w:bCs/>
                <w:sz w:val="24"/>
                <w:szCs w:val="24"/>
              </w:rPr>
            </w:pPr>
            <w:r>
              <w:rPr>
                <w:b/>
                <w:bCs/>
              </w:rPr>
              <w:t>Responsibility</w:t>
            </w:r>
          </w:p>
        </w:tc>
        <w:tc>
          <w:tcPr>
            <w:tcW w:w="0" w:type="auto"/>
            <w:vAlign w:val="center"/>
            <w:hideMark/>
          </w:tcPr>
          <w:p w:rsidR="00AE05B9" w:rsidRDefault="00AE05B9">
            <w:pPr>
              <w:jc w:val="center"/>
              <w:rPr>
                <w:b/>
                <w:bCs/>
                <w:sz w:val="24"/>
                <w:szCs w:val="24"/>
              </w:rPr>
            </w:pPr>
            <w:r>
              <w:rPr>
                <w:b/>
                <w:bCs/>
              </w:rPr>
              <w:t>When to Notify</w:t>
            </w:r>
          </w:p>
        </w:tc>
      </w:tr>
      <w:tr w:rsidR="00AE05B9" w:rsidTr="00AE05B9">
        <w:trPr>
          <w:tblCellSpacing w:w="15" w:type="dxa"/>
        </w:trPr>
        <w:tc>
          <w:tcPr>
            <w:tcW w:w="0" w:type="auto"/>
            <w:vAlign w:val="center"/>
            <w:hideMark/>
          </w:tcPr>
          <w:p w:rsidR="00AE05B9" w:rsidRDefault="00AE05B9">
            <w:pPr>
              <w:rPr>
                <w:sz w:val="24"/>
                <w:szCs w:val="24"/>
              </w:rPr>
            </w:pPr>
            <w:r>
              <w:t>Employee / Reporter</w:t>
            </w:r>
          </w:p>
        </w:tc>
        <w:tc>
          <w:tcPr>
            <w:tcW w:w="0" w:type="auto"/>
            <w:vAlign w:val="center"/>
            <w:hideMark/>
          </w:tcPr>
          <w:p w:rsidR="00AE05B9" w:rsidRDefault="00AE05B9">
            <w:pPr>
              <w:rPr>
                <w:sz w:val="24"/>
                <w:szCs w:val="24"/>
              </w:rPr>
            </w:pPr>
            <w:r>
              <w:t>Report suspicious activity and stop using the affected device.</w:t>
            </w:r>
          </w:p>
        </w:tc>
        <w:tc>
          <w:tcPr>
            <w:tcW w:w="0" w:type="auto"/>
            <w:vAlign w:val="center"/>
            <w:hideMark/>
          </w:tcPr>
          <w:p w:rsidR="00AE05B9" w:rsidRDefault="00AE05B9">
            <w:pPr>
              <w:rPr>
                <w:sz w:val="24"/>
                <w:szCs w:val="24"/>
              </w:rPr>
            </w:pPr>
            <w:r>
              <w:t>Immediately after discovering the incident.</w:t>
            </w:r>
          </w:p>
        </w:tc>
      </w:tr>
      <w:tr w:rsidR="00AE05B9" w:rsidTr="00AE05B9">
        <w:trPr>
          <w:tblCellSpacing w:w="15" w:type="dxa"/>
        </w:trPr>
        <w:tc>
          <w:tcPr>
            <w:tcW w:w="0" w:type="auto"/>
            <w:vAlign w:val="center"/>
            <w:hideMark/>
          </w:tcPr>
          <w:p w:rsidR="00AE05B9" w:rsidRDefault="00AE05B9">
            <w:pPr>
              <w:rPr>
                <w:sz w:val="24"/>
                <w:szCs w:val="24"/>
              </w:rPr>
            </w:pPr>
            <w:r>
              <w:t>IT / Incident Response Lead</w:t>
            </w:r>
          </w:p>
        </w:tc>
        <w:tc>
          <w:tcPr>
            <w:tcW w:w="0" w:type="auto"/>
            <w:vAlign w:val="center"/>
            <w:hideMark/>
          </w:tcPr>
          <w:p w:rsidR="00AE05B9" w:rsidRDefault="00AE05B9">
            <w:pPr>
              <w:rPr>
                <w:sz w:val="24"/>
                <w:szCs w:val="24"/>
              </w:rPr>
            </w:pPr>
            <w:r>
              <w:t>Investigate, preserve evidence, assess severity, and coordinate containment.</w:t>
            </w:r>
          </w:p>
        </w:tc>
        <w:tc>
          <w:tcPr>
            <w:tcW w:w="0" w:type="auto"/>
            <w:vAlign w:val="center"/>
            <w:hideMark/>
          </w:tcPr>
          <w:p w:rsidR="00AE05B9" w:rsidRDefault="00AE05B9">
            <w:pPr>
              <w:rPr>
                <w:sz w:val="24"/>
                <w:szCs w:val="24"/>
              </w:rPr>
            </w:pPr>
            <w:r>
              <w:t>Immediately for every suspected incident.</w:t>
            </w:r>
          </w:p>
        </w:tc>
      </w:tr>
      <w:tr w:rsidR="00AE05B9" w:rsidTr="00AE05B9">
        <w:trPr>
          <w:tblCellSpacing w:w="15" w:type="dxa"/>
        </w:trPr>
        <w:tc>
          <w:tcPr>
            <w:tcW w:w="0" w:type="auto"/>
            <w:vAlign w:val="center"/>
            <w:hideMark/>
          </w:tcPr>
          <w:p w:rsidR="00AE05B9" w:rsidRDefault="00AE05B9">
            <w:pPr>
              <w:rPr>
                <w:sz w:val="24"/>
                <w:szCs w:val="24"/>
              </w:rPr>
            </w:pPr>
            <w:r>
              <w:t>Management</w:t>
            </w:r>
          </w:p>
        </w:tc>
        <w:tc>
          <w:tcPr>
            <w:tcW w:w="0" w:type="auto"/>
            <w:vAlign w:val="center"/>
            <w:hideMark/>
          </w:tcPr>
          <w:p w:rsidR="00AE05B9" w:rsidRDefault="00AE05B9">
            <w:pPr>
              <w:rPr>
                <w:sz w:val="24"/>
                <w:szCs w:val="24"/>
              </w:rPr>
            </w:pPr>
            <w:r>
              <w:t>Approve major decisions and allocate resources.</w:t>
            </w:r>
          </w:p>
        </w:tc>
        <w:tc>
          <w:tcPr>
            <w:tcW w:w="0" w:type="auto"/>
            <w:vAlign w:val="center"/>
            <w:hideMark/>
          </w:tcPr>
          <w:p w:rsidR="00AE05B9" w:rsidRDefault="00AE05B9">
            <w:pPr>
              <w:rPr>
                <w:sz w:val="24"/>
                <w:szCs w:val="24"/>
              </w:rPr>
            </w:pPr>
            <w:r>
              <w:t>When a serious incident or significant business impact is suspected.</w:t>
            </w:r>
          </w:p>
        </w:tc>
      </w:tr>
      <w:tr w:rsidR="00AE05B9" w:rsidTr="00AE05B9">
        <w:trPr>
          <w:tblCellSpacing w:w="15" w:type="dxa"/>
        </w:trPr>
        <w:tc>
          <w:tcPr>
            <w:tcW w:w="0" w:type="auto"/>
            <w:vAlign w:val="center"/>
            <w:hideMark/>
          </w:tcPr>
          <w:p w:rsidR="00AE05B9" w:rsidRDefault="00AE05B9">
            <w:pPr>
              <w:rPr>
                <w:sz w:val="24"/>
                <w:szCs w:val="24"/>
              </w:rPr>
            </w:pPr>
            <w:r>
              <w:t>Security Specialist / IT Provider</w:t>
            </w:r>
          </w:p>
        </w:tc>
        <w:tc>
          <w:tcPr>
            <w:tcW w:w="0" w:type="auto"/>
            <w:vAlign w:val="center"/>
            <w:hideMark/>
          </w:tcPr>
          <w:p w:rsidR="00AE05B9" w:rsidRDefault="00AE05B9">
            <w:pPr>
              <w:rPr>
                <w:sz w:val="24"/>
                <w:szCs w:val="24"/>
              </w:rPr>
            </w:pPr>
            <w:r>
              <w:t>Perform advanced investigation, malware analysis, and remediation.</w:t>
            </w:r>
          </w:p>
        </w:tc>
        <w:tc>
          <w:tcPr>
            <w:tcW w:w="0" w:type="auto"/>
            <w:vAlign w:val="center"/>
            <w:hideMark/>
          </w:tcPr>
          <w:p w:rsidR="00AE05B9" w:rsidRDefault="00AE05B9">
            <w:pPr>
              <w:rPr>
                <w:sz w:val="24"/>
                <w:szCs w:val="24"/>
              </w:rPr>
            </w:pPr>
            <w:r>
              <w:t>When internal IT support is insufficient.</w:t>
            </w:r>
          </w:p>
        </w:tc>
      </w:tr>
      <w:tr w:rsidR="00AE05B9" w:rsidTr="00AE05B9">
        <w:trPr>
          <w:tblCellSpacing w:w="15" w:type="dxa"/>
        </w:trPr>
        <w:tc>
          <w:tcPr>
            <w:tcW w:w="0" w:type="auto"/>
            <w:vAlign w:val="center"/>
            <w:hideMark/>
          </w:tcPr>
          <w:p w:rsidR="00AE05B9" w:rsidRDefault="00AE05B9">
            <w:pPr>
              <w:rPr>
                <w:sz w:val="24"/>
                <w:szCs w:val="24"/>
              </w:rPr>
            </w:pPr>
            <w:r>
              <w:t>System / Account Owner</w:t>
            </w:r>
          </w:p>
        </w:tc>
        <w:tc>
          <w:tcPr>
            <w:tcW w:w="0" w:type="auto"/>
            <w:vAlign w:val="center"/>
            <w:hideMark/>
          </w:tcPr>
          <w:p w:rsidR="00AE05B9" w:rsidRDefault="00AE05B9">
            <w:pPr>
              <w:rPr>
                <w:sz w:val="24"/>
                <w:szCs w:val="24"/>
              </w:rPr>
            </w:pPr>
            <w:r>
              <w:t>Explain business impact and verify restored access.</w:t>
            </w:r>
          </w:p>
        </w:tc>
        <w:tc>
          <w:tcPr>
            <w:tcW w:w="0" w:type="auto"/>
            <w:vAlign w:val="center"/>
            <w:hideMark/>
          </w:tcPr>
          <w:p w:rsidR="00AE05B9" w:rsidRDefault="00AE05B9">
            <w:pPr>
              <w:rPr>
                <w:sz w:val="24"/>
                <w:szCs w:val="24"/>
              </w:rPr>
            </w:pPr>
            <w:r>
              <w:t>During investigation and before normal access is restored.</w:t>
            </w:r>
          </w:p>
        </w:tc>
      </w:tr>
      <w:tr w:rsidR="00AE05B9" w:rsidTr="00AE05B9">
        <w:trPr>
          <w:tblCellSpacing w:w="15" w:type="dxa"/>
        </w:trPr>
        <w:tc>
          <w:tcPr>
            <w:tcW w:w="0" w:type="auto"/>
            <w:vAlign w:val="center"/>
            <w:hideMark/>
          </w:tcPr>
          <w:p w:rsidR="00AE05B9" w:rsidRDefault="00AE05B9">
            <w:pPr>
              <w:rPr>
                <w:sz w:val="24"/>
                <w:szCs w:val="24"/>
              </w:rPr>
            </w:pPr>
            <w:r>
              <w:t>Legal / Privacy Contact</w:t>
            </w:r>
          </w:p>
        </w:tc>
        <w:tc>
          <w:tcPr>
            <w:tcW w:w="0" w:type="auto"/>
            <w:vAlign w:val="center"/>
            <w:hideMark/>
          </w:tcPr>
          <w:p w:rsidR="00AE05B9" w:rsidRDefault="00AE05B9">
            <w:pPr>
              <w:rPr>
                <w:sz w:val="24"/>
                <w:szCs w:val="24"/>
              </w:rPr>
            </w:pPr>
            <w:r>
              <w:t>Assess data exposure and applicable reporting obligations.</w:t>
            </w:r>
          </w:p>
        </w:tc>
        <w:tc>
          <w:tcPr>
            <w:tcW w:w="0" w:type="auto"/>
            <w:vAlign w:val="center"/>
            <w:hideMark/>
          </w:tcPr>
          <w:p w:rsidR="00AE05B9" w:rsidRDefault="00AE05B9">
            <w:pPr>
              <w:rPr>
                <w:sz w:val="24"/>
                <w:szCs w:val="24"/>
              </w:rPr>
            </w:pPr>
            <w:r>
              <w:t>When sensitive or personal data may have been exposed.</w:t>
            </w:r>
          </w:p>
        </w:tc>
      </w:tr>
      <w:tr w:rsidR="00AE05B9" w:rsidTr="00AE05B9">
        <w:trPr>
          <w:tblCellSpacing w:w="15" w:type="dxa"/>
        </w:trPr>
        <w:tc>
          <w:tcPr>
            <w:tcW w:w="0" w:type="auto"/>
            <w:vAlign w:val="center"/>
            <w:hideMark/>
          </w:tcPr>
          <w:p w:rsidR="00AE05B9" w:rsidRDefault="00AE05B9">
            <w:pPr>
              <w:rPr>
                <w:sz w:val="24"/>
                <w:szCs w:val="24"/>
              </w:rPr>
            </w:pPr>
            <w:r>
              <w:t>HR Representative</w:t>
            </w:r>
          </w:p>
        </w:tc>
        <w:tc>
          <w:tcPr>
            <w:tcW w:w="0" w:type="auto"/>
            <w:vAlign w:val="center"/>
            <w:hideMark/>
          </w:tcPr>
          <w:p w:rsidR="00AE05B9" w:rsidRDefault="00AE05B9">
            <w:pPr>
              <w:rPr>
                <w:sz w:val="24"/>
                <w:szCs w:val="24"/>
              </w:rPr>
            </w:pPr>
            <w:r>
              <w:t>Handle relevant employee-related matters confidentially.</w:t>
            </w:r>
          </w:p>
        </w:tc>
        <w:tc>
          <w:tcPr>
            <w:tcW w:w="0" w:type="auto"/>
            <w:vAlign w:val="center"/>
            <w:hideMark/>
          </w:tcPr>
          <w:p w:rsidR="00AE05B9" w:rsidRDefault="00AE05B9">
            <w:pPr>
              <w:rPr>
                <w:sz w:val="24"/>
                <w:szCs w:val="24"/>
              </w:rPr>
            </w:pPr>
            <w:r>
              <w:t>When personnel issues are involved.</w:t>
            </w:r>
          </w:p>
        </w:tc>
      </w:tr>
    </w:tbl>
    <w:p w:rsidR="00AE05B9" w:rsidRDefault="00AE05B9" w:rsidP="00AE05B9">
      <w:pPr>
        <w:pStyle w:val="Heading3"/>
      </w:pPr>
      <w:r>
        <w:t>Incident Severity Levels</w:t>
      </w:r>
    </w:p>
    <w:p w:rsidR="00AE05B9" w:rsidRDefault="00AE05B9" w:rsidP="00AE05B9">
      <w:pPr>
        <w:pStyle w:val="NormalWeb"/>
      </w:pPr>
      <w:r>
        <w:rPr>
          <w:rStyle w:val="Strong"/>
          <w:rFonts w:eastAsiaTheme="majorEastAsia"/>
        </w:rPr>
        <w:t>Critical:</w:t>
      </w:r>
      <w:r>
        <w:t xml:space="preserve"> Multiple systems are affected, ransomware is active, or an administrator account or large amount of sensitive data may be compromised. Notify management and specialist support immediately.</w:t>
      </w:r>
    </w:p>
    <w:p w:rsidR="00AE05B9" w:rsidRDefault="00AE05B9" w:rsidP="00AE05B9">
      <w:pPr>
        <w:pStyle w:val="NormalWeb"/>
      </w:pPr>
      <w:r>
        <w:rPr>
          <w:rStyle w:val="Strong"/>
          <w:rFonts w:eastAsiaTheme="majorEastAsia"/>
        </w:rPr>
        <w:t>High:</w:t>
      </w:r>
      <w:r>
        <w:t xml:space="preserve"> A credible compromise affects one account or workstation. Notify IT immediately and begin appropriate containment.</w:t>
      </w:r>
    </w:p>
    <w:p w:rsidR="00AE05B9" w:rsidRDefault="00AE05B9" w:rsidP="00AE05B9">
      <w:pPr>
        <w:pStyle w:val="NormalWeb"/>
      </w:pPr>
      <w:r>
        <w:rPr>
          <w:rStyle w:val="Strong"/>
          <w:rFonts w:eastAsiaTheme="majorEastAsia"/>
        </w:rPr>
        <w:t>Medium / Low:</w:t>
      </w:r>
      <w:r>
        <w:t xml:space="preserve"> Suspicious activity has been detected but compromise is not confirmed, or the apparent impact is limited. Record and investigate the alert, escalating if further evidence emerges.</w:t>
      </w:r>
    </w:p>
    <w:p w:rsidR="00AE05B9" w:rsidRDefault="00AE05B9" w:rsidP="00AE05B9">
      <w:pPr>
        <w:pStyle w:val="NormalWeb"/>
      </w:pPr>
      <w:r>
        <w:t>Note: Severity levels and response targets should be adapted to the organisation's needs and legal obligations.</w:t>
      </w:r>
    </w:p>
    <w:p w:rsidR="00CC5687" w:rsidRDefault="00CC5687" w:rsidP="00AE05B9">
      <w:pPr>
        <w:pStyle w:val="NormalWeb"/>
      </w:pPr>
    </w:p>
    <w:p w:rsidR="001B0158" w:rsidRPr="001B0158" w:rsidRDefault="001B0158" w:rsidP="001B0158">
      <w:pPr>
        <w:pStyle w:val="Heading2"/>
        <w:rPr>
          <w:sz w:val="28"/>
          <w:szCs w:val="28"/>
        </w:rPr>
      </w:pPr>
      <w:r w:rsidRPr="001B0158">
        <w:rPr>
          <w:sz w:val="28"/>
          <w:szCs w:val="28"/>
        </w:rPr>
        <w:t>6. One-Page Incident Response Checklist</w:t>
      </w:r>
    </w:p>
    <w:p w:rsidR="001B0158" w:rsidRPr="001B0158" w:rsidRDefault="001B0158" w:rsidP="001B0158">
      <w:pPr>
        <w:pStyle w:val="NormalWeb"/>
        <w:rPr>
          <w:sz w:val="28"/>
          <w:szCs w:val="28"/>
        </w:rPr>
      </w:pPr>
      <w:r w:rsidRPr="001B0158">
        <w:rPr>
          <w:rStyle w:val="Strong"/>
          <w:sz w:val="28"/>
          <w:szCs w:val="28"/>
        </w:rPr>
        <w:t>Organisation:</w:t>
      </w:r>
      <w:r w:rsidRPr="001B0158">
        <w:rPr>
          <w:sz w:val="28"/>
          <w:szCs w:val="28"/>
        </w:rPr>
        <w:t xml:space="preserve"> BrightWave Solutions Pvt. Ltd.</w:t>
      </w:r>
    </w:p>
    <w:p w:rsidR="001B0158" w:rsidRPr="001B0158" w:rsidRDefault="001B0158" w:rsidP="001B0158">
      <w:pPr>
        <w:pStyle w:val="NormalWeb"/>
        <w:rPr>
          <w:sz w:val="28"/>
          <w:szCs w:val="28"/>
        </w:rPr>
      </w:pPr>
      <w:r w:rsidRPr="001B0158">
        <w:rPr>
          <w:rStyle w:val="Strong"/>
          <w:sz w:val="28"/>
          <w:szCs w:val="28"/>
        </w:rPr>
        <w:t>Incident Reference:</w:t>
      </w:r>
      <w:r w:rsidRPr="001B0158">
        <w:rPr>
          <w:sz w:val="28"/>
          <w:szCs w:val="28"/>
        </w:rPr>
        <w:t xml:space="preserve"> ____________________</w:t>
      </w:r>
    </w:p>
    <w:p w:rsidR="001B0158" w:rsidRPr="001B0158" w:rsidRDefault="001B0158" w:rsidP="001B0158">
      <w:pPr>
        <w:pStyle w:val="NormalWeb"/>
        <w:rPr>
          <w:sz w:val="28"/>
          <w:szCs w:val="28"/>
        </w:rPr>
      </w:pPr>
      <w:r w:rsidRPr="001B0158">
        <w:rPr>
          <w:rStyle w:val="Strong"/>
          <w:sz w:val="28"/>
          <w:szCs w:val="28"/>
        </w:rPr>
        <w:t>Date and Time:</w:t>
      </w:r>
      <w:r w:rsidRPr="001B0158">
        <w:rPr>
          <w:sz w:val="28"/>
          <w:szCs w:val="28"/>
        </w:rPr>
        <w:t xml:space="preserve"> ____________________</w:t>
      </w:r>
    </w:p>
    <w:p w:rsidR="001B0158" w:rsidRPr="001B0158" w:rsidRDefault="001B0158" w:rsidP="001B0158">
      <w:pPr>
        <w:pStyle w:val="NormalWeb"/>
        <w:rPr>
          <w:sz w:val="28"/>
          <w:szCs w:val="28"/>
        </w:rPr>
      </w:pPr>
      <w:r w:rsidRPr="001B0158">
        <w:rPr>
          <w:rStyle w:val="Strong"/>
          <w:sz w:val="28"/>
          <w:szCs w:val="28"/>
        </w:rPr>
        <w:t>Incident Lead Role:</w:t>
      </w:r>
      <w:r w:rsidRPr="001B0158">
        <w:rPr>
          <w:sz w:val="28"/>
          <w:szCs w:val="28"/>
        </w:rPr>
        <w:t xml:space="preserve"> ____________________</w:t>
      </w:r>
    </w:p>
    <w:p w:rsidR="001B0158" w:rsidRPr="001B0158" w:rsidRDefault="001B0158" w:rsidP="001B0158">
      <w:pPr>
        <w:pStyle w:val="Heading3"/>
      </w:pPr>
      <w:r w:rsidRPr="001B0158">
        <w:t>A. Initial Response</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Record the incident date, time, and reporter role.</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Identify the affected account or workstation.</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Notify the IT / Incident Response Lead.</w:t>
      </w:r>
    </w:p>
    <w:p w:rsidR="001B0158" w:rsidRPr="001B0158" w:rsidRDefault="001B0158" w:rsidP="001B0158">
      <w:pPr>
        <w:pStyle w:val="Heading3"/>
      </w:pPr>
      <w:r w:rsidRPr="001B0158">
        <w:t>B. Evidence Preservation</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Preserve relevant alerts, screenshots, emails, and system logs.</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Record device details and the incident timeline.</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Store evidence securely and document evidence handling.</w:t>
      </w:r>
    </w:p>
    <w:p w:rsidR="001B0158" w:rsidRPr="001B0158" w:rsidRDefault="001B0158" w:rsidP="001B0158">
      <w:pPr>
        <w:pStyle w:val="Heading3"/>
      </w:pPr>
      <w:r w:rsidRPr="001B0158">
        <w:t>C. Containment and Escalation</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Assess incident severity and potential impact.</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Restrict compromised account access and revoke active sessions as appropriate.</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Isolate affected devices if necessary.</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Notify management and relevant specialists.</w:t>
      </w:r>
    </w:p>
    <w:p w:rsidR="001B0158" w:rsidRPr="001B0158" w:rsidRDefault="001B0158" w:rsidP="001B0158">
      <w:pPr>
        <w:pStyle w:val="Heading3"/>
      </w:pPr>
      <w:r w:rsidRPr="001B0158">
        <w:t>D. Eradication and Recovery</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Identify and remove the cause of compromise.</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Patch vulnerabilities and secure affected accounts.</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lastRenderedPageBreak/>
        <w:t>☐</w:t>
      </w:r>
      <w:r w:rsidRPr="001B0158">
        <w:rPr>
          <w:sz w:val="22"/>
          <w:szCs w:val="22"/>
        </w:rPr>
        <w:t xml:space="preserve"> Restore data from verified clean backups if required.</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Test systems and obtain approval before reconnecting them.</w:t>
      </w:r>
    </w:p>
    <w:p w:rsidR="001B0158" w:rsidRPr="001B0158" w:rsidRDefault="001B0158" w:rsidP="001B0158">
      <w:pPr>
        <w:pStyle w:val="Heading3"/>
      </w:pPr>
      <w:r w:rsidRPr="001B0158">
        <w:t>E. Closure and Review</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Document the root cause, impact, and response timeline.</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Monitor for recurring suspicious activity.</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Assign corrective actions and completion dates.</w:t>
      </w:r>
    </w:p>
    <w:p w:rsidR="001B0158" w:rsidRPr="001B0158" w:rsidRDefault="001B0158" w:rsidP="001B0158">
      <w:pPr>
        <w:pStyle w:val="NormalWeb"/>
        <w:rPr>
          <w:sz w:val="22"/>
          <w:szCs w:val="22"/>
        </w:rPr>
      </w:pPr>
      <w:r w:rsidRPr="001B0158">
        <w:rPr>
          <w:rFonts w:ascii="MS Mincho" w:eastAsia="MS Mincho" w:hAnsi="MS Mincho" w:cs="MS Mincho" w:hint="eastAsia"/>
          <w:sz w:val="22"/>
          <w:szCs w:val="22"/>
        </w:rPr>
        <w:t>☐</w:t>
      </w:r>
      <w:r w:rsidRPr="001B0158">
        <w:rPr>
          <w:sz w:val="22"/>
          <w:szCs w:val="22"/>
        </w:rPr>
        <w:t xml:space="preserve"> Update the playbook and securely retain incident records.</w:t>
      </w:r>
    </w:p>
    <w:p w:rsidR="001B0158" w:rsidRPr="001B0158" w:rsidRDefault="001B0158" w:rsidP="001B0158">
      <w:pPr>
        <w:pStyle w:val="NormalWeb"/>
        <w:rPr>
          <w:sz w:val="28"/>
          <w:szCs w:val="28"/>
        </w:rPr>
      </w:pPr>
      <w:r w:rsidRPr="001B0158">
        <w:rPr>
          <w:rStyle w:val="Strong"/>
          <w:sz w:val="28"/>
          <w:szCs w:val="28"/>
        </w:rPr>
        <w:t>Final Status:</w:t>
      </w:r>
      <w:r w:rsidRPr="001B0158">
        <w:rPr>
          <w:sz w:val="28"/>
          <w:szCs w:val="28"/>
        </w:rPr>
        <w:t xml:space="preserve"> ____________________</w:t>
      </w:r>
    </w:p>
    <w:p w:rsidR="001B0158" w:rsidRPr="001B0158" w:rsidRDefault="001B0158" w:rsidP="001B0158">
      <w:pPr>
        <w:pStyle w:val="NormalWeb"/>
        <w:rPr>
          <w:sz w:val="28"/>
          <w:szCs w:val="28"/>
        </w:rPr>
      </w:pPr>
      <w:r w:rsidRPr="001B0158">
        <w:rPr>
          <w:rStyle w:val="Strong"/>
          <w:sz w:val="28"/>
          <w:szCs w:val="28"/>
        </w:rPr>
        <w:t>Closure Approved By (Role):</w:t>
      </w:r>
      <w:r w:rsidRPr="001B0158">
        <w:rPr>
          <w:sz w:val="28"/>
          <w:szCs w:val="28"/>
        </w:rPr>
        <w:t xml:space="preserve"> ____________________</w:t>
      </w:r>
    </w:p>
    <w:p w:rsidR="001B0158" w:rsidRPr="001B0158" w:rsidRDefault="001B0158" w:rsidP="001B0158">
      <w:pPr>
        <w:pStyle w:val="NormalWeb"/>
        <w:rPr>
          <w:sz w:val="28"/>
          <w:szCs w:val="28"/>
        </w:rPr>
      </w:pPr>
      <w:r w:rsidRPr="001B0158">
        <w:rPr>
          <w:rStyle w:val="Strong"/>
          <w:sz w:val="28"/>
          <w:szCs w:val="28"/>
        </w:rPr>
        <w:t>Date of Closure:</w:t>
      </w:r>
      <w:r w:rsidRPr="001B0158">
        <w:rPr>
          <w:sz w:val="28"/>
          <w:szCs w:val="28"/>
        </w:rPr>
        <w:t xml:space="preserve"> ____________________</w:t>
      </w:r>
    </w:p>
    <w:p w:rsidR="001B0158" w:rsidRDefault="001B0158">
      <w:pPr>
        <w:rPr>
          <w:rFonts w:ascii="Arial Black" w:hAnsi="Arial Black"/>
          <w:sz w:val="24"/>
          <w:szCs w:val="24"/>
        </w:rPr>
      </w:pPr>
      <w:r>
        <w:rPr>
          <w:rFonts w:ascii="Arial Black" w:hAnsi="Arial Black"/>
          <w:sz w:val="24"/>
          <w:szCs w:val="24"/>
        </w:rPr>
        <w:br w:type="page"/>
      </w:r>
    </w:p>
    <w:p w:rsidR="00E16857" w:rsidRDefault="00E16857" w:rsidP="00E16857">
      <w:pPr>
        <w:pStyle w:val="Heading1"/>
      </w:pPr>
      <w:r>
        <w:lastRenderedPageBreak/>
        <w:t>7. References</w:t>
      </w:r>
    </w:p>
    <w:p w:rsidR="00E16857" w:rsidRDefault="00E16857" w:rsidP="00E16857">
      <w:pPr>
        <w:pStyle w:val="NormalWeb"/>
        <w:numPr>
          <w:ilvl w:val="0"/>
          <w:numId w:val="3"/>
        </w:numPr>
      </w:pPr>
      <w:r>
        <w:t xml:space="preserve">National Institute of Standards and Technology (NIST). (2025). </w:t>
      </w:r>
      <w:r>
        <w:rPr>
          <w:rStyle w:val="Emphasis"/>
        </w:rPr>
        <w:t>Incident Response Recommendations and Considerations for Cybersecurity Risk Management: A CSF 2.0 Community Profile.</w:t>
      </w:r>
      <w:r>
        <w:t xml:space="preserve"> Special Publication 800-61 Revision 3.</w:t>
      </w:r>
    </w:p>
    <w:p w:rsidR="00E16857" w:rsidRDefault="00E16857" w:rsidP="00E16857">
      <w:pPr>
        <w:pStyle w:val="NormalWeb"/>
        <w:ind w:left="720"/>
      </w:pPr>
      <w:r>
        <w:t xml:space="preserve">Official URL: </w:t>
      </w:r>
      <w:hyperlink r:id="rId7" w:history="1">
        <w:r>
          <w:rPr>
            <w:rStyle w:val="Hyperlink"/>
            <w:rFonts w:eastAsiaTheme="majorEastAsia"/>
          </w:rPr>
          <w:t>https://csrc.nist.gov/pubs/sp/800/61/r3/final</w:t>
        </w:r>
      </w:hyperlink>
    </w:p>
    <w:p w:rsidR="00E16857" w:rsidRDefault="00E16857" w:rsidP="00E16857">
      <w:pPr>
        <w:pStyle w:val="NormalWeb"/>
        <w:numPr>
          <w:ilvl w:val="0"/>
          <w:numId w:val="3"/>
        </w:numPr>
      </w:pPr>
      <w:r>
        <w:t xml:space="preserve">Cybersecurity and Infrastructure Security Agency (CISA). </w:t>
      </w:r>
      <w:r>
        <w:rPr>
          <w:rStyle w:val="Emphasis"/>
        </w:rPr>
        <w:t>Federal Government Cybersecurity Incident and Vulnerability Response Playbooks.</w:t>
      </w:r>
    </w:p>
    <w:p w:rsidR="00E16857" w:rsidRDefault="00E16857" w:rsidP="00E16857">
      <w:pPr>
        <w:pStyle w:val="NormalWeb"/>
        <w:ind w:left="720"/>
      </w:pPr>
      <w:r>
        <w:t xml:space="preserve">Official URL: </w:t>
      </w:r>
      <w:hyperlink r:id="rId8" w:history="1">
        <w:r>
          <w:rPr>
            <w:rStyle w:val="Hyperlink"/>
            <w:rFonts w:eastAsiaTheme="majorEastAsia"/>
          </w:rPr>
          <w:t>https://www.cisa.gov/sites/default/files/2024-08/Federal_Government_Cybersecurity_Incident_and_Vulnerability_Response_Playbooks_508C.pdf</w:t>
        </w:r>
      </w:hyperlink>
    </w:p>
    <w:p w:rsidR="00E16857" w:rsidRDefault="00E16857" w:rsidP="00E16857">
      <w:pPr>
        <w:pStyle w:val="NormalWeb"/>
        <w:numPr>
          <w:ilvl w:val="0"/>
          <w:numId w:val="3"/>
        </w:numPr>
      </w:pPr>
      <w:r>
        <w:t xml:space="preserve">Indian Computer Emergency Response Team (CERT-In), Ministry of Electronics and Information Technology, Government of India. (2022). </w:t>
      </w:r>
      <w:r>
        <w:rPr>
          <w:rStyle w:val="Emphasis"/>
        </w:rPr>
        <w:t>Directions under Sub-section (6) of Section 70B of the Information Technology Act, 2000.</w:t>
      </w:r>
    </w:p>
    <w:p w:rsidR="00E16857" w:rsidRDefault="00E16857" w:rsidP="00E16857">
      <w:pPr>
        <w:pStyle w:val="NormalWeb"/>
        <w:ind w:left="720"/>
      </w:pPr>
      <w:r>
        <w:t xml:space="preserve">Official URL: </w:t>
      </w:r>
      <w:hyperlink r:id="rId9" w:history="1">
        <w:r>
          <w:rPr>
            <w:rStyle w:val="Hyperlink"/>
            <w:rFonts w:eastAsiaTheme="majorEastAsia"/>
          </w:rPr>
          <w:t>https://www.cert-in.org.in/Directions70B.jsp</w:t>
        </w:r>
      </w:hyperlink>
    </w:p>
    <w:p w:rsidR="00E16857" w:rsidRDefault="00E16857" w:rsidP="00E16857">
      <w:pPr>
        <w:pStyle w:val="NormalWeb"/>
        <w:numPr>
          <w:ilvl w:val="0"/>
          <w:numId w:val="3"/>
        </w:numPr>
      </w:pPr>
      <w:r>
        <w:t xml:space="preserve">National Institute of Standards and Technology (NIST). </w:t>
      </w:r>
      <w:r>
        <w:rPr>
          <w:rStyle w:val="Emphasis"/>
        </w:rPr>
        <w:t>Incident Response Project: Preparation Resources and Guidance.</w:t>
      </w:r>
    </w:p>
    <w:p w:rsidR="00E16857" w:rsidRDefault="00E16857" w:rsidP="00E16857">
      <w:pPr>
        <w:pStyle w:val="NormalWeb"/>
        <w:ind w:left="720"/>
      </w:pPr>
      <w:r>
        <w:t xml:space="preserve">Official URL: </w:t>
      </w:r>
      <w:hyperlink r:id="rId10" w:history="1">
        <w:r>
          <w:rPr>
            <w:rStyle w:val="Hyperlink"/>
            <w:rFonts w:eastAsiaTheme="majorEastAsia"/>
          </w:rPr>
          <w:t>https://csrc.nist.gov/projects/incident-response</w:t>
        </w:r>
      </w:hyperlink>
    </w:p>
    <w:p w:rsidR="00E16857" w:rsidRDefault="00E16857" w:rsidP="00E16857">
      <w:pPr>
        <w:pStyle w:val="NormalWeb"/>
      </w:pPr>
      <w:r>
        <w:rPr>
          <w:rStyle w:val="Strong"/>
        </w:rPr>
        <w:t>AI Assistance Disclosure:</w:t>
      </w:r>
      <w:r>
        <w:t xml:space="preserve"> ChatGPT was used to assist with organising and drafting the hypothetical incident response playbook, escalation matrix, and checklist. Official references are listed above.</w:t>
      </w:r>
    </w:p>
    <w:p w:rsidR="005136A1" w:rsidRPr="001B0158" w:rsidRDefault="005136A1" w:rsidP="007C33A9">
      <w:pPr>
        <w:jc w:val="center"/>
        <w:rPr>
          <w:rFonts w:ascii="Arial Black" w:hAnsi="Arial Black"/>
          <w:sz w:val="24"/>
          <w:szCs w:val="24"/>
        </w:rPr>
      </w:pPr>
    </w:p>
    <w:sectPr w:rsidR="005136A1" w:rsidRPr="001B0158" w:rsidSect="005136A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450E" w:rsidRDefault="0007450E" w:rsidP="00CC5687">
      <w:pPr>
        <w:spacing w:after="0" w:line="240" w:lineRule="auto"/>
      </w:pPr>
      <w:r>
        <w:separator/>
      </w:r>
    </w:p>
  </w:endnote>
  <w:endnote w:type="continuationSeparator" w:id="1">
    <w:p w:rsidR="0007450E" w:rsidRDefault="0007450E" w:rsidP="00CC56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450E" w:rsidRDefault="0007450E" w:rsidP="00CC5687">
      <w:pPr>
        <w:spacing w:after="0" w:line="240" w:lineRule="auto"/>
      </w:pPr>
      <w:r>
        <w:separator/>
      </w:r>
    </w:p>
  </w:footnote>
  <w:footnote w:type="continuationSeparator" w:id="1">
    <w:p w:rsidR="0007450E" w:rsidRDefault="0007450E" w:rsidP="00CC568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2C32C2"/>
    <w:multiLevelType w:val="multilevel"/>
    <w:tmpl w:val="ECA6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6CF1A8D"/>
    <w:multiLevelType w:val="multilevel"/>
    <w:tmpl w:val="1560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9FE4CD8"/>
    <w:multiLevelType w:val="multilevel"/>
    <w:tmpl w:val="6EC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C33A9"/>
    <w:rsid w:val="0007450E"/>
    <w:rsid w:val="001B0158"/>
    <w:rsid w:val="005136A1"/>
    <w:rsid w:val="007C33A9"/>
    <w:rsid w:val="00AE05B9"/>
    <w:rsid w:val="00CC5687"/>
    <w:rsid w:val="00D946A9"/>
    <w:rsid w:val="00E16857"/>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6A1"/>
  </w:style>
  <w:style w:type="paragraph" w:styleId="Heading1">
    <w:name w:val="heading 1"/>
    <w:basedOn w:val="Normal"/>
    <w:link w:val="Heading1Char"/>
    <w:uiPriority w:val="9"/>
    <w:qFormat/>
    <w:rsid w:val="007C33A9"/>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next w:val="Normal"/>
    <w:link w:val="Heading2Char"/>
    <w:uiPriority w:val="9"/>
    <w:semiHidden/>
    <w:unhideWhenUsed/>
    <w:qFormat/>
    <w:rsid w:val="007C33A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E05B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3A9"/>
    <w:rPr>
      <w:rFonts w:ascii="Times New Roman" w:eastAsia="Times New Roman" w:hAnsi="Times New Roman" w:cs="Times New Roman"/>
      <w:b/>
      <w:bCs/>
      <w:kern w:val="36"/>
      <w:sz w:val="48"/>
      <w:szCs w:val="48"/>
      <w:lang w:bidi="mr-IN"/>
    </w:rPr>
  </w:style>
  <w:style w:type="paragraph" w:styleId="NormalWeb">
    <w:name w:val="Normal (Web)"/>
    <w:basedOn w:val="Normal"/>
    <w:uiPriority w:val="99"/>
    <w:semiHidden/>
    <w:unhideWhenUsed/>
    <w:rsid w:val="007C33A9"/>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7C33A9"/>
    <w:rPr>
      <w:b/>
      <w:bCs/>
    </w:rPr>
  </w:style>
  <w:style w:type="character" w:customStyle="1" w:styleId="Heading2Char">
    <w:name w:val="Heading 2 Char"/>
    <w:basedOn w:val="DefaultParagraphFont"/>
    <w:link w:val="Heading2"/>
    <w:uiPriority w:val="9"/>
    <w:semiHidden/>
    <w:rsid w:val="007C33A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E05B9"/>
    <w:rPr>
      <w:rFonts w:asciiTheme="majorHAnsi" w:eastAsiaTheme="majorEastAsia" w:hAnsiTheme="majorHAnsi" w:cstheme="majorBidi"/>
      <w:b/>
      <w:bCs/>
      <w:color w:val="4F81BD" w:themeColor="accent1"/>
    </w:rPr>
  </w:style>
  <w:style w:type="paragraph" w:styleId="Header">
    <w:name w:val="header"/>
    <w:basedOn w:val="Normal"/>
    <w:link w:val="HeaderChar"/>
    <w:uiPriority w:val="99"/>
    <w:semiHidden/>
    <w:unhideWhenUsed/>
    <w:rsid w:val="00CC56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5687"/>
  </w:style>
  <w:style w:type="paragraph" w:styleId="Footer">
    <w:name w:val="footer"/>
    <w:basedOn w:val="Normal"/>
    <w:link w:val="FooterChar"/>
    <w:uiPriority w:val="99"/>
    <w:semiHidden/>
    <w:unhideWhenUsed/>
    <w:rsid w:val="00CC56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687"/>
  </w:style>
  <w:style w:type="character" w:styleId="Emphasis">
    <w:name w:val="Emphasis"/>
    <w:basedOn w:val="DefaultParagraphFont"/>
    <w:uiPriority w:val="20"/>
    <w:qFormat/>
    <w:rsid w:val="00E16857"/>
    <w:rPr>
      <w:i/>
      <w:iCs/>
    </w:rPr>
  </w:style>
  <w:style w:type="character" w:styleId="Hyperlink">
    <w:name w:val="Hyperlink"/>
    <w:basedOn w:val="DefaultParagraphFont"/>
    <w:uiPriority w:val="99"/>
    <w:semiHidden/>
    <w:unhideWhenUsed/>
    <w:rsid w:val="00E16857"/>
    <w:rPr>
      <w:color w:val="0000FF"/>
      <w:u w:val="single"/>
    </w:rPr>
  </w:style>
</w:styles>
</file>

<file path=word/webSettings.xml><?xml version="1.0" encoding="utf-8"?>
<w:webSettings xmlns:r="http://schemas.openxmlformats.org/officeDocument/2006/relationships" xmlns:w="http://schemas.openxmlformats.org/wordprocessingml/2006/main">
  <w:divs>
    <w:div w:id="105003078">
      <w:bodyDiv w:val="1"/>
      <w:marLeft w:val="0"/>
      <w:marRight w:val="0"/>
      <w:marTop w:val="0"/>
      <w:marBottom w:val="0"/>
      <w:divBdr>
        <w:top w:val="none" w:sz="0" w:space="0" w:color="auto"/>
        <w:left w:val="none" w:sz="0" w:space="0" w:color="auto"/>
        <w:bottom w:val="none" w:sz="0" w:space="0" w:color="auto"/>
        <w:right w:val="none" w:sz="0" w:space="0" w:color="auto"/>
      </w:divBdr>
    </w:div>
    <w:div w:id="110246339">
      <w:bodyDiv w:val="1"/>
      <w:marLeft w:val="0"/>
      <w:marRight w:val="0"/>
      <w:marTop w:val="0"/>
      <w:marBottom w:val="0"/>
      <w:divBdr>
        <w:top w:val="none" w:sz="0" w:space="0" w:color="auto"/>
        <w:left w:val="none" w:sz="0" w:space="0" w:color="auto"/>
        <w:bottom w:val="none" w:sz="0" w:space="0" w:color="auto"/>
        <w:right w:val="none" w:sz="0" w:space="0" w:color="auto"/>
      </w:divBdr>
    </w:div>
    <w:div w:id="198863170">
      <w:bodyDiv w:val="1"/>
      <w:marLeft w:val="0"/>
      <w:marRight w:val="0"/>
      <w:marTop w:val="0"/>
      <w:marBottom w:val="0"/>
      <w:divBdr>
        <w:top w:val="none" w:sz="0" w:space="0" w:color="auto"/>
        <w:left w:val="none" w:sz="0" w:space="0" w:color="auto"/>
        <w:bottom w:val="none" w:sz="0" w:space="0" w:color="auto"/>
        <w:right w:val="none" w:sz="0" w:space="0" w:color="auto"/>
      </w:divBdr>
    </w:div>
    <w:div w:id="212353035">
      <w:bodyDiv w:val="1"/>
      <w:marLeft w:val="0"/>
      <w:marRight w:val="0"/>
      <w:marTop w:val="0"/>
      <w:marBottom w:val="0"/>
      <w:divBdr>
        <w:top w:val="none" w:sz="0" w:space="0" w:color="auto"/>
        <w:left w:val="none" w:sz="0" w:space="0" w:color="auto"/>
        <w:bottom w:val="none" w:sz="0" w:space="0" w:color="auto"/>
        <w:right w:val="none" w:sz="0" w:space="0" w:color="auto"/>
      </w:divBdr>
    </w:div>
    <w:div w:id="653224496">
      <w:bodyDiv w:val="1"/>
      <w:marLeft w:val="0"/>
      <w:marRight w:val="0"/>
      <w:marTop w:val="0"/>
      <w:marBottom w:val="0"/>
      <w:divBdr>
        <w:top w:val="none" w:sz="0" w:space="0" w:color="auto"/>
        <w:left w:val="none" w:sz="0" w:space="0" w:color="auto"/>
        <w:bottom w:val="none" w:sz="0" w:space="0" w:color="auto"/>
        <w:right w:val="none" w:sz="0" w:space="0" w:color="auto"/>
      </w:divBdr>
    </w:div>
    <w:div w:id="832330670">
      <w:bodyDiv w:val="1"/>
      <w:marLeft w:val="0"/>
      <w:marRight w:val="0"/>
      <w:marTop w:val="0"/>
      <w:marBottom w:val="0"/>
      <w:divBdr>
        <w:top w:val="none" w:sz="0" w:space="0" w:color="auto"/>
        <w:left w:val="none" w:sz="0" w:space="0" w:color="auto"/>
        <w:bottom w:val="none" w:sz="0" w:space="0" w:color="auto"/>
        <w:right w:val="none" w:sz="0" w:space="0" w:color="auto"/>
      </w:divBdr>
    </w:div>
    <w:div w:id="1085803338">
      <w:bodyDiv w:val="1"/>
      <w:marLeft w:val="0"/>
      <w:marRight w:val="0"/>
      <w:marTop w:val="0"/>
      <w:marBottom w:val="0"/>
      <w:divBdr>
        <w:top w:val="none" w:sz="0" w:space="0" w:color="auto"/>
        <w:left w:val="none" w:sz="0" w:space="0" w:color="auto"/>
        <w:bottom w:val="none" w:sz="0" w:space="0" w:color="auto"/>
        <w:right w:val="none" w:sz="0" w:space="0" w:color="auto"/>
      </w:divBdr>
    </w:div>
    <w:div w:id="1227032744">
      <w:bodyDiv w:val="1"/>
      <w:marLeft w:val="0"/>
      <w:marRight w:val="0"/>
      <w:marTop w:val="0"/>
      <w:marBottom w:val="0"/>
      <w:divBdr>
        <w:top w:val="none" w:sz="0" w:space="0" w:color="auto"/>
        <w:left w:val="none" w:sz="0" w:space="0" w:color="auto"/>
        <w:bottom w:val="none" w:sz="0" w:space="0" w:color="auto"/>
        <w:right w:val="none" w:sz="0" w:space="0" w:color="auto"/>
      </w:divBdr>
    </w:div>
    <w:div w:id="1465924872">
      <w:bodyDiv w:val="1"/>
      <w:marLeft w:val="0"/>
      <w:marRight w:val="0"/>
      <w:marTop w:val="0"/>
      <w:marBottom w:val="0"/>
      <w:divBdr>
        <w:top w:val="none" w:sz="0" w:space="0" w:color="auto"/>
        <w:left w:val="none" w:sz="0" w:space="0" w:color="auto"/>
        <w:bottom w:val="none" w:sz="0" w:space="0" w:color="auto"/>
        <w:right w:val="none" w:sz="0" w:space="0" w:color="auto"/>
      </w:divBdr>
    </w:div>
    <w:div w:id="1951279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isa.gov/sites/default/files/2024-08/Federal_Government_Cybersecurity_Incident_and_Vulnerability_Response_Playbooks_508C.pdf" TargetMode="External"/><Relationship Id="rId3" Type="http://schemas.openxmlformats.org/officeDocument/2006/relationships/settings" Target="settings.xml"/><Relationship Id="rId7" Type="http://schemas.openxmlformats.org/officeDocument/2006/relationships/hyperlink" Target="https://csrc.nist.gov/pubs/sp/800/61/r3/fina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src.nist.gov/projects/incident-response" TargetMode="External"/><Relationship Id="rId4" Type="http://schemas.openxmlformats.org/officeDocument/2006/relationships/webSettings" Target="webSettings.xml"/><Relationship Id="rId9" Type="http://schemas.openxmlformats.org/officeDocument/2006/relationships/hyperlink" Target="https://www.cert-in.org.in/Directions70B.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8</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fernandesrocky165@gmail.com</dc:creator>
  <cp:lastModifiedBy>fernandesrocky165@gmail.com</cp:lastModifiedBy>
  <cp:revision>2</cp:revision>
  <dcterms:created xsi:type="dcterms:W3CDTF">2026-10-25T06:06:00Z</dcterms:created>
  <dcterms:modified xsi:type="dcterms:W3CDTF">2026-10-25T07:27:00Z</dcterms:modified>
</cp:coreProperties>
</file>