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244A68"/>
          <w:sz w:val="24"/>
        </w:rPr>
        <w:t>PROYECTO APLICADO</w:t>
      </w:r>
    </w:p>
    <w:p>
      <w:pPr>
        <w:spacing w:before="480"/>
        <w:jc w:val="center"/>
      </w:pPr>
      <w:r>
        <w:rPr>
          <w:b/>
          <w:color w:val="000000"/>
          <w:sz w:val="44"/>
        </w:rPr>
        <w:t>Sistema de gestión de inventario y mantenimiento de recursos educativos</w:t>
      </w:r>
    </w:p>
    <w:p>
      <w:pPr>
        <w:spacing w:before="200"/>
        <w:jc w:val="center"/>
      </w:pPr>
      <w:r>
        <w:rPr>
          <w:sz w:val="30"/>
        </w:rPr>
        <w:t>Propuesta de una Wiki institucional para La Tola, Nariño</w:t>
      </w:r>
    </w:p>
    <w:p/>
    <w:p/>
    <w:p/>
    <w:tbl>
      <w:tblPr>
        <w:tblW w:type="auto" w:w="0"/>
        <w:jc w:val="center"/>
        <w:tblLayout w:type="fixed"/>
        <w:tblLook w:firstColumn="1" w:firstRow="1" w:lastColumn="0" w:lastRow="0" w:noHBand="0" w:noVBand="1" w:val="04A0"/>
      </w:tblPr>
      <w:tblGrid>
        <w:gridCol w:w="4824"/>
        <w:gridCol w:w="4824"/>
      </w:tblGrid>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244A68"/>
          </w:tcPr>
          <w:p>
            <w:pPr>
              <w:spacing w:after="20" w:line="240" w:lineRule="auto"/>
            </w:pPr>
            <w:r/>
            <w:r>
              <w:rPr>
                <w:rFonts w:ascii="Aptos" w:hAnsi="Aptos"/>
                <w:b/>
                <w:color w:val="FFFFFF"/>
                <w:sz w:val="18"/>
              </w:rPr>
              <w:t>Dato académico</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shd w:fill="244A68"/>
          </w:tcPr>
          <w:p>
            <w:pPr>
              <w:spacing w:after="20" w:line="240" w:lineRule="auto"/>
            </w:pPr>
            <w:r/>
            <w:r>
              <w:rPr>
                <w:rFonts w:ascii="Aptos" w:hAnsi="Aptos"/>
                <w:b/>
                <w:color w:val="FFFFFF"/>
                <w:sz w:val="18"/>
              </w:rPr>
              <w:t>Información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8"/>
              </w:rPr>
              <w:t>Institución universitaria</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8"/>
              </w:rPr>
              <w:t>[Nombre de la universidad]</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8"/>
              </w:rPr>
              <w:t>Programa académico</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8"/>
              </w:rPr>
              <w:t>Ingeniería de Sistemas</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8"/>
              </w:rPr>
              <w:t>Asignatura</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8"/>
              </w:rPr>
              <w:t>Proyecto Aplicado</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8"/>
              </w:rPr>
              <w:t>Autores</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8"/>
              </w:rPr>
              <w:t>[Nombres completos y códigos]</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8"/>
              </w:rPr>
              <w:t>Docente</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8"/>
              </w:rPr>
              <w:t>[Nombre del docente]</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8"/>
              </w:rPr>
              <w:t>Lugar y fecha</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8"/>
              </w:rPr>
              <w:t>La Tola, Nariño | 28 de octubre de 2026</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8"/>
              </w:rPr>
              <w:t>Versión</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8"/>
              </w:rPr>
              <w:t>Informe académico final | 1.0</w:t>
            </w:r>
          </w:p>
        </w:tc>
      </w:tr>
    </w:tbl>
    <w:p>
      <w:pPr>
        <w:spacing w:after="40"/>
      </w:pPr>
    </w:p>
    <w:p>
      <w:r>
        <w:t>Documento preparado a partir de las instrucciones del trabajo de módulo suministrado por el estudiante y de fuentes institucionales y comerciales citadas en el texto. Los nombres y datos institucionales pendientes deben completarse antes de radicar.</w:t>
      </w:r>
    </w:p>
    <w:p>
      <w:r>
        <w:br w:type="page"/>
      </w:r>
    </w:p>
    <w:p>
      <w:pPr>
        <w:pStyle w:val="Heading1"/>
      </w:pPr>
      <w:r>
        <w:t>Resumen</w:t>
      </w:r>
    </w:p>
    <w:p>
      <w:r>
        <w:t>Este proyecto propone analizar, diseñar, construir y preparar para producción una aplicación web tipo Wiki para administrar inventarios y mantenimiento de recursos tecnológicos de instituciones educativas de La Tola, Nariño. La necesidad que origina el trabajo —la falta de un registro consolidado de equipos, ubicación, condición y reparaciones— se toma como un planteamiento preliminar del estudiante y deberá validarse con directivos y responsables de inventario. La solución prevista asigna a cada activo un identificador y código QR, registra estados y movimientos, conserva un historial auditable y restringe las funciones según el rol del usuario. El informe desarrolla el acta, misión, visión, problema, objetivos, marco conceptual, metodología, alcance, interesados, requisitos, EDT, cronograma, presupuesto, riesgos, calidad, comunicaciones y evaluación de impacto solicitados para la Wiki académica. El escenario de presupuesto contempla un piloto de una sede, 300 activos y hasta 50 cuentas, 16 semanas de implementación y 12 meses de soporte. El costo económico de planeación para el primer año es COP 75.562.917, sujeto a cotizaciones, validación de escala y revisión tributaria. El retorno financiero no se presume: se medirá con una línea base institucional antes del piloto.</w:t>
      </w:r>
    </w:p>
    <w:p>
      <w:pPr>
        <w:pStyle w:val="Subtitle"/>
      </w:pPr>
      <w:r>
        <w:t>Palabras clave: inventario tecnológico, gestión de activos, mantenimiento, instituciones educativas, La Tola, Wiki, trazabilidad.</w:t>
      </w:r>
    </w:p>
    <w:p>
      <w:pPr>
        <w:pStyle w:val="Heading1"/>
      </w:pPr>
      <w:r>
        <w:t>Contenido</w:t>
      </w:r>
    </w:p>
    <w:p>
      <w:pPr>
        <w:pStyle w:val="ListNumber"/>
      </w:pPr>
      <w:r>
        <w:t>1. Introducción</w:t>
      </w:r>
    </w:p>
    <w:p>
      <w:pPr>
        <w:pStyle w:val="ListNumber"/>
      </w:pPr>
      <w:r>
        <w:t>2. Planteamiento del problema</w:t>
      </w:r>
    </w:p>
    <w:p>
      <w:pPr>
        <w:pStyle w:val="ListNumber"/>
      </w:pPr>
      <w:r>
        <w:t>3. Justificación</w:t>
      </w:r>
    </w:p>
    <w:p>
      <w:pPr>
        <w:pStyle w:val="ListNumber"/>
      </w:pPr>
      <w:r>
        <w:t>4. Misión, visión y principios</w:t>
      </w:r>
    </w:p>
    <w:p>
      <w:pPr>
        <w:pStyle w:val="ListNumber"/>
      </w:pPr>
      <w:r>
        <w:t>5. Objetivos</w:t>
      </w:r>
    </w:p>
    <w:p>
      <w:pPr>
        <w:pStyle w:val="ListNumber"/>
      </w:pPr>
      <w:r>
        <w:t>6. Marco conceptual y normativo</w:t>
      </w:r>
    </w:p>
    <w:p>
      <w:pPr>
        <w:pStyle w:val="ListNumber"/>
      </w:pPr>
      <w:r>
        <w:t>7. Acta de constitución y alcance</w:t>
      </w:r>
    </w:p>
    <w:p>
      <w:pPr>
        <w:pStyle w:val="ListNumber"/>
      </w:pPr>
      <w:r>
        <w:t>8. Requisitos y módulos del sistema</w:t>
      </w:r>
    </w:p>
    <w:p>
      <w:pPr>
        <w:pStyle w:val="ListNumber"/>
      </w:pPr>
      <w:r>
        <w:t>9. Interesados y gobernanza</w:t>
      </w:r>
    </w:p>
    <w:p>
      <w:pPr>
        <w:pStyle w:val="ListNumber"/>
      </w:pPr>
      <w:r>
        <w:t>10. Metodología y estructura de trabajo</w:t>
      </w:r>
    </w:p>
    <w:p>
      <w:pPr>
        <w:pStyle w:val="ListNumber"/>
      </w:pPr>
      <w:r>
        <w:t>11. Cronograma</w:t>
      </w:r>
    </w:p>
    <w:p>
      <w:pPr>
        <w:pStyle w:val="ListNumber"/>
      </w:pPr>
      <w:r>
        <w:t>12. Presupuesto y análisis de costos</w:t>
      </w:r>
    </w:p>
    <w:p>
      <w:pPr>
        <w:pStyle w:val="ListNumber"/>
      </w:pPr>
      <w:r>
        <w:t>13. Gestión de riesgos</w:t>
      </w:r>
    </w:p>
    <w:p>
      <w:pPr>
        <w:pStyle w:val="ListNumber"/>
      </w:pPr>
      <w:r>
        <w:t>14. Plan de calidad</w:t>
      </w:r>
    </w:p>
    <w:p>
      <w:pPr>
        <w:pStyle w:val="ListNumber"/>
      </w:pPr>
      <w:r>
        <w:t>15. Comunicaciones</w:t>
      </w:r>
    </w:p>
    <w:p>
      <w:pPr>
        <w:pStyle w:val="ListNumber"/>
      </w:pPr>
      <w:r>
        <w:t>16. Impacto, sostenibilidad y retorno</w:t>
      </w:r>
    </w:p>
    <w:p>
      <w:pPr>
        <w:pStyle w:val="ListNumber"/>
      </w:pPr>
      <w:r>
        <w:t>17. Preparación para producción</w:t>
      </w:r>
    </w:p>
    <w:p>
      <w:pPr>
        <w:pStyle w:val="ListNumber"/>
      </w:pPr>
      <w:r>
        <w:t>18. Conclusiones y recomendaciones</w:t>
      </w:r>
    </w:p>
    <w:p>
      <w:pPr>
        <w:pStyle w:val="ListNumber"/>
      </w:pPr>
      <w:r>
        <w:t>Referencias</w:t>
      </w:r>
    </w:p>
    <w:p>
      <w:pPr>
        <w:pStyle w:val="ListNumber"/>
      </w:pPr>
      <w:r>
        <w:t>Anexos</w:t>
      </w:r>
    </w:p>
    <w:p>
      <w:pPr>
        <w:pStyle w:val="Heading1"/>
      </w:pPr>
      <w:r>
        <w:t>1. Introducción</w:t>
      </w:r>
    </w:p>
    <w:p>
      <w:r>
        <w:t>Las instituciones educativas administran equipos que apoyan la enseñanza y las tareas administrativas: computadores, portátiles, tabletas, proyectores, impresoras, redes y periféricos. Cuando no existe un registro actualizado y común, resulta difícil conocer su disponibilidad, custodio, ubicación y estado; también se pierde el historial que permite distinguir una reparación viable de una reposición. El problema de partida para este proyecto es una observación preliminar relacionada con instituciones educativas del municipio de La Tola. El equipo no dispone todavía de un censo institucional verificable, por lo que la primera fase debe confirmar la situación, los procesos actuales y el número de sedes y activos.</w:t>
      </w:r>
    </w:p>
    <w:p>
      <w:r>
        <w:t>La propuesta combina una aplicación de inventario con una Wiki institucional de procedimientos y conocimiento. El trabajo académico se documentará en una Wiki colaborativa con páginas enlazadas. La aplicación propuesta será el producto tecnológico que podría desarrollarse y desplegarse en una fase posterior. El documento sigue las fases y productos indicados por la guía del módulo (Trabajo módulo, s. f.) y organiza la planificación técnica con énfasis en interesados, riesgos, valor y entregables, de acuerdo con los principios de adaptación de proyectos del Project Management Institute (PMI, 2025).</w:t>
      </w:r>
    </w:p>
    <w:p>
      <w:pPr>
        <w:pStyle w:val="Heading1"/>
      </w:pPr>
      <w:r>
        <w:t>2. Planteamiento del problema</w:t>
      </w:r>
    </w:p>
    <w:p>
      <w:pPr>
        <w:pStyle w:val="Heading2"/>
      </w:pPr>
      <w:r>
        <w:t>2.1 Descripción</w:t>
      </w:r>
    </w:p>
    <w:p>
      <w:r>
        <w:t>De acuerdo con la necesidad identificada por el estudiante, algunas instituciones educativas de La Tola no contarían con un sistema centralizado para saber qué equipos tecnológicos tienen, dónde están, cuáles funcionan, cuáles requieren reparación y cuáles deben darse de baja. La afirmación es el punto de partida del proyecto, no un resultado de investigación local; debe verificarse mediante entrevistas, revisión de registros y observación de una institución piloto.</w:t>
      </w:r>
    </w:p>
    <w:p>
      <w:r>
        <w:t>Sin una ficha única por activo, los cambios de sede o responsable, fallas, diagnósticos y reparaciones pueden quedar en documentos separados o no registrarse. Esto reduce la capacidad de planear mantenimiento, calcular costos y sustentar decisiones de reposición. También puede generar duplicidad de registros, demoras para localizar bienes y falta de evidencia al tramitar bajas o disposición final.</w:t>
      </w:r>
    </w:p>
    <w:p>
      <w:pPr>
        <w:pStyle w:val="Heading2"/>
      </w:pPr>
      <w:r>
        <w:t>2.2 Pregunta de investigación aplicada</w:t>
      </w:r>
    </w:p>
    <w:p>
      <w:r>
        <w:t>¿Cómo puede una plataforma web con identificadores únicos, control de acceso e historial de mantenimiento mejorar la consulta, trazabilidad y toma de decisiones sobre los recursos tecnológicos de una institución educativa piloto en La Tola, Nariño?</w:t>
      </w:r>
    </w:p>
    <w:p>
      <w:pPr>
        <w:pStyle w:val="Heading2"/>
      </w:pPr>
      <w:r>
        <w:t>2.3 Delimitación del diagnóstico</w:t>
      </w:r>
    </w:p>
    <w:p>
      <w:pPr>
        <w:pStyle w:val="ListBullet"/>
      </w:pPr>
      <w:r>
        <w:t>Unidad de análisis inicial: una institución educativa y una sede piloto, por confirmar con el patrocinador.</w:t>
      </w:r>
    </w:p>
    <w:p>
      <w:pPr>
        <w:pStyle w:val="ListBullet"/>
      </w:pPr>
      <w:r>
        <w:t>Población participante: dirección, responsable de sistemas, encargado administrativo o de almacén, docentes usuarios y equipo del proyecto.</w:t>
      </w:r>
    </w:p>
    <w:p>
      <w:pPr>
        <w:pStyle w:val="ListBullet"/>
      </w:pPr>
      <w:r>
        <w:t>Activos de referencia para estimar costos: hasta 300. La cantidad real se medirá antes de cerrar el alcance.</w:t>
      </w:r>
    </w:p>
    <w:p>
      <w:pPr>
        <w:pStyle w:val="ListBullet"/>
      </w:pPr>
      <w:r>
        <w:t>Periodo de construcción estimado: 16 semanas desde el acta de inicio. La fecha calendario depende de aprobación institucional y disponibilidad de usuarios.</w:t>
      </w:r>
    </w:p>
    <w:p>
      <w:pPr>
        <w:pStyle w:val="Heading1"/>
      </w:pPr>
      <w:r>
        <w:t>3. Justificación</w:t>
      </w:r>
    </w:p>
    <w:p>
      <w:r>
        <w:t>El proyecto es pertinente para Ingeniería de Sistemas porque comprende levantamiento de requisitos, modelado de datos, desarrollo web, seguridad, integración de servicios, pruebas, despliegue y operación. También es aplicable a una necesidad administrativa y educativa: hacer visible el estado de los recursos y mantener evidencia de los cambios durante su vida útil.</w:t>
      </w:r>
    </w:p>
    <w:p>
      <w:r>
        <w:t>Para la institución, la información ordenada puede apoyar mantenimiento preventivo y correctivo, asignación de equipos, conciliación de inventarios y planeación presupuestal. Estos beneficios son esperados, no comprobados. Se evaluarán después de establecer una línea base y comparar tiempos, exactitud de registros, disponibilidad funcional, reparaciones y decisiones de compra. El proyecto no atribuye ahorros a la solución sin registros que los sustenten.</w:t>
      </w:r>
    </w:p>
    <w:p>
      <w:r>
        <w:t>La propuesta incorpora desde la planeación la separación de funciones, el registro de eventos, los respaldos de información y la necesidad de una persona responsable después de la entrega. Para datos de usuarios o responsables se deberán definir finalidades y controles conforme a la legislación colombiana de protección de datos personales (Congreso de Colombia, 2012).</w:t>
      </w:r>
    </w:p>
    <w:p>
      <w:pPr>
        <w:pStyle w:val="Heading1"/>
      </w:pPr>
      <w:r>
        <w:t>4. Misión, visión y principios</w:t>
      </w:r>
    </w:p>
    <w:p>
      <w:pPr>
        <w:pStyle w:val="Heading2"/>
      </w:pPr>
      <w:r>
        <w:t>4.1 Misión del proyecto</w:t>
      </w:r>
    </w:p>
    <w:p>
      <w:r>
        <w:t>Diseñar e implementar una herramienta institucional confiable que facilite registrar, localizar y mantener los recursos tecnológicos educativos, preserve la trazabilidad de sus cambios y brinde información verificable para apoyar las decisiones de la comunidad educativa de La Tola.</w:t>
      </w:r>
    </w:p>
    <w:p>
      <w:pPr>
        <w:pStyle w:val="Heading2"/>
      </w:pPr>
      <w:r>
        <w:t>4.2 Visión del proyecto</w:t>
      </w:r>
    </w:p>
    <w:p>
      <w:r>
        <w:t>Ser una solución sostenible y replicable que permita a las instituciones educativas de La Tola administrar sus recursos tecnológicos con información actualizada, responsabilidades claras y decisiones de mantenimiento basadas en evidencia, ampliando su cobertura solo cuando el piloto demuestre utilidad y exista capacidad de operación.</w:t>
      </w:r>
    </w:p>
    <w:p>
      <w:pPr>
        <w:pStyle w:val="Heading2"/>
      </w:pPr>
      <w:r>
        <w:t>4.3 Principios de diseño y gestión</w:t>
      </w:r>
    </w:p>
    <w:p>
      <w:pPr>
        <w:pStyle w:val="ListBullet"/>
      </w:pPr>
      <w:r>
        <w:t>Un registro único por activo y un historial no destructivo de eventos relevantes.</w:t>
      </w:r>
    </w:p>
    <w:p>
      <w:pPr>
        <w:pStyle w:val="ListBullet"/>
      </w:pPr>
      <w:r>
        <w:t>Acceso según responsabilidades, con privilegios mínimos y registro de cambios.</w:t>
      </w:r>
    </w:p>
    <w:p>
      <w:pPr>
        <w:pStyle w:val="ListBullet"/>
      </w:pPr>
      <w:r>
        <w:t>Datos claros, exportables y bajo control de la institución.</w:t>
      </w:r>
    </w:p>
    <w:p>
      <w:pPr>
        <w:pStyle w:val="ListBullet"/>
      </w:pPr>
      <w:r>
        <w:t>Diseño adaptable a conectividad disponible, que debe medirse antes de definir operación fuera de línea.</w:t>
      </w:r>
    </w:p>
    <w:p>
      <w:pPr>
        <w:pStyle w:val="ListBullet"/>
      </w:pPr>
      <w:r>
        <w:t>Mantenimiento, privacidad, recuperación y costo recurrente considerados desde el inicio.</w:t>
      </w:r>
    </w:p>
    <w:p>
      <w:pPr>
        <w:pStyle w:val="ListBullet"/>
      </w:pPr>
      <w:r>
        <w:t>Transparencia sobre límites, datos faltantes, decisiones pendientes y supuestos financieros.</w:t>
      </w:r>
    </w:p>
    <w:p>
      <w:pPr>
        <w:pStyle w:val="Heading1"/>
      </w:pPr>
      <w:r>
        <w:t>5. Objetivos</w:t>
      </w:r>
    </w:p>
    <w:p>
      <w:pPr>
        <w:pStyle w:val="Heading2"/>
      </w:pPr>
      <w:r>
        <w:t>5.1 Objetivo general</w:t>
      </w:r>
    </w:p>
    <w:p>
      <w:r>
        <w:t>Diseñar, construir, validar e implementar en 16 semanas una plataforma web con base de datos y Wiki institucional que permita a una institución educativa piloto de La Tola registrar hasta 300 activos y administrar su ciclo de vida, con permisos diferenciados, historial auditable, respaldos y un procedimiento probado de recuperación.</w:t>
      </w:r>
    </w:p>
    <w:p>
      <w:pPr>
        <w:pStyle w:val="Heading2"/>
      </w:pPr>
      <w:r>
        <w:t>5.2 Objetivos específicos</w:t>
      </w:r>
    </w:p>
    <w:p>
      <w:pPr>
        <w:pStyle w:val="ListNumber"/>
      </w:pPr>
      <w:r>
        <w:t>Caracterizar el proceso actual de inventario y mantenimiento mediante entrevistas, revisión de registros y validación del catálogo de activos.</w:t>
      </w:r>
    </w:p>
    <w:p>
      <w:pPr>
        <w:pStyle w:val="ListNumber"/>
      </w:pPr>
      <w:r>
        <w:t>Definir requisitos funcionales, de seguridad, calidad, operación y tratamiento de información con los interesados.</w:t>
      </w:r>
    </w:p>
    <w:p>
      <w:pPr>
        <w:pStyle w:val="ListNumber"/>
      </w:pPr>
      <w:r>
        <w:t>Diseñar un modelo de datos relacional, arquitectura web y prototipo de interfaz apropiados para una institución piloto.</w:t>
      </w:r>
    </w:p>
    <w:p>
      <w:pPr>
        <w:pStyle w:val="ListNumber"/>
      </w:pPr>
      <w:r>
        <w:t>Implementar registro, identificador QR, búsqueda, ubicación, custodio, estados, incidentes, reparaciones, traslados, bajas, reportes y Wiki de procedimientos.</w:t>
      </w:r>
    </w:p>
    <w:p>
      <w:pPr>
        <w:pStyle w:val="ListNumber"/>
      </w:pPr>
      <w:r>
        <w:t>Validar permisos, trazabilidad, importación, respaldos, recuperación y criterios de aceptación con usuarios designados.</w:t>
      </w:r>
    </w:p>
    <w:p>
      <w:pPr>
        <w:pStyle w:val="ListNumber"/>
      </w:pPr>
      <w:r>
        <w:t>Capacitar administradores y usuarios y medir cambios frente a una línea base con indicadores financieros, operativos, sociales y ambientales.</w:t>
      </w:r>
    </w:p>
    <w:p>
      <w:pPr>
        <w:pStyle w:val="Heading1"/>
      </w:pPr>
      <w:r>
        <w:t>6. Marco conceptual y normativo</w:t>
      </w:r>
    </w:p>
    <w:p>
      <w:pPr>
        <w:pStyle w:val="Heading2"/>
      </w:pPr>
      <w:r>
        <w:t>6.1 Gestión del ciclo de vida de activos</w:t>
      </w:r>
    </w:p>
    <w:p>
      <w:r>
        <w:t>La gestión de activos alinea información, responsabilidades y decisiones sobre bienes durante su ciclo de vida. ISO 55000 presenta los principios y el marco general para que la gestión de activos contribuya a los objetivos de una organización (International Organization for Standardization [ISO], 2024). Para esta propuesta, el ciclo abarca identificación, asignación, uso, mantenimiento, reparación, traslado y disposición. La aplicación conservará eventos con fecha, usuario y evidencia, de modo que la ficha actual pueda consultarse junto con su historial. La categorización y los estados deben validarse con la institución para que coincidan con sus procedimientos.</w:t>
      </w:r>
    </w:p>
    <w:p>
      <w:pPr>
        <w:pStyle w:val="Heading2"/>
      </w:pPr>
      <w:r>
        <w:t>6.2 Gestión de proyectos</w:t>
      </w:r>
    </w:p>
    <w:p>
      <w:r>
        <w:t>La planificación se estructura alrededor de resultados, interesados, alcance, cronograma, presupuesto, riesgos, calidad y comunicaciones. El enfoque se adapta al tamaño del piloto y combina hitos de aprobación con ciclos cortos de revisión del producto. Esta adaptación es coherente con la orientación del PMBOK hacia principios y dominios de desempeño que pueden ajustarse al contexto del proyecto (PMI, 2025).</w:t>
      </w:r>
    </w:p>
    <w:p>
      <w:pPr>
        <w:pStyle w:val="Heading2"/>
      </w:pPr>
      <w:r>
        <w:t>6.3 Trazabilidad, control de acceso y datos personales</w:t>
      </w:r>
    </w:p>
    <w:p>
      <w:r>
        <w:t>Cada activo tendrá un código persistente que no se reutiliza después de una baja. Las operaciones sensibles registrarán quién realizó el cambio y cuándo. Los permisos se asignarán por rol y sede. La Ley 1581 de 2012 establece disposiciones generales para el tratamiento de datos personales en Colombia; por ello, antes del despliegue la entidad debe definir responsable y encargado, finalidades, datos mínimos, avisos y medidas de protección, especialmente si se registran nombres de custodios o usuarios (Congreso de Colombia, 2012).</w:t>
      </w:r>
    </w:p>
    <w:p>
      <w:pPr>
        <w:pStyle w:val="Heading2"/>
      </w:pPr>
      <w:r>
        <w:t>6.4 Calidad y operación del software</w:t>
      </w:r>
    </w:p>
    <w:p>
      <w:r>
        <w:t>La calidad se verificará con criterios observables: integridad de datos, comportamiento funcional, control de permisos, disponibilidad de respaldos, facilidad de uso y recuperación. ISO/IEC 25010 ofrece un modelo para especificar y evaluar propiedades de calidad de productos de software durante su ciclo de vida; esta propuesta selecciona atributos pertinentes al piloto, entre ellos confiabilidad, eficiencia, interacción, seguridad y mantenibilidad (International Organization for Standardization &amp; International Electrotechnical Commission [ISO/IEC], 2023). Una prueba satisfactoria en entorno académico no demuestra por sí misma que el servicio sea adecuado para operación real; la puesta en producción requiere cuentas institucionales, monitoreo, soporte, gestión de cambios y verificación periódica de recuperación.</w:t>
      </w:r>
    </w:p>
    <w:p>
      <w:pPr>
        <w:pStyle w:val="Heading1"/>
      </w:pPr>
      <w:r>
        <w:t>7. Acta de constitución y alcance</w:t>
      </w:r>
    </w:p>
    <w:tbl>
      <w:tblPr>
        <w:tblW w:type="auto" w:w="0"/>
        <w:jc w:val="center"/>
        <w:tblLayout w:type="fixed"/>
        <w:tblLook w:firstColumn="1" w:firstRow="1" w:lastColumn="0" w:lastRow="0" w:noHBand="0" w:noVBand="1" w:val="04A0"/>
      </w:tblPr>
      <w:tblGrid>
        <w:gridCol w:w="4824"/>
        <w:gridCol w:w="4824"/>
      </w:tblGrid>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shd w:fill="244A68"/>
          </w:tcPr>
          <w:p>
            <w:pPr>
              <w:spacing w:after="20" w:line="240" w:lineRule="auto"/>
            </w:pPr>
            <w:r/>
            <w:r>
              <w:rPr>
                <w:rFonts w:ascii="Aptos" w:hAnsi="Aptos"/>
                <w:b/>
                <w:color w:val="FFFFFF"/>
                <w:sz w:val="16"/>
              </w:rPr>
              <w:t>Elemento del acta</w:t>
            </w:r>
          </w:p>
        </w:tc>
        <w:tc>
          <w:tcPr>
            <w:tcW w:type="dxa" w:w="6984"/>
            <w:vAlign w:val="center"/>
            <w:tcBorders>
              <w:top w:val="single" w:sz="4" w:color="D9D9D9"/>
              <w:left w:val="single" w:sz="4" w:color="D9D9D9"/>
              <w:bottom w:val="single" w:sz="4" w:color="D9D9D9"/>
              <w:right w:val="single" w:sz="4" w:color="D9D9D9"/>
              <w:insideH w:val="single" w:sz="4" w:color="D9D9D9"/>
              <w:insideV w:val="single" w:sz="4" w:color="D9D9D9"/>
            </w:tcBorders>
            <w:shd w:fill="244A68"/>
          </w:tcPr>
          <w:p>
            <w:pPr>
              <w:spacing w:after="20" w:line="240" w:lineRule="auto"/>
            </w:pPr>
            <w:r/>
            <w:r>
              <w:rPr>
                <w:rFonts w:ascii="Aptos" w:hAnsi="Aptos"/>
                <w:b/>
                <w:color w:val="FFFFFF"/>
                <w:sz w:val="16"/>
              </w:rPr>
              <w:t>Definición</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6"/>
              </w:rPr>
              <w:t>Nombre</w:t>
            </w:r>
          </w:p>
        </w:tc>
        <w:tc>
          <w:tcPr>
            <w:tcW w:type="dxa" w:w="6984"/>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6"/>
              </w:rPr>
              <w:t>Sistema de gestión de inventario y mantenimiento de recursos educativos de La Tola</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6"/>
              </w:rPr>
              <w:t>Sigla de trabajo</w:t>
            </w:r>
          </w:p>
        </w:tc>
        <w:tc>
          <w:tcPr>
            <w:tcW w:type="dxa" w:w="69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6"/>
              </w:rPr>
              <w:t>SIGMA Educación La Tola</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6"/>
              </w:rPr>
              <w:t>Patrocinador</w:t>
            </w:r>
          </w:p>
        </w:tc>
        <w:tc>
          <w:tcPr>
            <w:tcW w:type="dxa" w:w="6984"/>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6"/>
              </w:rPr>
              <w:t>Secretaría de Educación competente, administración municipal o dirección de institución piloto; por confirmar.</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6"/>
              </w:rPr>
              <w:t>Líder académico</w:t>
            </w:r>
          </w:p>
        </w:tc>
        <w:tc>
          <w:tcPr>
            <w:tcW w:type="dxa" w:w="69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6"/>
              </w:rPr>
              <w:t>Equipo de estudiantes de Proyecto Aplicado; completar integrantes.</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6"/>
              </w:rPr>
              <w:t>Horizonte</w:t>
            </w:r>
          </w:p>
        </w:tc>
        <w:tc>
          <w:tcPr>
            <w:tcW w:type="dxa" w:w="6984"/>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6"/>
              </w:rPr>
              <w:t>16 semanas técnicas, más 12 meses de soporte presupuestado desde el lanzamiento.</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6"/>
              </w:rPr>
              <w:t>Propósito</w:t>
            </w:r>
          </w:p>
        </w:tc>
        <w:tc>
          <w:tcPr>
            <w:tcW w:type="dxa" w:w="69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6"/>
              </w:rPr>
              <w:t>Disponer de un registro común y auditable de activos y eventos de mantenimiento.</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6"/>
              </w:rPr>
              <w:t>Presupuesto de referencia</w:t>
            </w:r>
          </w:p>
        </w:tc>
        <w:tc>
          <w:tcPr>
            <w:tcW w:type="dxa" w:w="6984"/>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6"/>
              </w:rPr>
              <w:t>COP 75.562.917 en escenario económico de primer año; ver capítulo 12 y libro Excel.</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6"/>
              </w:rPr>
              <w:t>Aprobaciones requeridas</w:t>
            </w:r>
          </w:p>
        </w:tc>
        <w:tc>
          <w:tcPr>
            <w:tcW w:type="dxa" w:w="69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6"/>
              </w:rPr>
              <w:t>Alcance, datos, presupuesto, arquitectura, criterios de aceptación y responsable posproducción.</w:t>
            </w:r>
          </w:p>
        </w:tc>
      </w:tr>
    </w:tbl>
    <w:p>
      <w:pPr>
        <w:spacing w:after="40"/>
      </w:pPr>
    </w:p>
    <w:p>
      <w:pPr>
        <w:pStyle w:val="Heading2"/>
      </w:pPr>
      <w:r>
        <w:t>7.1 Entregables</w:t>
      </w:r>
    </w:p>
    <w:tbl>
      <w:tblPr>
        <w:tblW w:type="auto" w:w="0"/>
        <w:jc w:val="center"/>
        <w:tblLayout w:type="fixed"/>
        <w:tblLook w:firstColumn="1" w:firstRow="1" w:lastColumn="0" w:lastRow="0" w:noHBand="0" w:noVBand="1" w:val="04A0"/>
      </w:tblPr>
      <w:tblGrid>
        <w:gridCol w:w="3216"/>
        <w:gridCol w:w="3216"/>
        <w:gridCol w:w="3216"/>
      </w:tblGrid>
      <w:tr>
        <w:trPr>
          <w:cantSplit/>
        </w:trP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shd w:fill="244A68"/>
          </w:tcPr>
          <w:p>
            <w:pPr>
              <w:spacing w:after="20" w:line="240" w:lineRule="auto"/>
            </w:pPr>
            <w:r/>
            <w:r>
              <w:rPr>
                <w:rFonts w:ascii="Aptos" w:hAnsi="Aptos"/>
                <w:b/>
                <w:color w:val="FFFFFF"/>
                <w:sz w:val="15"/>
              </w:rPr>
              <w:t>Código</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shd w:fill="244A68"/>
          </w:tcPr>
          <w:p>
            <w:pPr>
              <w:spacing w:after="20" w:line="240" w:lineRule="auto"/>
            </w:pPr>
            <w:r/>
            <w:r>
              <w:rPr>
                <w:rFonts w:ascii="Aptos" w:hAnsi="Aptos"/>
                <w:b/>
                <w:color w:val="FFFFFF"/>
                <w:sz w:val="15"/>
              </w:rPr>
              <w:t>Entregable</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shd w:fill="244A68"/>
          </w:tcPr>
          <w:p>
            <w:pPr>
              <w:spacing w:after="20" w:line="240" w:lineRule="auto"/>
            </w:pPr>
            <w:r/>
            <w:r>
              <w:rPr>
                <w:rFonts w:ascii="Aptos" w:hAnsi="Aptos"/>
                <w:b/>
                <w:color w:val="FFFFFF"/>
                <w:sz w:val="15"/>
              </w:rPr>
              <w:t>Verificación</w:t>
            </w:r>
          </w:p>
        </w:tc>
      </w:tr>
      <w:tr>
        <w:trPr>
          <w:cantSplit/>
        </w:trP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5"/>
              </w:rPr>
              <w:t>E1</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5"/>
              </w:rPr>
              <w:t>Wiki académica enlazada</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5"/>
              </w:rPr>
              <w:t>Acta, interesados, visión, alcance, EDT, cronograma, costos, riesgos, responsables, calidad, comunicaciones e impacto.</w:t>
            </w:r>
          </w:p>
        </w:tc>
      </w:tr>
      <w:tr>
        <w:trPr>
          <w:cantSplit/>
        </w:trP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5"/>
              </w:rPr>
              <w:t>E2</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5"/>
              </w:rPr>
              <w:t>Análisis y diseño</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5"/>
              </w:rPr>
              <w:t>Procesos, requisitos, catálogo de datos, modelo y prototipo validados.</w:t>
            </w:r>
          </w:p>
        </w:tc>
      </w:tr>
      <w:tr>
        <w:trPr>
          <w:cantSplit/>
        </w:trP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5"/>
              </w:rPr>
              <w:t>E3</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5"/>
              </w:rPr>
              <w:t>Aplicación web piloto</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5"/>
              </w:rPr>
              <w:t>Módulos de activos, roles, QR, mantenimiento, movimientos, bajas y reportes.</w:t>
            </w:r>
          </w:p>
        </w:tc>
      </w:tr>
      <w:tr>
        <w:trPr>
          <w:cantSplit/>
        </w:trP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5"/>
              </w:rPr>
              <w:t>E4</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5"/>
              </w:rPr>
              <w:t>Preparación para producción</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5"/>
              </w:rPr>
              <w:t>Ambientes, dominio, TLS, secretos, respaldos, monitorización básica y recuperación probada.</w:t>
            </w:r>
          </w:p>
        </w:tc>
      </w:tr>
      <w:tr>
        <w:trPr>
          <w:cantSplit/>
        </w:trP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5"/>
              </w:rPr>
              <w:t>E5</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5"/>
              </w:rPr>
              <w:t>Migración y capacitación</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5"/>
              </w:rPr>
              <w:t>Carga conciliada de hasta 300 registros y formación de los perfiles definidos.</w:t>
            </w:r>
          </w:p>
        </w:tc>
      </w:tr>
      <w:tr>
        <w:trPr>
          <w:cantSplit/>
        </w:trP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5"/>
              </w:rPr>
              <w:t>E6</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5"/>
              </w:rPr>
              <w:t>Transferencia y soporte</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5"/>
              </w:rPr>
              <w:t>Manuales, propietario institucional, proceso de ayuda y presupuesto recurrente definidos.</w:t>
            </w:r>
          </w:p>
        </w:tc>
      </w:tr>
    </w:tbl>
    <w:p>
      <w:pPr>
        <w:spacing w:after="40"/>
      </w:pPr>
    </w:p>
    <w:p>
      <w:pPr>
        <w:pStyle w:val="Heading2"/>
      </w:pPr>
      <w:r>
        <w:t>7.2 Incluido y excluido</w:t>
      </w:r>
    </w:p>
    <w:tbl>
      <w:tblPr>
        <w:tblW w:type="auto" w:w="0"/>
        <w:jc w:val="center"/>
        <w:tblLayout w:type="fixed"/>
        <w:tblLook w:firstColumn="1" w:firstRow="1" w:lastColumn="0" w:lastRow="0" w:noHBand="0" w:noVBand="1" w:val="04A0"/>
      </w:tblPr>
      <w:tblGrid>
        <w:gridCol w:w="4824"/>
        <w:gridCol w:w="4824"/>
      </w:tblGrid>
      <w:tr>
        <w:trPr>
          <w:cantSplit/>
        </w:trPr>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shd w:fill="244A68"/>
          </w:tcPr>
          <w:p>
            <w:pPr>
              <w:spacing w:after="20" w:line="240" w:lineRule="auto"/>
            </w:pPr>
            <w:r/>
            <w:r>
              <w:rPr>
                <w:rFonts w:ascii="Aptos" w:hAnsi="Aptos"/>
                <w:b/>
                <w:color w:val="FFFFFF"/>
                <w:sz w:val="15"/>
              </w:rPr>
              <w:t>Incluido en piloto</w:t>
            </w:r>
          </w:p>
        </w:tc>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shd w:fill="244A68"/>
          </w:tcPr>
          <w:p>
            <w:pPr>
              <w:spacing w:after="20" w:line="240" w:lineRule="auto"/>
            </w:pPr>
            <w:r/>
            <w:r>
              <w:rPr>
                <w:rFonts w:ascii="Aptos" w:hAnsi="Aptos"/>
                <w:b/>
                <w:color w:val="FFFFFF"/>
                <w:sz w:val="15"/>
              </w:rPr>
              <w:t>Fuera del alcance base</w:t>
            </w:r>
          </w:p>
        </w:tc>
      </w:tr>
      <w:tr>
        <w:trPr>
          <w:cantSplit/>
        </w:trPr>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5"/>
              </w:rPr>
              <w:t>Una institución y una sede, hasta 300 activos y 50 cuentas.</w:t>
            </w:r>
          </w:p>
        </w:tc>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5"/>
              </w:rPr>
              <w:t>Despliegue municipal simultáneo para todas las instituciones; requiere fase y costo separados.</w:t>
            </w:r>
          </w:p>
        </w:tc>
      </w:tr>
      <w:tr>
        <w:trPr>
          <w:cantSplit/>
        </w:trPr>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5"/>
              </w:rPr>
              <w:t>Aplicación web adaptable a navegador y Wiki de procedimientos.</w:t>
            </w:r>
          </w:p>
        </w:tc>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5"/>
              </w:rPr>
              <w:t>Aplicación móvil nativa o modo sin conexión con sincronización.</w:t>
            </w:r>
          </w:p>
        </w:tc>
      </w:tr>
      <w:tr>
        <w:trPr>
          <w:cantSplit/>
        </w:trPr>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5"/>
              </w:rPr>
              <w:t>Catálogos, estados, custodios, movimientos, mantenimiento, bajas y reportes.</w:t>
            </w:r>
          </w:p>
        </w:tc>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5"/>
              </w:rPr>
              <w:t>Diagnóstico con IA, SMS, pagos, integración contable o compra de equipos.</w:t>
            </w:r>
          </w:p>
        </w:tc>
      </w:tr>
      <w:tr>
        <w:trPr>
          <w:cantSplit/>
        </w:trPr>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5"/>
              </w:rPr>
              <w:t>Etiquetas QR, materiales, capacitación y soporte remoto.</w:t>
            </w:r>
          </w:p>
        </w:tc>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5"/>
              </w:rPr>
              <w:t>Inventario físico realizado por contratista, transporte y viáticos.</w:t>
            </w:r>
          </w:p>
        </w:tc>
      </w:tr>
      <w:tr>
        <w:trPr>
          <w:cantSplit/>
        </w:trPr>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5"/>
              </w:rPr>
              <w:t>Servicios de nube y dominio presupuestados en este informe.</w:t>
            </w:r>
          </w:p>
        </w:tc>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5"/>
              </w:rPr>
              <w:t>Conectividad nueva, redes, instalación y soporte presencial.</w:t>
            </w:r>
          </w:p>
        </w:tc>
      </w:tr>
    </w:tbl>
    <w:p>
      <w:pPr>
        <w:spacing w:after="40"/>
      </w:pPr>
    </w:p>
    <w:p>
      <w:pPr>
        <w:pStyle w:val="Heading2"/>
      </w:pPr>
      <w:r>
        <w:t>7.3 Supuestos y restricciones</w:t>
      </w:r>
    </w:p>
    <w:p>
      <w:pPr>
        <w:pStyle w:val="ListBullet"/>
      </w:pPr>
      <w:r>
        <w:t>La institución designa patrocinador, administrador funcional y responsable técnico; valida datos y facilita usuarios, equipos y conectividad existentes.</w:t>
      </w:r>
    </w:p>
    <w:p>
      <w:pPr>
        <w:pStyle w:val="ListBullet"/>
      </w:pPr>
      <w:r>
        <w:t>El personal local realiza el inventario físico y coloca las etiquetas; se estiman 1.000 etiquetas como lote de referencia, no 1.000 activos.</w:t>
      </w:r>
    </w:p>
    <w:p>
      <w:pPr>
        <w:pStyle w:val="ListBullet"/>
      </w:pPr>
      <w:r>
        <w:t>El presupuesto se limita a una sede. La cantidad de instituciones, sedes, equipos y cuentas puede modificar horas, licencias, transporte y soporte.</w:t>
      </w:r>
    </w:p>
    <w:p>
      <w:pPr>
        <w:pStyle w:val="ListBullet"/>
      </w:pPr>
      <w:r>
        <w:t>La solución se plantea como servicio en línea. La conectividad por sede debe probarse; si se requiere modo sin conexión, se debe rediseñar y cotizar.</w:t>
      </w:r>
    </w:p>
    <w:p>
      <w:pPr>
        <w:pStyle w:val="ListBullet"/>
      </w:pPr>
      <w:r>
        <w:t>Las cuentas y el dominio se registran a nombre de la institución. El uso productivo no debe depender de cuentas personales del equipo estudiantil.</w:t>
      </w:r>
    </w:p>
    <w:p>
      <w:pPr>
        <w:pStyle w:val="ListBullet"/>
      </w:pPr>
      <w:r>
        <w:t>La tasa de cambio, tarifas comerciales, límites de nube e impuestos cambian; se deben validar en fecha de compra.</w:t>
      </w:r>
    </w:p>
    <w:p>
      <w:pPr>
        <w:pStyle w:val="Heading1"/>
      </w:pPr>
      <w:r>
        <w:t>8. Requisitos y módulos del sistema</w:t>
      </w:r>
    </w:p>
    <w:tbl>
      <w:tblPr>
        <w:tblW w:type="auto" w:w="0"/>
        <w:jc w:val="center"/>
        <w:tblLayout w:type="fixed"/>
        <w:tblLook w:firstColumn="1" w:firstRow="1" w:lastColumn="0" w:lastRow="0" w:noHBand="0" w:noVBand="1" w:val="04A0"/>
      </w:tblPr>
      <w:tblGrid>
        <w:gridCol w:w="3216"/>
        <w:gridCol w:w="3216"/>
        <w:gridCol w:w="3216"/>
      </w:tblGrid>
      <w:tr>
        <w:trPr>
          <w:cantSplit/>
        </w:trPr>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shd w:fill="244A68"/>
          </w:tcPr>
          <w:p>
            <w:pPr>
              <w:spacing w:after="20" w:line="240" w:lineRule="auto"/>
            </w:pPr>
            <w:r/>
            <w:r>
              <w:rPr>
                <w:rFonts w:ascii="Aptos" w:hAnsi="Aptos"/>
                <w:b/>
                <w:color w:val="FFFFFF"/>
                <w:sz w:val="14"/>
              </w:rPr>
              <w:t>ID</w:t>
            </w:r>
          </w:p>
        </w:tc>
        <w:tc>
          <w:tcPr>
            <w:tcW w:type="dxa" w:w="7344"/>
            <w:vAlign w:val="center"/>
            <w:tcBorders>
              <w:top w:val="single" w:sz="4" w:color="D9D9D9"/>
              <w:left w:val="single" w:sz="4" w:color="D9D9D9"/>
              <w:bottom w:val="single" w:sz="4" w:color="D9D9D9"/>
              <w:right w:val="single" w:sz="4" w:color="D9D9D9"/>
              <w:insideH w:val="single" w:sz="4" w:color="D9D9D9"/>
              <w:insideV w:val="single" w:sz="4" w:color="D9D9D9"/>
            </w:tcBorders>
            <w:shd w:fill="244A68"/>
          </w:tcPr>
          <w:p>
            <w:pPr>
              <w:spacing w:after="20" w:line="240" w:lineRule="auto"/>
            </w:pPr>
            <w:r/>
            <w:r>
              <w:rPr>
                <w:rFonts w:ascii="Aptos" w:hAnsi="Aptos"/>
                <w:b/>
                <w:color w:val="FFFFFF"/>
                <w:sz w:val="14"/>
              </w:rPr>
              <w:t>Requisito verificable</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shd w:fill="244A68"/>
          </w:tcPr>
          <w:p>
            <w:pPr>
              <w:spacing w:after="20" w:line="240" w:lineRule="auto"/>
            </w:pPr>
            <w:r/>
            <w:r>
              <w:rPr>
                <w:rFonts w:ascii="Aptos" w:hAnsi="Aptos"/>
                <w:b/>
                <w:color w:val="FFFFFF"/>
                <w:sz w:val="14"/>
              </w:rPr>
              <w:t>Prioridad</w:t>
            </w:r>
          </w:p>
        </w:tc>
      </w:tr>
      <w:tr>
        <w:trPr>
          <w:cantSplit/>
        </w:trPr>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RF-01</w:t>
            </w:r>
          </w:p>
        </w:tc>
        <w:tc>
          <w:tcPr>
            <w:tcW w:type="dxa" w:w="7344"/>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Crear y editar activos con código único, categoría, descripción, marca/modelo, serial cuando exista, estado y condición.</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Alta</w:t>
            </w:r>
          </w:p>
        </w:tc>
      </w:tr>
      <w:tr>
        <w:trPr>
          <w:cantSplit/>
        </w:trPr>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RF-02</w:t>
            </w:r>
          </w:p>
        </w:tc>
        <w:tc>
          <w:tcPr>
            <w:tcW w:type="dxa" w:w="73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Asignar sede, ubicación, custodio, fecha/costo de adquisición y garantía cuando se cuente con esos datos.</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Alta</w:t>
            </w:r>
          </w:p>
        </w:tc>
      </w:tr>
      <w:tr>
        <w:trPr>
          <w:cantSplit/>
        </w:trPr>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RF-03</w:t>
            </w:r>
          </w:p>
        </w:tc>
        <w:tc>
          <w:tcPr>
            <w:tcW w:type="dxa" w:w="7344"/>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Generar QR asociado al código persistente y permitir su lectura desde navegador móvil.</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Alta</w:t>
            </w:r>
          </w:p>
        </w:tc>
      </w:tr>
      <w:tr>
        <w:trPr>
          <w:cantSplit/>
        </w:trPr>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RF-04</w:t>
            </w:r>
          </w:p>
        </w:tc>
        <w:tc>
          <w:tcPr>
            <w:tcW w:type="dxa" w:w="73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Buscar y filtrar activos por código, serial, nombre, categoría, sede, ubicación y estado.</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Alta</w:t>
            </w:r>
          </w:p>
        </w:tc>
      </w:tr>
      <w:tr>
        <w:trPr>
          <w:cantSplit/>
        </w:trPr>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RF-05</w:t>
            </w:r>
          </w:p>
        </w:tc>
        <w:tc>
          <w:tcPr>
            <w:tcW w:type="dxa" w:w="7344"/>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Registrar reportes de daño, prioridad, evidencia, diagnóstico, proveedor/técnico, reparación, costo, resultado y fechas.</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Alta</w:t>
            </w:r>
          </w:p>
        </w:tc>
      </w:tr>
      <w:tr>
        <w:trPr>
          <w:cantSplit/>
        </w:trPr>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RF-06</w:t>
            </w:r>
          </w:p>
        </w:tc>
        <w:tc>
          <w:tcPr>
            <w:tcW w:type="dxa" w:w="73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Registrar traslados y bajas con motivo, aprobador, fecha y evidencia.</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Alta</w:t>
            </w:r>
          </w:p>
        </w:tc>
      </w:tr>
      <w:tr>
        <w:trPr>
          <w:cantSplit/>
        </w:trPr>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RF-07</w:t>
            </w:r>
          </w:p>
        </w:tc>
        <w:tc>
          <w:tcPr>
            <w:tcW w:type="dxa" w:w="7344"/>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Conservar auditoría de altas y cambios con usuario y marca temporal; impedir modificaciones por rol no autorizado.</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Alta</w:t>
            </w:r>
          </w:p>
        </w:tc>
      </w:tr>
      <w:tr>
        <w:trPr>
          <w:cantSplit/>
        </w:trPr>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RF-08</w:t>
            </w:r>
          </w:p>
        </w:tc>
        <w:tc>
          <w:tcPr>
            <w:tcW w:type="dxa" w:w="73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Administrar usuarios, roles, sedes y catálogos mediante perfil administrador.</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Alta</w:t>
            </w:r>
          </w:p>
        </w:tc>
      </w:tr>
      <w:tr>
        <w:trPr>
          <w:cantSplit/>
        </w:trPr>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RF-09</w:t>
            </w:r>
          </w:p>
        </w:tc>
        <w:tc>
          <w:tcPr>
            <w:tcW w:type="dxa" w:w="7344"/>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Exportar reportes de inventario y pendientes en formatos aprobados por la institución.</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Media</w:t>
            </w:r>
          </w:p>
        </w:tc>
      </w:tr>
      <w:tr>
        <w:trPr>
          <w:cantSplit/>
        </w:trPr>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RF-10</w:t>
            </w:r>
          </w:p>
        </w:tc>
        <w:tc>
          <w:tcPr>
            <w:tcW w:type="dxa" w:w="73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Publicar procedimientos, glosario y guías en la Wiki institucional.</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Media</w:t>
            </w:r>
          </w:p>
        </w:tc>
      </w:tr>
      <w:tr>
        <w:trPr>
          <w:cantSplit/>
        </w:trPr>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RNF-01</w:t>
            </w:r>
          </w:p>
        </w:tc>
        <w:tc>
          <w:tcPr>
            <w:tcW w:type="dxa" w:w="7344"/>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Servir mediante HTTPS; no incluir credenciales en el código fuente.</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Alta</w:t>
            </w:r>
          </w:p>
        </w:tc>
      </w:tr>
      <w:tr>
        <w:trPr>
          <w:cantSplit/>
        </w:trPr>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RNF-02</w:t>
            </w:r>
          </w:p>
        </w:tc>
        <w:tc>
          <w:tcPr>
            <w:tcW w:type="dxa" w:w="73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Tener políticas de respaldo, retención y restauración documentadas y probadas.</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Alta</w:t>
            </w:r>
          </w:p>
        </w:tc>
      </w:tr>
      <w:tr>
        <w:trPr>
          <w:cantSplit/>
        </w:trPr>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RNF-03</w:t>
            </w:r>
          </w:p>
        </w:tc>
        <w:tc>
          <w:tcPr>
            <w:tcW w:type="dxa" w:w="7344"/>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Adaptar interfaces a computador y navegador móvil; validar legibilidad y operación con usuarios.</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Media</w:t>
            </w:r>
          </w:p>
        </w:tc>
      </w:tr>
      <w:tr>
        <w:trPr>
          <w:cantSplit/>
        </w:trPr>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RNF-04</w:t>
            </w:r>
          </w:p>
        </w:tc>
        <w:tc>
          <w:tcPr>
            <w:tcW w:type="dxa" w:w="73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Mantener información institucional exportable y cuentas bajo titularidad de la entidad.</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Alta</w:t>
            </w:r>
          </w:p>
        </w:tc>
      </w:tr>
    </w:tbl>
    <w:p>
      <w:pPr>
        <w:spacing w:after="40"/>
      </w:pPr>
    </w:p>
    <w:p>
      <w:pPr>
        <w:pStyle w:val="Heading2"/>
      </w:pPr>
      <w:r>
        <w:t>8.1 Perfiles de acceso propuestos</w:t>
      </w:r>
    </w:p>
    <w:tbl>
      <w:tblPr>
        <w:tblW w:type="auto" w:w="0"/>
        <w:jc w:val="center"/>
        <w:tblLayout w:type="fixed"/>
        <w:tblLook w:firstColumn="1" w:firstRow="1" w:lastColumn="0" w:lastRow="0" w:noHBand="0" w:noVBand="1" w:val="04A0"/>
      </w:tblPr>
      <w:tblGrid>
        <w:gridCol w:w="4824"/>
        <w:gridCol w:w="4824"/>
      </w:tblGrid>
      <w:tr>
        <w:trPr>
          <w:cantSplit/>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shd w:fill="244A68"/>
          </w:tcPr>
          <w:p>
            <w:pPr>
              <w:spacing w:after="20" w:line="240" w:lineRule="auto"/>
            </w:pPr>
            <w:r/>
            <w:r>
              <w:rPr>
                <w:rFonts w:ascii="Aptos" w:hAnsi="Aptos"/>
                <w:b/>
                <w:color w:val="FFFFFF"/>
                <w:sz w:val="16"/>
              </w:rPr>
              <w:t>Perfil</w:t>
            </w:r>
          </w:p>
        </w:tc>
        <w:tc>
          <w:tcPr>
            <w:tcW w:type="dxa" w:w="7128"/>
            <w:vAlign w:val="center"/>
            <w:tcBorders>
              <w:top w:val="single" w:sz="4" w:color="D9D9D9"/>
              <w:left w:val="single" w:sz="4" w:color="D9D9D9"/>
              <w:bottom w:val="single" w:sz="4" w:color="D9D9D9"/>
              <w:right w:val="single" w:sz="4" w:color="D9D9D9"/>
              <w:insideH w:val="single" w:sz="4" w:color="D9D9D9"/>
              <w:insideV w:val="single" w:sz="4" w:color="D9D9D9"/>
            </w:tcBorders>
            <w:shd w:fill="244A68"/>
          </w:tcPr>
          <w:p>
            <w:pPr>
              <w:spacing w:after="20" w:line="240" w:lineRule="auto"/>
            </w:pPr>
            <w:r/>
            <w:r>
              <w:rPr>
                <w:rFonts w:ascii="Aptos" w:hAnsi="Aptos"/>
                <w:b/>
                <w:color w:val="FFFFFF"/>
                <w:sz w:val="16"/>
              </w:rPr>
              <w:t>Permisos principales</w:t>
            </w:r>
          </w:p>
        </w:tc>
      </w:tr>
      <w:tr>
        <w:trPr>
          <w:cantSplit/>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6"/>
              </w:rPr>
              <w:t>Administrador institucional</w:t>
            </w:r>
          </w:p>
        </w:tc>
        <w:tc>
          <w:tcPr>
            <w:tcW w:type="dxa" w:w="7128"/>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6"/>
              </w:rPr>
              <w:t>Crear usuarios/roles, sedes y catálogos; aprobar parámetros; consultar auditoría y reportes.</w:t>
            </w:r>
          </w:p>
        </w:tc>
      </w:tr>
      <w:tr>
        <w:trPr>
          <w:cantSplit/>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6"/>
              </w:rPr>
              <w:t>Administrador de inventario</w:t>
            </w:r>
          </w:p>
        </w:tc>
        <w:tc>
          <w:tcPr>
            <w:tcW w:type="dxa" w:w="71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6"/>
              </w:rPr>
              <w:t>Registrar activos, custodios, movimientos, mantenimientos y bajas según autorización.</w:t>
            </w:r>
          </w:p>
        </w:tc>
      </w:tr>
      <w:tr>
        <w:trPr>
          <w:cantSplit/>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6"/>
              </w:rPr>
              <w:t>Técnico de soporte</w:t>
            </w:r>
          </w:p>
        </w:tc>
        <w:tc>
          <w:tcPr>
            <w:tcW w:type="dxa" w:w="7128"/>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6"/>
              </w:rPr>
              <w:t>Consultar activos asignados a su ámbito, registrar diagnóstico y reparación; sin administrar usuarios.</w:t>
            </w:r>
          </w:p>
        </w:tc>
      </w:tr>
      <w:tr>
        <w:trPr>
          <w:cantSplit/>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6"/>
              </w:rPr>
              <w:t>Docente/usuario</w:t>
            </w:r>
          </w:p>
        </w:tc>
        <w:tc>
          <w:tcPr>
            <w:tcW w:type="dxa" w:w="71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6"/>
              </w:rPr>
              <w:t>Consultar activos autorizados y reportar fallas; no modifica inventario ni elimina registros.</w:t>
            </w:r>
          </w:p>
        </w:tc>
      </w:tr>
      <w:tr>
        <w:trPr>
          <w:cantSplit/>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6"/>
              </w:rPr>
              <w:t>Consulta ejecutiva</w:t>
            </w:r>
          </w:p>
        </w:tc>
        <w:tc>
          <w:tcPr>
            <w:tcW w:type="dxa" w:w="7128"/>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6"/>
              </w:rPr>
              <w:t>Leer reportes agregados aprobados; no accede a información personal innecesaria.</w:t>
            </w:r>
          </w:p>
        </w:tc>
      </w:tr>
      <w:tr>
        <w:trPr>
          <w:cantSplit/>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6"/>
              </w:rPr>
              <w:t>Público</w:t>
            </w:r>
          </w:p>
        </w:tc>
        <w:tc>
          <w:tcPr>
            <w:tcW w:type="dxa" w:w="71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6"/>
              </w:rPr>
              <w:t>Deshabilitado por defecto. Cualquier publicación requiere aprobación institucional y revisión de datos.</w:t>
            </w:r>
          </w:p>
        </w:tc>
      </w:tr>
    </w:tbl>
    <w:p>
      <w:pPr>
        <w:spacing w:after="40"/>
      </w:pPr>
    </w:p>
    <w:p>
      <w:pPr>
        <w:pStyle w:val="Heading1"/>
      </w:pPr>
      <w:r>
        <w:t>9. Interesados y gobernanza</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244A68"/>
          </w:tcPr>
          <w:p>
            <w:pPr>
              <w:spacing w:after="20" w:line="240" w:lineRule="auto"/>
            </w:pPr>
            <w:r/>
            <w:r>
              <w:rPr>
                <w:rFonts w:ascii="Aptos" w:hAnsi="Aptos"/>
                <w:b/>
                <w:color w:val="FFFFFF"/>
                <w:sz w:val="14"/>
              </w:rPr>
              <w:t>Interesado</w:t>
            </w:r>
          </w:p>
        </w:tc>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shd w:fill="244A68"/>
          </w:tcPr>
          <w:p>
            <w:pPr>
              <w:spacing w:after="20" w:line="240" w:lineRule="auto"/>
            </w:pPr>
            <w:r/>
            <w:r>
              <w:rPr>
                <w:rFonts w:ascii="Aptos" w:hAnsi="Aptos"/>
                <w:b/>
                <w:color w:val="FFFFFF"/>
                <w:sz w:val="14"/>
              </w:rPr>
              <w:t>Poder</w:t>
            </w:r>
          </w:p>
        </w:tc>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shd w:fill="244A68"/>
          </w:tcPr>
          <w:p>
            <w:pPr>
              <w:spacing w:after="20" w:line="240" w:lineRule="auto"/>
            </w:pPr>
            <w:r/>
            <w:r>
              <w:rPr>
                <w:rFonts w:ascii="Aptos" w:hAnsi="Aptos"/>
                <w:b/>
                <w:color w:val="FFFFFF"/>
                <w:sz w:val="14"/>
              </w:rPr>
              <w:t>Interés</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shd w:fill="244A68"/>
          </w:tcPr>
          <w:p>
            <w:pPr>
              <w:spacing w:after="20" w:line="240" w:lineRule="auto"/>
            </w:pPr>
            <w:r/>
            <w:r>
              <w:rPr>
                <w:rFonts w:ascii="Aptos" w:hAnsi="Aptos"/>
                <w:b/>
                <w:color w:val="FFFFFF"/>
                <w:sz w:val="14"/>
              </w:rPr>
              <w:t>Necesidad / aporte</w:t>
            </w:r>
          </w:p>
        </w:tc>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shd w:fill="244A68"/>
          </w:tcPr>
          <w:p>
            <w:pPr>
              <w:spacing w:after="20" w:line="240" w:lineRule="auto"/>
            </w:pPr>
            <w:r/>
            <w:r>
              <w:rPr>
                <w:rFonts w:ascii="Aptos" w:hAnsi="Aptos"/>
                <w:b/>
                <w:color w:val="FFFFFF"/>
                <w:sz w:val="14"/>
              </w:rPr>
              <w:t>Estrategia</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Patrocinador municipal o educativo</w:t>
            </w:r>
          </w:p>
        </w:tc>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Alto</w:t>
            </w:r>
          </w:p>
        </w:tc>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Alto</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Autoriza alcance, recursos, datos y continuidad.</w:t>
            </w:r>
          </w:p>
        </w:tc>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Gestionar de cerca; aprobar hitos y cambios.</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Dirección de institución piloto</w:t>
            </w:r>
          </w:p>
        </w:tc>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Alto</w:t>
            </w:r>
          </w:p>
        </w:tc>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Alto</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Dueño del proceso y aceptación del inventario.</w:t>
            </w:r>
          </w:p>
        </w:tc>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Reunión semanal en levantamiento y cierre.</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Responsable de sistemas</w:t>
            </w:r>
          </w:p>
        </w:tc>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Medio-alto</w:t>
            </w:r>
          </w:p>
        </w:tc>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Alto</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Operación, cuentas, soporte y control técnico.</w:t>
            </w:r>
          </w:p>
        </w:tc>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Incluir desde diseño; transferencia y capacitación.</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Encargado administrativo/almacenista</w:t>
            </w:r>
          </w:p>
        </w:tc>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Medio</w:t>
            </w:r>
          </w:p>
        </w:tc>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Alto</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Custodia de bienes y documentos de movimiento.</w:t>
            </w:r>
          </w:p>
        </w:tc>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Validar campos, etiquetas y conciliación.</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Docentes usuarios</w:t>
            </w:r>
          </w:p>
        </w:tc>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Bajo-medio</w:t>
            </w:r>
          </w:p>
        </w:tc>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Medio-alto</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Consulta y notificación de daños.</w:t>
            </w:r>
          </w:p>
        </w:tc>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Pruebas de usabilidad y guías simples.</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Equipo de estudiantes</w:t>
            </w:r>
          </w:p>
        </w:tc>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Alto</w:t>
            </w:r>
          </w:p>
        </w:tc>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Alto</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Análisis, desarrollo, documentación y despliegue.</w:t>
            </w:r>
          </w:p>
        </w:tc>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Seguimiento semanal y control de versiones.</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Proveedor de nube/dominio</w:t>
            </w:r>
          </w:p>
        </w:tc>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Medio</w:t>
            </w:r>
          </w:p>
        </w:tc>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Medio</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Servicio, soporte y continuidad contractual.</w:t>
            </w:r>
          </w:p>
        </w:tc>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Revisar límites, región, costos y condiciones.</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Estudiantes y comunidad</w:t>
            </w:r>
          </w:p>
        </w:tc>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Bajo</w:t>
            </w:r>
          </w:p>
        </w:tc>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Medio</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Beneficiarios indirectos de mayor disponibilidad.</w:t>
            </w:r>
          </w:p>
        </w:tc>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Comunicar resultados agregados autorizados.</w:t>
            </w:r>
          </w:p>
        </w:tc>
      </w:tr>
    </w:tbl>
    <w:p>
      <w:pPr>
        <w:spacing w:after="40"/>
      </w:pPr>
    </w:p>
    <w:p>
      <w:pPr>
        <w:pStyle w:val="Heading2"/>
      </w:pPr>
      <w:r>
        <w:t>9.1 Gobernanza y RACI</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rPr>
          <w:cantSplit/>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shd w:fill="244A68"/>
          </w:tcPr>
          <w:p>
            <w:pPr>
              <w:spacing w:after="20" w:line="240" w:lineRule="auto"/>
            </w:pPr>
            <w:r/>
            <w:r>
              <w:rPr>
                <w:rFonts w:ascii="Aptos" w:hAnsi="Aptos"/>
                <w:b/>
                <w:color w:val="FFFFFF"/>
                <w:sz w:val="14"/>
              </w:rPr>
              <w:t>Actividad</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shd w:fill="244A68"/>
          </w:tcPr>
          <w:p>
            <w:pPr>
              <w:spacing w:after="20" w:line="240" w:lineRule="auto"/>
            </w:pPr>
            <w:r/>
            <w:r>
              <w:rPr>
                <w:rFonts w:ascii="Aptos" w:hAnsi="Aptos"/>
                <w:b/>
                <w:color w:val="FFFFFF"/>
                <w:sz w:val="14"/>
              </w:rPr>
              <w:t>Patrocinador</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shd w:fill="244A68"/>
          </w:tcPr>
          <w:p>
            <w:pPr>
              <w:spacing w:after="20" w:line="240" w:lineRule="auto"/>
            </w:pPr>
            <w:r/>
            <w:r>
              <w:rPr>
                <w:rFonts w:ascii="Aptos" w:hAnsi="Aptos"/>
                <w:b/>
                <w:color w:val="FFFFFF"/>
                <w:sz w:val="14"/>
              </w:rPr>
              <w:t>Dirección</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244A68"/>
          </w:tcPr>
          <w:p>
            <w:pPr>
              <w:spacing w:after="20" w:line="240" w:lineRule="auto"/>
            </w:pPr>
            <w:r/>
            <w:r>
              <w:rPr>
                <w:rFonts w:ascii="Aptos" w:hAnsi="Aptos"/>
                <w:b/>
                <w:color w:val="FFFFFF"/>
                <w:sz w:val="14"/>
              </w:rPr>
              <w:t>Admin. inventario</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244A68"/>
          </w:tcPr>
          <w:p>
            <w:pPr>
              <w:spacing w:after="20" w:line="240" w:lineRule="auto"/>
            </w:pPr>
            <w:r/>
            <w:r>
              <w:rPr>
                <w:rFonts w:ascii="Aptos" w:hAnsi="Aptos"/>
                <w:b/>
                <w:color w:val="FFFFFF"/>
                <w:sz w:val="14"/>
              </w:rPr>
              <w:t>Equipo técnico</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shd w:fill="244A68"/>
          </w:tcPr>
          <w:p>
            <w:pPr>
              <w:spacing w:after="20" w:line="240" w:lineRule="auto"/>
            </w:pPr>
            <w:r/>
            <w:r>
              <w:rPr>
                <w:rFonts w:ascii="Aptos" w:hAnsi="Aptos"/>
                <w:b/>
                <w:color w:val="FFFFFF"/>
                <w:sz w:val="14"/>
              </w:rPr>
              <w:t>Usuarios</w:t>
            </w:r>
          </w:p>
        </w:tc>
      </w:tr>
      <w:tr>
        <w:trPr>
          <w:cantSplit/>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Aprobar alcance y presupuesto</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A</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C</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I</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R</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I</w:t>
            </w:r>
          </w:p>
        </w:tc>
      </w:tr>
      <w:tr>
        <w:trPr>
          <w:cantSplit/>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Validar procesos y catálogo</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I</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A</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R</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C</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C</w:t>
            </w:r>
          </w:p>
        </w:tc>
      </w:tr>
      <w:tr>
        <w:trPr>
          <w:cantSplit/>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Construir y desplegar</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I</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C</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C</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A/R</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I</w:t>
            </w:r>
          </w:p>
        </w:tc>
      </w:tr>
      <w:tr>
        <w:trPr>
          <w:cantSplit/>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Conciliar datos migrados</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I</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A</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R</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C</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I</w:t>
            </w:r>
          </w:p>
        </w:tc>
      </w:tr>
      <w:tr>
        <w:trPr>
          <w:cantSplit/>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Administrar usuarios y permisos</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I</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A</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R</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C</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I</w:t>
            </w:r>
          </w:p>
        </w:tc>
      </w:tr>
      <w:tr>
        <w:trPr>
          <w:cantSplit/>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Aceptar puesta en producción</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A</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R</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C</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C</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I</w:t>
            </w:r>
          </w:p>
        </w:tc>
      </w:tr>
      <w:tr>
        <w:trPr>
          <w:cantSplit/>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Reportar fallas y movimientos</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I</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A</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R</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C</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R</w:t>
            </w:r>
          </w:p>
        </w:tc>
      </w:tr>
      <w:tr>
        <w:trPr>
          <w:cantSplit/>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Respaldar y restaurar</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I</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C</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C</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A/R</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I</w:t>
            </w:r>
          </w:p>
        </w:tc>
      </w:tr>
    </w:tbl>
    <w:p>
      <w:pPr>
        <w:spacing w:after="40"/>
      </w:pPr>
    </w:p>
    <w:p>
      <w:r>
        <w:t>R = responsable de ejecutar; A = responsable final/aprobador; C = consultado; I = informado. Los cargos son propuestos y deben reemplazarse por nombres y autorizaciones reales antes de iniciar.</w:t>
      </w:r>
    </w:p>
    <w:p>
      <w:pPr>
        <w:pStyle w:val="Heading1"/>
      </w:pPr>
      <w:r>
        <w:t>10. Metodología y estructura de trabajo</w:t>
      </w:r>
    </w:p>
    <w:p>
      <w:pPr>
        <w:pStyle w:val="Heading2"/>
      </w:pPr>
      <w:r>
        <w:t>10.1 Método de desarrollo</w:t>
      </w:r>
    </w:p>
    <w:p>
      <w:r>
        <w:t>Se propone un método iterativo con hitos de control. Primero se valida la necesidad y el alcance. Después se aprueban el modelo de datos y prototipo. La construcción se organiza en incrementos de funciones para que la institución revise resultados tempranos. Finalmente se estabiliza, se prueba la recuperación, se migra el inventario y se libera solo con aceptación formal. Este enfoque combina adaptación con puntos de decisión documentados y facilita ajustar el trabajo a la participación de los interesados (PMI, 2025).</w:t>
      </w:r>
    </w:p>
    <w:p>
      <w:pPr>
        <w:pStyle w:val="Heading2"/>
      </w:pPr>
      <w:r>
        <w:t>10.2 Técnicas de levantamiento y validación</w:t>
      </w:r>
    </w:p>
    <w:p>
      <w:pPr>
        <w:pStyle w:val="ListBullet"/>
      </w:pPr>
      <w:r>
        <w:t>Entrevistas semiestructuradas con dirección, responsable de sistemas y encargado administrativo.</w:t>
      </w:r>
    </w:p>
    <w:p>
      <w:pPr>
        <w:pStyle w:val="ListBullet"/>
      </w:pPr>
      <w:r>
        <w:t>Observación del proceso de registro, asignación, reparación y baja.</w:t>
      </w:r>
    </w:p>
    <w:p>
      <w:pPr>
        <w:pStyle w:val="ListBullet"/>
      </w:pPr>
      <w:r>
        <w:t>Matriz de datos por categoría y campos obligatorios.</w:t>
      </w:r>
    </w:p>
    <w:p>
      <w:pPr>
        <w:pStyle w:val="ListBullet"/>
      </w:pPr>
      <w:r>
        <w:t>Revisión de inventario existente, actas, órdenes de reparación y listados disponibles.</w:t>
      </w:r>
    </w:p>
    <w:p>
      <w:pPr>
        <w:pStyle w:val="ListBullet"/>
      </w:pPr>
      <w:r>
        <w:t>Prototipo de pantallas y prueba de tareas con docentes y administradores.</w:t>
      </w:r>
    </w:p>
    <w:p>
      <w:pPr>
        <w:pStyle w:val="ListBullet"/>
      </w:pPr>
      <w:r>
        <w:t>Actas de decisión y control de cambios para mantener trazabilidad entre necesidad, requisito y prueba.</w:t>
      </w:r>
    </w:p>
    <w:p>
      <w:pPr>
        <w:pStyle w:val="Heading2"/>
      </w:pPr>
      <w:r>
        <w:t>10.3 Estructura de desglose del trabajo</w:t>
      </w:r>
    </w:p>
    <w:tbl>
      <w:tblPr>
        <w:tblW w:type="auto" w:w="0"/>
        <w:jc w:val="center"/>
        <w:tblLayout w:type="fixed"/>
        <w:tblLook w:firstColumn="1" w:firstRow="1" w:lastColumn="0" w:lastRow="0" w:noHBand="0" w:noVBand="1" w:val="04A0"/>
      </w:tblPr>
      <w:tblGrid>
        <w:gridCol w:w="3216"/>
        <w:gridCol w:w="3216"/>
        <w:gridCol w:w="3216"/>
      </w:tblGrid>
      <w:tr>
        <w:trPr>
          <w:cantSplit/>
        </w:trPr>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shd w:fill="244A68"/>
          </w:tcPr>
          <w:p>
            <w:pPr>
              <w:spacing w:after="20" w:line="240" w:lineRule="auto"/>
            </w:pPr>
            <w:r/>
            <w:r>
              <w:rPr>
                <w:rFonts w:ascii="Aptos" w:hAnsi="Aptos"/>
                <w:b/>
                <w:color w:val="FFFFFF"/>
                <w:sz w:val="15"/>
              </w:rPr>
              <w:t>EDT</w:t>
            </w:r>
          </w:p>
        </w:tc>
        <w:tc>
          <w:tcPr>
            <w:tcW w:type="dxa" w:w="2952"/>
            <w:vAlign w:val="center"/>
            <w:tcBorders>
              <w:top w:val="single" w:sz="4" w:color="D9D9D9"/>
              <w:left w:val="single" w:sz="4" w:color="D9D9D9"/>
              <w:bottom w:val="single" w:sz="4" w:color="D9D9D9"/>
              <w:right w:val="single" w:sz="4" w:color="D9D9D9"/>
              <w:insideH w:val="single" w:sz="4" w:color="D9D9D9"/>
              <w:insideV w:val="single" w:sz="4" w:color="D9D9D9"/>
            </w:tcBorders>
            <w:shd w:fill="244A68"/>
          </w:tcPr>
          <w:p>
            <w:pPr>
              <w:spacing w:after="20" w:line="240" w:lineRule="auto"/>
            </w:pPr>
            <w:r/>
            <w:r>
              <w:rPr>
                <w:rFonts w:ascii="Aptos" w:hAnsi="Aptos"/>
                <w:b/>
                <w:color w:val="FFFFFF"/>
                <w:sz w:val="15"/>
              </w:rPr>
              <w:t>Paquete de trabajo</w:t>
            </w:r>
          </w:p>
        </w:tc>
        <w:tc>
          <w:tcPr>
            <w:tcW w:type="dxa" w:w="5760"/>
            <w:vAlign w:val="center"/>
            <w:tcBorders>
              <w:top w:val="single" w:sz="4" w:color="D9D9D9"/>
              <w:left w:val="single" w:sz="4" w:color="D9D9D9"/>
              <w:bottom w:val="single" w:sz="4" w:color="D9D9D9"/>
              <w:right w:val="single" w:sz="4" w:color="D9D9D9"/>
              <w:insideH w:val="single" w:sz="4" w:color="D9D9D9"/>
              <w:insideV w:val="single" w:sz="4" w:color="D9D9D9"/>
            </w:tcBorders>
            <w:shd w:fill="244A68"/>
          </w:tcPr>
          <w:p>
            <w:pPr>
              <w:spacing w:after="20" w:line="240" w:lineRule="auto"/>
            </w:pPr>
            <w:r/>
            <w:r>
              <w:rPr>
                <w:rFonts w:ascii="Aptos" w:hAnsi="Aptos"/>
                <w:b/>
                <w:color w:val="FFFFFF"/>
                <w:sz w:val="15"/>
              </w:rPr>
              <w:t>Salida</w:t>
            </w:r>
          </w:p>
        </w:tc>
      </w:tr>
      <w:tr>
        <w:trPr>
          <w:cantSplit/>
        </w:trPr>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5"/>
              </w:rPr>
              <w:t>1.0</w:t>
            </w:r>
          </w:p>
        </w:tc>
        <w:tc>
          <w:tcPr>
            <w:tcW w:type="dxa" w:w="2952"/>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5"/>
              </w:rPr>
              <w:t>Dirección del proyecto</w:t>
            </w:r>
          </w:p>
        </w:tc>
        <w:tc>
          <w:tcPr>
            <w:tcW w:type="dxa" w:w="5760"/>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5"/>
              </w:rPr>
              <w:t>Acta, seguimiento, decisiones, control de cambios y cierre.</w:t>
            </w:r>
          </w:p>
        </w:tc>
      </w:tr>
      <w:tr>
        <w:trPr>
          <w:cantSplit/>
        </w:trPr>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5"/>
              </w:rPr>
              <w:t>2.0</w:t>
            </w:r>
          </w:p>
        </w:tc>
        <w:tc>
          <w:tcPr>
            <w:tcW w:type="dxa" w:w="29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5"/>
              </w:rPr>
              <w:t>Descubrimiento</w:t>
            </w:r>
          </w:p>
        </w:tc>
        <w:tc>
          <w:tcPr>
            <w:tcW w:type="dxa" w:w="57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5"/>
              </w:rPr>
              <w:t>Procesos, interesados, requisitos y catálogo de datos.</w:t>
            </w:r>
          </w:p>
        </w:tc>
      </w:tr>
      <w:tr>
        <w:trPr>
          <w:cantSplit/>
        </w:trPr>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5"/>
              </w:rPr>
              <w:t>3.0</w:t>
            </w:r>
          </w:p>
        </w:tc>
        <w:tc>
          <w:tcPr>
            <w:tcW w:type="dxa" w:w="2952"/>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5"/>
              </w:rPr>
              <w:t>Arquitectura y diseño</w:t>
            </w:r>
          </w:p>
        </w:tc>
        <w:tc>
          <w:tcPr>
            <w:tcW w:type="dxa" w:w="5760"/>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5"/>
              </w:rPr>
              <w:t>Modelo de datos, prototipo, arquitectura y plan de seguridad.</w:t>
            </w:r>
          </w:p>
        </w:tc>
      </w:tr>
      <w:tr>
        <w:trPr>
          <w:cantSplit/>
        </w:trPr>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5"/>
              </w:rPr>
              <w:t>4.0</w:t>
            </w:r>
          </w:p>
        </w:tc>
        <w:tc>
          <w:tcPr>
            <w:tcW w:type="dxa" w:w="29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5"/>
              </w:rPr>
              <w:t>Construcción</w:t>
            </w:r>
          </w:p>
        </w:tc>
        <w:tc>
          <w:tcPr>
            <w:tcW w:type="dxa" w:w="57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5"/>
              </w:rPr>
              <w:t>Aplicación, base de datos, roles, módulos, reportes y Wiki.</w:t>
            </w:r>
          </w:p>
        </w:tc>
      </w:tr>
      <w:tr>
        <w:trPr>
          <w:cantSplit/>
        </w:trPr>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5"/>
              </w:rPr>
              <w:t>5.0</w:t>
            </w:r>
          </w:p>
        </w:tc>
        <w:tc>
          <w:tcPr>
            <w:tcW w:type="dxa" w:w="2952"/>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5"/>
              </w:rPr>
              <w:t>Verificación</w:t>
            </w:r>
          </w:p>
        </w:tc>
        <w:tc>
          <w:tcPr>
            <w:tcW w:type="dxa" w:w="5760"/>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5"/>
              </w:rPr>
              <w:t>Pruebas funcionales y de permisos, correcciones y restauración.</w:t>
            </w:r>
          </w:p>
        </w:tc>
      </w:tr>
      <w:tr>
        <w:trPr>
          <w:cantSplit/>
        </w:trPr>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5"/>
              </w:rPr>
              <w:t>6.0</w:t>
            </w:r>
          </w:p>
        </w:tc>
        <w:tc>
          <w:tcPr>
            <w:tcW w:type="dxa" w:w="29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5"/>
              </w:rPr>
              <w:t>Migración y formación</w:t>
            </w:r>
          </w:p>
        </w:tc>
        <w:tc>
          <w:tcPr>
            <w:tcW w:type="dxa" w:w="57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5"/>
              </w:rPr>
              <w:t>Depuración, carga, conciliación, QR y capacitación.</w:t>
            </w:r>
          </w:p>
        </w:tc>
      </w:tr>
      <w:tr>
        <w:trPr>
          <w:cantSplit/>
        </w:trPr>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5"/>
              </w:rPr>
              <w:t>7.0</w:t>
            </w:r>
          </w:p>
        </w:tc>
        <w:tc>
          <w:tcPr>
            <w:tcW w:type="dxa" w:w="2952"/>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5"/>
              </w:rPr>
              <w:t>Despliegue y operación</w:t>
            </w:r>
          </w:p>
        </w:tc>
        <w:tc>
          <w:tcPr>
            <w:tcW w:type="dxa" w:w="5760"/>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5"/>
              </w:rPr>
              <w:t>Lanzamiento, monitoreo, soporte, transferencia y lecciones aprendidas.</w:t>
            </w:r>
          </w:p>
        </w:tc>
      </w:tr>
    </w:tbl>
    <w:p>
      <w:pPr>
        <w:spacing w:after="40"/>
      </w:pPr>
    </w:p>
    <w:p>
      <w:pPr>
        <w:pStyle w:val="Heading1"/>
      </w:pPr>
      <w:r>
        <w:t>11. Cronograma</w:t>
      </w:r>
    </w:p>
    <w:tbl>
      <w:tblPr>
        <w:tblW w:type="auto" w:w="0"/>
        <w:jc w:val="center"/>
        <w:tblLayout w:type="fixed"/>
        <w:tblLook w:firstColumn="1" w:firstRow="1" w:lastColumn="0" w:lastRow="0" w:noHBand="0" w:noVBand="1" w:val="04A0"/>
      </w:tblPr>
      <w:tblGrid>
        <w:gridCol w:w="3216"/>
        <w:gridCol w:w="3216"/>
        <w:gridCol w:w="3216"/>
      </w:tblGrid>
      <w:tr>
        <w:trPr>
          <w:cantSplit/>
        </w:trPr>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shd w:fill="244A68"/>
          </w:tcPr>
          <w:p>
            <w:pPr>
              <w:spacing w:after="20" w:line="240" w:lineRule="auto"/>
            </w:pPr>
            <w:r/>
            <w:r>
              <w:rPr>
                <w:rFonts w:ascii="Aptos" w:hAnsi="Aptos"/>
                <w:b/>
                <w:color w:val="FFFFFF"/>
                <w:sz w:val="15"/>
              </w:rPr>
              <w:t>Semana</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shd w:fill="244A68"/>
          </w:tcPr>
          <w:p>
            <w:pPr>
              <w:spacing w:after="20" w:line="240" w:lineRule="auto"/>
            </w:pPr>
            <w:r/>
            <w:r>
              <w:rPr>
                <w:rFonts w:ascii="Aptos" w:hAnsi="Aptos"/>
                <w:b/>
                <w:color w:val="FFFFFF"/>
                <w:sz w:val="15"/>
              </w:rPr>
              <w:t>Actividad</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shd w:fill="244A68"/>
          </w:tcPr>
          <w:p>
            <w:pPr>
              <w:spacing w:after="20" w:line="240" w:lineRule="auto"/>
            </w:pPr>
            <w:r/>
            <w:r>
              <w:rPr>
                <w:rFonts w:ascii="Aptos" w:hAnsi="Aptos"/>
                <w:b/>
                <w:color w:val="FFFFFF"/>
                <w:sz w:val="15"/>
              </w:rPr>
              <w:t>Dependencia / hito</w:t>
            </w:r>
          </w:p>
        </w:tc>
      </w:tr>
      <w:tr>
        <w:trPr>
          <w:cantSplit/>
        </w:trPr>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5"/>
              </w:rPr>
              <w:t>1–2</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5"/>
              </w:rPr>
              <w:t>Inicio, entrevistas, observación y levantamiento de datos.</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5"/>
              </w:rPr>
              <w:t>Patrocinador y usuarios asignados.</w:t>
            </w:r>
          </w:p>
        </w:tc>
      </w:tr>
      <w:tr>
        <w:trPr>
          <w:cantSplit/>
        </w:trPr>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5"/>
              </w:rPr>
              <w:t>3–4</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5"/>
              </w:rPr>
              <w:t>Requisitos, arquitectura, modelo, prototipo y seguridad.</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5"/>
              </w:rPr>
              <w:t>Aprobación de alcance y diseño.</w:t>
            </w:r>
          </w:p>
        </w:tc>
      </w:tr>
      <w:tr>
        <w:trPr>
          <w:cantSplit/>
        </w:trPr>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5"/>
              </w:rPr>
              <w:t>5–8</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5"/>
              </w:rPr>
              <w:t>Activos, búsqueda, roles, auditoría y registro QR.</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5"/>
              </w:rPr>
              <w:t>Diseño aprobado.</w:t>
            </w:r>
          </w:p>
        </w:tc>
      </w:tr>
      <w:tr>
        <w:trPr>
          <w:cantSplit/>
        </w:trPr>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5"/>
              </w:rPr>
              <w:t>9–11</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5"/>
              </w:rPr>
              <w:t>Mantenimiento, traslados, bajas, reportes y Wiki.</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5"/>
              </w:rPr>
              <w:t>Módulos base disponibles.</w:t>
            </w:r>
          </w:p>
        </w:tc>
      </w:tr>
      <w:tr>
        <w:trPr>
          <w:cantSplit/>
        </w:trPr>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5"/>
              </w:rPr>
              <w:t>12–13</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5"/>
              </w:rPr>
              <w:t>Pruebas, correcciones, revisión de permisos y recuperación.</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5"/>
              </w:rPr>
              <w:t>Versión candidata y datos de prueba.</w:t>
            </w:r>
          </w:p>
        </w:tc>
      </w:tr>
      <w:tr>
        <w:trPr>
          <w:cantSplit/>
        </w:trPr>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5"/>
              </w:rPr>
              <w:t>14</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5"/>
              </w:rPr>
              <w:t>Depuración, migración piloto y colocación de QR.</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5"/>
              </w:rPr>
              <w:t>Datos validados por institución.</w:t>
            </w:r>
          </w:p>
        </w:tc>
      </w:tr>
      <w:tr>
        <w:trPr>
          <w:cantSplit/>
        </w:trPr>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5"/>
              </w:rPr>
              <w:t>15</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5"/>
              </w:rPr>
              <w:t>Capacitación, aceptación y preparación operativa.</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5"/>
              </w:rPr>
              <w:t>Pruebas aprobadas.</w:t>
            </w:r>
          </w:p>
        </w:tc>
      </w:tr>
      <w:tr>
        <w:trPr>
          <w:cantSplit/>
        </w:trPr>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5"/>
              </w:rPr>
              <w:t>16</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5"/>
              </w:rPr>
              <w:t>Despliegue controlado, seguimiento y cierre de implementación.</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5"/>
              </w:rPr>
              <w:t>Aprobación formal de salida.</w:t>
            </w:r>
          </w:p>
        </w:tc>
      </w:tr>
    </w:tbl>
    <w:p>
      <w:pPr>
        <w:spacing w:after="40"/>
      </w:pPr>
    </w:p>
    <w:p>
      <w:r>
        <w:t>La guía del módulo indica una duración de cinco semanas, pero distribuye las entregas entre las semanas 5, 6, 7 y 8. Esta diferencia debe aclararse con el docente. El calendario anterior estima la implementación técnica real y no sustituye el calendario académico de presentación de la Wiki (Trabajo módulo, s. f.). El libro Excel adjunto contiene el diagrama de semanas y puede convertirse a fechas calendario una vez aprobada la fecha de inicio.</w:t>
      </w:r>
    </w:p>
    <w:p>
      <w:pPr>
        <w:pStyle w:val="Heading1"/>
      </w:pPr>
      <w:r>
        <w:t>12. Presupuesto y análisis de costos</w:t>
      </w:r>
    </w:p>
    <w:p>
      <w:pPr>
        <w:pStyle w:val="Heading2"/>
      </w:pPr>
      <w:r>
        <w:t>12.1 Base de estimación</w:t>
      </w:r>
    </w:p>
    <w:p>
      <w:r>
        <w:t>El presupuesto es una estimación de clase IV para decidir y planear, con alcance, cantidades y tarifas aún sujetos a verificación. El escenario cubre una institución, una sede, 300 activos, 50 cuentas, 16 semanas de implementación y 12 meses de soporte posterior al lanzamiento. No es una propuesta contractual. Las tarifas de trabajo son hipótesis de planeación que deben reemplazarse por ofertas; el informe sectorial de CENISOFT/Fedesoft sirve como referencia del mercado laboral digital y no como cotización de servicios (CENISOFT &amp; Fedesoft, 2025).</w:t>
      </w:r>
    </w:p>
    <w:p>
      <w:r>
        <w:t>Los cargos en dólares se convierten con la TRM publicada por el Banco de la República para el 28 de octubre de 2026: COP 3.148,02 por USD (Banco de la República, 2026). Se agrega reserva cambiaria del 10 % sobre cargos cloud/domino facturados en USD. La contingencia del 15 % se calcula sobre construcción. La provisión tributaria del 19 % se aplica solo a servicios profesionales como sensibilidad presupuestal y debe revisarse con el proveedor y el contador antes de contratar; no se afirma que toda partida cause IVA.</w:t>
      </w:r>
    </w:p>
    <w:p>
      <w:pPr>
        <w:pStyle w:val="Heading2"/>
      </w:pPr>
      <w:r>
        <w:t>12.2 Presupuesto detallado</w:t>
      </w:r>
    </w:p>
    <w:tbl>
      <w:tblPr>
        <w:tblW w:type="auto" w:w="0"/>
        <w:jc w:val="center"/>
        <w:tblLayout w:type="fixed"/>
        <w:tblLook w:firstColumn="1" w:firstRow="1" w:lastColumn="0" w:lastRow="0" w:noHBand="0" w:noVBand="1" w:val="04A0"/>
      </w:tblPr>
      <w:tblGrid>
        <w:gridCol w:w="3216"/>
        <w:gridCol w:w="3216"/>
        <w:gridCol w:w="3216"/>
      </w:tblGrid>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244A68"/>
          </w:tcPr>
          <w:p>
            <w:pPr>
              <w:spacing w:after="20" w:line="240" w:lineRule="auto"/>
            </w:pPr>
            <w:r/>
            <w:r>
              <w:rPr>
                <w:rFonts w:ascii="Aptos" w:hAnsi="Aptos"/>
                <w:b/>
                <w:color w:val="FFFFFF"/>
                <w:sz w:val="14"/>
              </w:rPr>
              <w:t>Partida</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shd w:fill="244A68"/>
          </w:tcPr>
          <w:p>
            <w:pPr>
              <w:spacing w:after="20" w:line="240" w:lineRule="auto"/>
            </w:pPr>
            <w:r/>
            <w:r>
              <w:rPr>
                <w:rFonts w:ascii="Aptos" w:hAnsi="Aptos"/>
                <w:b/>
                <w:color w:val="FFFFFF"/>
                <w:sz w:val="14"/>
              </w:rPr>
              <w:t>Base de cálculo</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244A68"/>
          </w:tcPr>
          <w:p>
            <w:pPr>
              <w:spacing w:after="20" w:line="240" w:lineRule="auto"/>
            </w:pPr>
            <w:r/>
            <w:r>
              <w:rPr>
                <w:rFonts w:ascii="Aptos" w:hAnsi="Aptos"/>
                <w:b/>
                <w:color w:val="FFFFFF"/>
                <w:sz w:val="14"/>
              </w:rPr>
              <w:t>Costo COP</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Gestión de proyecto</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80 horas × COP 65.000</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5.200.000</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Análisis y requisitos</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80 horas × COP 52.000</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4.160.000</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Diseño UX/UI</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48 horas × COP 78.000</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3.744.000</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Desarrollo full-stack</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400 horas × COP 56.000</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22.400.000</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Aseguramiento de calidad</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100 horas × COP 42.000</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4.200.000</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Despliegue y seguridad</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56 horas × COP 100.000</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5.600.000</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Migración, documentación y capacitación</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72 horas × COP 40.000</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2.880.000</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Subtotal construcción</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836 horas estimadas</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48.184.000</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Soporte por 12 meses</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12 h/mes × 12 × COP 56.000</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8.064.000</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Supabase Pro</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USD 25/mes × 12 × TRM; precio inicial publicado desde USD 25/mes</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944.406</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Cloudflare R2</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20 GB-mes pagados × USD 0,015 × 12 × TRM; 10 GB-mes incluidos</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11.333</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Dominio .co</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USD 30/año × TRM</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94.441</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Etiquetas QR</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1.000 × COP 145; referencia para vinilo, no incluye verificación de QR variable</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145.000</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Envío a La Tola</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Provisión provisional</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100.000</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Contingencia</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15 % del subtotal de construcción</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7.227.600</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Provisión tributaria condicional</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19 % × construcción y soporte</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10.687.120</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Reserva de tipo de cambio</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10 % sobre servicios cloud/dominio</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105.018</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Total económico primer año</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Suma de construcción, operación, directo y provisiones</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75.562.917</w:t>
            </w:r>
          </w:p>
        </w:tc>
      </w:tr>
    </w:tbl>
    <w:p>
      <w:pPr>
        <w:spacing w:after="40"/>
      </w:pPr>
    </w:p>
    <w:p>
      <w:pPr>
        <w:pStyle w:val="Heading2"/>
      </w:pPr>
      <w:r>
        <w:t>12.3 Interpretación y costos recurrentes</w:t>
      </w:r>
    </w:p>
    <w:p>
      <w:r>
        <w:t>El total de COP 75.562.917 representa el costo económico completo estimado del primer año. Si el trabajo estudiantil y la operación de soporte se aportan en especie, el desembolso externo estimado es aproximadamente COP 1.400.197. La diferencia es el valor del trabajo que no se paga en caja, no un costo cero de desarrollo.</w:t>
      </w:r>
    </w:p>
    <w:p>
      <w:r>
        <w:t>Desde el segundo año, el gasto anual de referencia por soporte (12 horas mensuales) y servicios de nube/dominio se estima en COP 9.114.179 antes de provisiones tributarias, contingencia y variación de precios. La escala superior a una sede puede elevar significativamente el costo de migración, soporte, permisos, conectividad y capacidad; debe aprobarse una fase de expansión y un presupuesto recalculado.</w:t>
      </w:r>
    </w:p>
    <w:p>
      <w:pPr>
        <w:pStyle w:val="Heading2"/>
      </w:pPr>
      <w:r>
        <w:t>12.4 Fuentes y límites de precios</w:t>
      </w:r>
    </w:p>
    <w:tbl>
      <w:tblPr>
        <w:tblW w:type="auto" w:w="0"/>
        <w:jc w:val="center"/>
        <w:tblLayout w:type="fixed"/>
        <w:tblLook w:firstColumn="1" w:firstRow="1" w:lastColumn="0" w:lastRow="0" w:noHBand="0" w:noVBand="1" w:val="04A0"/>
      </w:tblPr>
      <w:tblGrid>
        <w:gridCol w:w="3216"/>
        <w:gridCol w:w="3216"/>
        <w:gridCol w:w="3216"/>
      </w:tblGrid>
      <w:tr>
        <w:trPr>
          <w:cantSplit/>
        </w:trP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244A68"/>
          </w:tcPr>
          <w:p>
            <w:pPr>
              <w:spacing w:after="20" w:line="240" w:lineRule="auto"/>
            </w:pPr>
            <w:r/>
            <w:r>
              <w:rPr>
                <w:rFonts w:ascii="Aptos" w:hAnsi="Aptos"/>
                <w:b/>
                <w:color w:val="FFFFFF"/>
                <w:sz w:val="14"/>
              </w:rPr>
              <w:t>Fuente</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shd w:fill="244A68"/>
          </w:tcPr>
          <w:p>
            <w:pPr>
              <w:spacing w:after="20" w:line="240" w:lineRule="auto"/>
            </w:pPr>
            <w:r/>
            <w:r>
              <w:rPr>
                <w:rFonts w:ascii="Aptos" w:hAnsi="Aptos"/>
                <w:b/>
                <w:color w:val="FFFFFF"/>
                <w:sz w:val="14"/>
              </w:rPr>
              <w:t>Precio aplicado</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shd w:fill="244A68"/>
          </w:tcPr>
          <w:p>
            <w:pPr>
              <w:spacing w:after="20" w:line="240" w:lineRule="auto"/>
            </w:pPr>
            <w:r/>
            <w:r>
              <w:rPr>
                <w:rFonts w:ascii="Aptos" w:hAnsi="Aptos"/>
                <w:b/>
                <w:color w:val="FFFFFF"/>
                <w:sz w:val="14"/>
              </w:rPr>
              <w:t>Límite de la referencia</w:t>
            </w:r>
          </w:p>
        </w:tc>
      </w:tr>
      <w:tr>
        <w:trPr>
          <w:cantSplit/>
        </w:trP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Supabase</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Plan Pro desde USD 25 por mes; incluye 8 GB de base de datos y respaldos diarios de 7 días según página consultada.</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Uso adicional, región, impuestos y requisitos institucionales pueden cambiar el costo (Supabase, s. f.).</w:t>
            </w:r>
          </w:p>
        </w:tc>
      </w:tr>
      <w:tr>
        <w:trPr>
          <w:cantSplit/>
        </w:trP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Cloudflare R2</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10 GB-mes incluidos; estándar USD 0,015 por GB-mes adicional.</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El cálculo estima 30 GB; no incluye transacciones extraordinarias o cambios tarifarios (Cloudflare, s. f.-a).</w:t>
            </w:r>
          </w:p>
        </w:tc>
      </w:tr>
      <w:tr>
        <w:trPr>
          <w:cantSplit/>
        </w:trP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Cloudflare Registrar</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Dominio .co listado a USD 30.</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Disponibilidad, tarifa al registrar y renovación deben verificarse (Cloudflare, s. f.-b).</w:t>
            </w:r>
          </w:p>
        </w:tc>
      </w:tr>
      <w:tr>
        <w:trPr>
          <w:cantSplit/>
        </w:trP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Branding360</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1.000 etiquetas 5 × 5 cm de vinilo con precio estimado COP 145.000.</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Cotizar QR único impreso, protección, tiempos y envío hasta La Tola (Branding360, s. f.).</w:t>
            </w:r>
          </w:p>
        </w:tc>
      </w:tr>
      <w:tr>
        <w:trPr>
          <w:cantSplit/>
        </w:trP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CENISOFT/Fedesoft</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Informe de salarios y talento digital de Colombia.</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Referencia de mercado laboral; no determina honorarios ni precio contractual (CENISOFT &amp; Fedesoft, 2025).</w:t>
            </w:r>
          </w:p>
        </w:tc>
      </w:tr>
    </w:tbl>
    <w:p>
      <w:pPr>
        <w:spacing w:after="40"/>
      </w:pPr>
    </w:p>
    <w:p>
      <w:r>
        <w:t>Antes de aprobar gasto, solicitar tres propuestas comparables de desarrollo y soporte; confirmar si los profesionales se contratarán, cuánto cuesta transporte y conectividad, si el valor de etiquetas incluye impresión de códigos diferentes, el tratamiento tributario de cada servicio y el consumo cloud previsto. Revisar mensualmente alertas de gasto y límites del servicio.</w:t>
      </w:r>
    </w:p>
    <w:p>
      <w:pPr>
        <w:pStyle w:val="Heading1"/>
      </w:pPr>
      <w:r>
        <w:t>13. Gestión de riesgos</w:t>
      </w:r>
    </w:p>
    <w:tbl>
      <w:tblPr>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shd w:fill="244A68"/>
          </w:tcPr>
          <w:p>
            <w:pPr>
              <w:spacing w:after="20" w:line="240" w:lineRule="auto"/>
            </w:pPr>
            <w:r/>
            <w:r>
              <w:rPr>
                <w:rFonts w:ascii="Aptos" w:hAnsi="Aptos"/>
                <w:b/>
                <w:color w:val="FFFFFF"/>
                <w:sz w:val="14"/>
              </w:rPr>
              <w:t>Riesgo</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244A68"/>
          </w:tcPr>
          <w:p>
            <w:pPr>
              <w:spacing w:after="20" w:line="240" w:lineRule="auto"/>
            </w:pPr>
            <w:r/>
            <w:r>
              <w:rPr>
                <w:rFonts w:ascii="Aptos" w:hAnsi="Aptos"/>
                <w:b/>
                <w:color w:val="FFFFFF"/>
                <w:sz w:val="14"/>
              </w:rPr>
              <w:t>Probabilidad / impacto</w:t>
            </w:r>
          </w:p>
        </w:tc>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shd w:fill="244A68"/>
          </w:tcPr>
          <w:p>
            <w:pPr>
              <w:spacing w:after="20" w:line="240" w:lineRule="auto"/>
            </w:pPr>
            <w:r/>
            <w:r>
              <w:rPr>
                <w:rFonts w:ascii="Aptos" w:hAnsi="Aptos"/>
                <w:b/>
                <w:color w:val="FFFFFF"/>
                <w:sz w:val="14"/>
              </w:rPr>
              <w:t>Respuesta</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244A68"/>
          </w:tcPr>
          <w:p>
            <w:pPr>
              <w:spacing w:after="20" w:line="240" w:lineRule="auto"/>
            </w:pPr>
            <w:r/>
            <w:r>
              <w:rPr>
                <w:rFonts w:ascii="Aptos" w:hAnsi="Aptos"/>
                <w:b/>
                <w:color w:val="FFFFFF"/>
                <w:sz w:val="14"/>
              </w:rPr>
              <w:t>Responsable</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Inventario incompleto, duplicado o desactualizado</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Alta / alto</w:t>
            </w:r>
          </w:p>
        </w:tc>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Definir campos y validaciones; depurar y hacer conteo físico; aceptar migración con conciliación firmada.</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Administrador de inventario</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Conectividad débil o intermitente</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Media / alto</w:t>
            </w:r>
          </w:p>
        </w:tc>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Medir por sede y probar en equipos reales; cuantificar opción offline si el piloto demuestra que se requiere.</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Patrocinador y técnico</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Acceso no autorizado o filtración</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Media / alto</w:t>
            </w:r>
          </w:p>
        </w:tc>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Mínimo privilegio, TLS, secretos protegidos, bitácora, baja de cuentas y público cerrado por defecto.</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Responsable técnico</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Pérdida de base o archivos adjuntos</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Baja-media / muy alto</w:t>
            </w:r>
          </w:p>
        </w:tc>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Copia externa de datos y archivos, retención y simulacro de restauración.</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Responsable técnico</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Aumento de costos y TRM</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Media / medio</w:t>
            </w:r>
          </w:p>
        </w:tc>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Actualizar valores antes de comprar; reserva cambiaria, alertas y aprobación de variaciones.</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Gestión del proyecto</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Falta de tiempo de usuarios para validar</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Media / alto</w:t>
            </w:r>
          </w:p>
        </w:tc>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Calendario acordado, suplentes y decisiones registradas; congelar alcance mínimo al final de semana 4.</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Dirección de sede</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Expansión a varias sedes sin presupuesto</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Alta / alto</w:t>
            </w:r>
          </w:p>
        </w:tc>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Control de cambios; presupuestar por sede y dimensionar usuarios, activos, conectividad y soporte.</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Patrocinador</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No hay presupuesto para el segundo año</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Media / alto</w:t>
            </w:r>
          </w:p>
        </w:tc>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Definir fuente recurrente, propietario y soporte antes de lanzar; conservar exportación de datos.</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Patrocinador</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Obligaciones de privacidad incompletas</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Media / alto</w:t>
            </w:r>
          </w:p>
        </w:tc>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Determinar responsables, finalidades, datos mínimos, avisos, retención y medidas conforme a Ley 1581.</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Entidad responsable</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Costo de QR/envío distinto a referencia</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Media / medio</w:t>
            </w:r>
          </w:p>
        </w:tc>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Solicitar cotización de códigos variables y flete a La Tola; actualizar Excel antes de aprobar.</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Administración</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Baja sin disposición documentada</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Media / medio</w:t>
            </w:r>
          </w:p>
        </w:tc>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Conservar motivo, autorización y evidencia de destino o gestor autorizado.</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Administrador y dirección</w:t>
            </w:r>
          </w:p>
        </w:tc>
      </w:tr>
    </w:tbl>
    <w:p>
      <w:pPr>
        <w:spacing w:after="40"/>
      </w:pPr>
    </w:p>
    <w:p>
      <w:pPr>
        <w:pStyle w:val="Heading1"/>
      </w:pPr>
      <w:r>
        <w:t>14. Plan de calidad</w:t>
      </w:r>
    </w:p>
    <w:tbl>
      <w:tblPr>
        <w:tblW w:type="auto" w:w="0"/>
        <w:jc w:val="center"/>
        <w:tblLayout w:type="fixed"/>
        <w:tblLook w:firstColumn="1" w:firstRow="1" w:lastColumn="0" w:lastRow="0" w:noHBand="0" w:noVBand="1" w:val="04A0"/>
      </w:tblPr>
      <w:tblGrid>
        <w:gridCol w:w="3216"/>
        <w:gridCol w:w="3216"/>
        <w:gridCol w:w="3216"/>
      </w:tblGrid>
      <w:tr>
        <w:trPr>
          <w:cantSplit/>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244A68"/>
          </w:tcPr>
          <w:p>
            <w:pPr>
              <w:spacing w:after="20" w:line="240" w:lineRule="auto"/>
            </w:pPr>
            <w:r/>
            <w:r>
              <w:rPr>
                <w:rFonts w:ascii="Aptos" w:hAnsi="Aptos"/>
                <w:b/>
                <w:color w:val="FFFFFF"/>
                <w:sz w:val="14"/>
              </w:rPr>
              <w:t>Dimensión</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shd w:fill="244A68"/>
          </w:tcPr>
          <w:p>
            <w:pPr>
              <w:spacing w:after="20" w:line="240" w:lineRule="auto"/>
            </w:pPr>
            <w:r/>
            <w:r>
              <w:rPr>
                <w:rFonts w:ascii="Aptos" w:hAnsi="Aptos"/>
                <w:b/>
                <w:color w:val="FFFFFF"/>
                <w:sz w:val="14"/>
              </w:rPr>
              <w:t>Control</w:t>
            </w:r>
          </w:p>
        </w:tc>
        <w:tc>
          <w:tcPr>
            <w:tcW w:type="dxa" w:w="4176"/>
            <w:vAlign w:val="center"/>
            <w:tcBorders>
              <w:top w:val="single" w:sz="4" w:color="D9D9D9"/>
              <w:left w:val="single" w:sz="4" w:color="D9D9D9"/>
              <w:bottom w:val="single" w:sz="4" w:color="D9D9D9"/>
              <w:right w:val="single" w:sz="4" w:color="D9D9D9"/>
              <w:insideH w:val="single" w:sz="4" w:color="D9D9D9"/>
              <w:insideV w:val="single" w:sz="4" w:color="D9D9D9"/>
            </w:tcBorders>
            <w:shd w:fill="244A68"/>
          </w:tcPr>
          <w:p>
            <w:pPr>
              <w:spacing w:after="20" w:line="240" w:lineRule="auto"/>
            </w:pPr>
            <w:r/>
            <w:r>
              <w:rPr>
                <w:rFonts w:ascii="Aptos" w:hAnsi="Aptos"/>
                <w:b/>
                <w:color w:val="FFFFFF"/>
                <w:sz w:val="14"/>
              </w:rPr>
              <w:t>Criterio de aceptación</w:t>
            </w:r>
          </w:p>
        </w:tc>
      </w:tr>
      <w:tr>
        <w:trPr>
          <w:cantSplit/>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Requisitos</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Revisión con dirección, técnico y usuarios.</w:t>
            </w:r>
          </w:p>
        </w:tc>
        <w:tc>
          <w:tcPr>
            <w:tcW w:type="dxa" w:w="4176"/>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Requisitos y prototipo aprobados; cambios trazables.</w:t>
            </w:r>
          </w:p>
        </w:tc>
      </w:tr>
      <w:tr>
        <w:trPr>
          <w:cantSplit/>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Datos</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Validación de códigos, obligatorios y duplicados.</w:t>
            </w:r>
          </w:p>
        </w:tc>
        <w:tc>
          <w:tcPr>
            <w:tcW w:type="dxa" w:w="41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100 % de activos migrados con código único y campos mínimos.</w:t>
            </w:r>
          </w:p>
        </w:tc>
      </w:tr>
      <w:tr>
        <w:trPr>
          <w:cantSplit/>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Funcional</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Casos para registro, búsqueda, QR, estados, mantenimiento, traslado, baja y exportación.</w:t>
            </w:r>
          </w:p>
        </w:tc>
        <w:tc>
          <w:tcPr>
            <w:tcW w:type="dxa" w:w="4176"/>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Casos aprobados por responsable; sin defectos críticos.</w:t>
            </w:r>
          </w:p>
        </w:tc>
      </w:tr>
      <w:tr>
        <w:trPr>
          <w:cantSplit/>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Seguridad</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Prueba de cada rol, acceso denegado, sesiones, TLS y secretos.</w:t>
            </w:r>
          </w:p>
        </w:tc>
        <w:tc>
          <w:tcPr>
            <w:tcW w:type="dxa" w:w="41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Usuarios no pueden ejecutar acciones fuera de permisos.</w:t>
            </w:r>
          </w:p>
        </w:tc>
      </w:tr>
      <w:tr>
        <w:trPr>
          <w:cantSplit/>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Auditoría</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Prueba de historial y eventos de cambio.</w:t>
            </w:r>
          </w:p>
        </w:tc>
        <w:tc>
          <w:tcPr>
            <w:tcW w:type="dxa" w:w="4176"/>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Todo evento relevante conserva usuario y fecha.</w:t>
            </w:r>
          </w:p>
        </w:tc>
      </w:tr>
      <w:tr>
        <w:trPr>
          <w:cantSplit/>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Respaldo</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Prueba independiente de restauración de base y archivos.</w:t>
            </w:r>
          </w:p>
        </w:tc>
        <w:tc>
          <w:tcPr>
            <w:tcW w:type="dxa" w:w="41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Recuperación realizada y documentada antes de apertura.</w:t>
            </w:r>
          </w:p>
        </w:tc>
      </w:tr>
      <w:tr>
        <w:trPr>
          <w:cantSplit/>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Usabilidad</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Prueba de tareas con administrador y docente.</w:t>
            </w:r>
          </w:p>
        </w:tc>
        <w:tc>
          <w:tcPr>
            <w:tcW w:type="dxa" w:w="4176"/>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Tareas principales completables; observaciones críticas resueltas.</w:t>
            </w:r>
          </w:p>
        </w:tc>
      </w:tr>
      <w:tr>
        <w:trPr>
          <w:cantSplit/>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Operación</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Revisión de monitoreo, soporte y exportación.</w:t>
            </w:r>
          </w:p>
        </w:tc>
        <w:tc>
          <w:tcPr>
            <w:tcW w:type="dxa" w:w="41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Dueños, costos, alertas y continuidad asignados.</w:t>
            </w:r>
          </w:p>
        </w:tc>
      </w:tr>
    </w:tbl>
    <w:p>
      <w:pPr>
        <w:spacing w:after="40"/>
      </w:pPr>
    </w:p>
    <w:p>
      <w:r>
        <w:t>La aprobación de lanzamiento requiere cero defectos críticos abiertos; defectos altos resueltos o aceptados por escrito; conciliación de inventario; prueba de respaldo y restauración; capacitación; manuales y responsable operativo nombrado.</w:t>
      </w:r>
    </w:p>
    <w:p>
      <w:pPr>
        <w:pStyle w:val="Heading1"/>
      </w:pPr>
      <w:r>
        <w:t>15. Plan de comunicaciones</w:t>
      </w:r>
    </w:p>
    <w:tbl>
      <w:tblPr>
        <w:tblW w:type="auto" w:w="0"/>
        <w:jc w:val="center"/>
        <w:tblLayout w:type="fixed"/>
        <w:tblLook w:firstColumn="1" w:firstRow="1" w:lastColumn="0" w:lastRow="0" w:noHBand="0" w:noVBand="1" w:val="04A0"/>
      </w:tblPr>
      <w:tblGrid>
        <w:gridCol w:w="2412"/>
        <w:gridCol w:w="2412"/>
        <w:gridCol w:w="2412"/>
        <w:gridCol w:w="2412"/>
      </w:tblGrid>
      <w:tr>
        <w:trPr>
          <w:cantSplit/>
        </w:trP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shd w:fill="244A68"/>
          </w:tcPr>
          <w:p>
            <w:pPr>
              <w:spacing w:after="20" w:line="240" w:lineRule="auto"/>
            </w:pPr>
            <w:r/>
            <w:r>
              <w:rPr>
                <w:rFonts w:ascii="Aptos" w:hAnsi="Aptos"/>
                <w:b/>
                <w:color w:val="FFFFFF"/>
                <w:sz w:val="14"/>
              </w:rPr>
              <w:t>Comunicación</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244A68"/>
          </w:tcPr>
          <w:p>
            <w:pPr>
              <w:spacing w:after="20" w:line="240" w:lineRule="auto"/>
            </w:pPr>
            <w:r/>
            <w:r>
              <w:rPr>
                <w:rFonts w:ascii="Aptos" w:hAnsi="Aptos"/>
                <w:b/>
                <w:color w:val="FFFFFF"/>
                <w:sz w:val="14"/>
              </w:rPr>
              <w:t>Frecuencia</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244A68"/>
          </w:tcPr>
          <w:p>
            <w:pPr>
              <w:spacing w:after="20" w:line="240" w:lineRule="auto"/>
            </w:pPr>
            <w:r/>
            <w:r>
              <w:rPr>
                <w:rFonts w:ascii="Aptos" w:hAnsi="Aptos"/>
                <w:b/>
                <w:color w:val="FFFFFF"/>
                <w:sz w:val="14"/>
              </w:rPr>
              <w:t>Participantes</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shd w:fill="244A68"/>
          </w:tcPr>
          <w:p>
            <w:pPr>
              <w:spacing w:after="20" w:line="240" w:lineRule="auto"/>
            </w:pPr>
            <w:r/>
            <w:r>
              <w:rPr>
                <w:rFonts w:ascii="Aptos" w:hAnsi="Aptos"/>
                <w:b/>
                <w:color w:val="FFFFFF"/>
                <w:sz w:val="14"/>
              </w:rPr>
              <w:t>Registro / canal</w:t>
            </w:r>
          </w:p>
        </w:tc>
      </w:tr>
      <w:tr>
        <w:trPr>
          <w:cantSplit/>
        </w:trP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Reunión de seguimiento</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Semanal, 30–45 min</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Equipo y representante institucional</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Acta con decisiones, responsables, fechas y bloqueos.</w:t>
            </w:r>
          </w:p>
        </w:tc>
      </w:tr>
      <w:tr>
        <w:trPr>
          <w:cantSplit/>
        </w:trP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Revisión de hitos</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Semanas 4, 8, 13, 15 y 16</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Patrocinador, dirección y equipo</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Aprobación de entregables y autorización para avanzar.</w:t>
            </w:r>
          </w:p>
        </w:tc>
      </w:tr>
      <w:tr>
        <w:trPr>
          <w:cantSplit/>
        </w:trP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Informe de estado</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Semanal</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Patrocinador y dirección</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Avance, fechas, gasto, riesgos y decisión pendiente.</w:t>
            </w:r>
          </w:p>
        </w:tc>
      </w:tr>
      <w:tr>
        <w:trPr>
          <w:cantSplit/>
        </w:trP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Talleres de requisitos</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Semanas 1–4</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Dirección, sistemas, administración y docentes</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Requisitos validados y lista de asistencia.</w:t>
            </w:r>
          </w:p>
        </w:tc>
      </w:tr>
      <w:tr>
        <w:trPr>
          <w:cantSplit/>
        </w:trP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Capacitación</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Semana 15 y refuerzo al mes</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Administradores y usuarios</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4"/>
              </w:rPr>
              <w:t>Material, asistencia y práctica documentada.</w:t>
            </w:r>
          </w:p>
        </w:tc>
      </w:tr>
      <w:tr>
        <w:trPr>
          <w:cantSplit/>
        </w:trP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Incidente de operación</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Según severidad</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Administrador y técnico</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4"/>
              </w:rPr>
              <w:t>Ticket, impacto, evidencia, atención y cierre.</w:t>
            </w:r>
          </w:p>
        </w:tc>
      </w:tr>
    </w:tbl>
    <w:p>
      <w:pPr>
        <w:spacing w:after="40"/>
      </w:pPr>
    </w:p>
    <w:p>
      <w:r>
        <w:t>Los tiempos de respuesta deben pactarse con el proveedor del soporte antes de contratación. Como meta de planificación, se propone confirmar incidentes críticos que detengan el servicio dentro de cuatro horas hábiles; esta propuesta no constituye SLA contractual.</w:t>
      </w:r>
    </w:p>
    <w:p>
      <w:pPr>
        <w:pStyle w:val="Heading1"/>
      </w:pPr>
      <w:r>
        <w:t>16. Impacto, sostenibilidad y retorno</w:t>
      </w:r>
    </w:p>
    <w:p>
      <w:pPr>
        <w:pStyle w:val="Heading2"/>
      </w:pPr>
      <w:r>
        <w:t>16.1 Línea base e indicadores</w:t>
      </w:r>
    </w:p>
    <w:p>
      <w:r>
        <w:t>No se proporcionaron datos institucionales de compras, costos de reparación, tiempo de búsqueda, indisponibilidad o exactitud. En consecuencia, el ROI no se declara positivo ni se pronostica un ahorro sin evidencia. Antes de migrar, se levantará una línea base con definiciones, periodo, fuente y responsable. La evaluación se repetirá en los meses 3, 6 y 12 de operación.</w:t>
      </w:r>
    </w:p>
    <w:tbl>
      <w:tblPr>
        <w:tblW w:type="auto" w:w="0"/>
        <w:jc w:val="center"/>
        <w:tblLayout w:type="fixed"/>
        <w:tblLook w:firstColumn="1" w:firstRow="1" w:lastColumn="0" w:lastRow="0" w:noHBand="0" w:noVBand="1" w:val="04A0"/>
      </w:tblPr>
      <w:tblGrid>
        <w:gridCol w:w="3216"/>
        <w:gridCol w:w="3216"/>
        <w:gridCol w:w="3216"/>
      </w:tblGrid>
      <w:tr>
        <w:trPr>
          <w:cantSplit/>
        </w:trPr>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shd w:fill="244A68"/>
          </w:tcPr>
          <w:p>
            <w:pPr>
              <w:spacing w:after="20" w:line="240" w:lineRule="auto"/>
            </w:pPr>
            <w:r/>
            <w:r>
              <w:rPr>
                <w:rFonts w:ascii="Aptos" w:hAnsi="Aptos"/>
                <w:b/>
                <w:color w:val="FFFFFF"/>
                <w:sz w:val="15"/>
              </w:rPr>
              <w:t>Tipo de impacto</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shd w:fill="244A68"/>
          </w:tcPr>
          <w:p>
            <w:pPr>
              <w:spacing w:after="20" w:line="240" w:lineRule="auto"/>
            </w:pPr>
            <w:r/>
            <w:r>
              <w:rPr>
                <w:rFonts w:ascii="Aptos" w:hAnsi="Aptos"/>
                <w:b/>
                <w:color w:val="FFFFFF"/>
                <w:sz w:val="15"/>
              </w:rPr>
              <w:t>Indicador</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shd w:fill="244A68"/>
          </w:tcPr>
          <w:p>
            <w:pPr>
              <w:spacing w:after="20" w:line="240" w:lineRule="auto"/>
            </w:pPr>
            <w:r/>
            <w:r>
              <w:rPr>
                <w:rFonts w:ascii="Aptos" w:hAnsi="Aptos"/>
                <w:b/>
                <w:color w:val="FFFFFF"/>
                <w:sz w:val="15"/>
              </w:rPr>
              <w:t>Método de medición</w:t>
            </w:r>
          </w:p>
        </w:tc>
      </w:tr>
      <w:tr>
        <w:trPr>
          <w:cantSplit/>
        </w:trPr>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5"/>
              </w:rPr>
              <w:t>Financiero</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5"/>
              </w:rPr>
              <w:t>Compras evitadas verificadas; reparaciones; horas administrativas ahorradas; costo anual de operación.</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5"/>
              </w:rPr>
              <w:t>Comparar comprobantes, órdenes y tiempos registrados; verificar que la compra realmente fue evitada.</w:t>
            </w:r>
          </w:p>
        </w:tc>
      </w:tr>
      <w:tr>
        <w:trPr>
          <w:cantSplit/>
        </w:trPr>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5"/>
              </w:rPr>
              <w:t>Social/educativo</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5"/>
              </w:rPr>
              <w:t>Porcentaje de equipos funcionales; tiempo fuera de servicio; equipos recuperados; usuarios activos y satisfacción.</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5"/>
              </w:rPr>
              <w:t>Registro mensual de estados y encuesta breve antes/después.</w:t>
            </w:r>
          </w:p>
        </w:tc>
      </w:tr>
      <w:tr>
        <w:trPr>
          <w:cantSplit/>
        </w:trPr>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5"/>
              </w:rPr>
              <w:t>Ambiental</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5"/>
              </w:rPr>
              <w:t>Equipos reparados/reutilizados; elementos dados de baja y residuos entregados a gestor.</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5"/>
              </w:rPr>
              <w:t>Registrar peso, destino, fecha y evidencia de entrega/disposición.</w:t>
            </w:r>
          </w:p>
        </w:tc>
      </w:tr>
      <w:tr>
        <w:trPr>
          <w:cantSplit/>
        </w:trPr>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5"/>
              </w:rPr>
              <w:t>Operativo</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5"/>
              </w:rPr>
              <w:t>Exactitud del inventario; porcentaje con ubicación/custodio; tiempo para hallar historial; mantenimiento oportuno.</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5"/>
              </w:rPr>
              <w:t>Conteo de muestra y medición de tareas antes y después.</w:t>
            </w:r>
          </w:p>
        </w:tc>
      </w:tr>
    </w:tbl>
    <w:p>
      <w:pPr>
        <w:spacing w:after="40"/>
      </w:pPr>
    </w:p>
    <w:p>
      <w:pPr>
        <w:pStyle w:val="Heading2"/>
      </w:pPr>
      <w:r>
        <w:t>16.2 Fórmula del retorno</w:t>
      </w:r>
    </w:p>
    <w:p>
      <w:r>
        <w:t>Beneficio financiero = valor de compras evitadas verificadas + reparaciones evitadas verificadas + (horas ahorradas × costo laboral por hora). ROI = (beneficios financieros acumulados − costo total acumulado) ÷ costo total acumulado. El periodo de recuperación es el primer periodo en el que el beneficio financiero acumulado iguala o supera el costo acumulado. Los indicadores sociales y ambientales se reportan aparte y no se convierten a pesos sin método aprobado.</w:t>
      </w:r>
    </w:p>
    <w:p>
      <w:pPr>
        <w:pStyle w:val="Heading2"/>
      </w:pPr>
      <w:r>
        <w:t>16.3 Sostenibilidad</w:t>
      </w:r>
    </w:p>
    <w:p>
      <w:r>
        <w:t>La continuidad depende de que la entidad sea propietaria de dominio, cuentas, datos, documentación y credenciales; designe administrador y responsable técnico; contemple el costo recurrente y conserve procedimientos de exportación y recuperación. Al final de los 12 meses se revisarán costos reales, adopción, seguridad, calidad de datos, incidentes y resultados para decidir continuidad o expansión.</w:t>
      </w:r>
    </w:p>
    <w:p>
      <w:pPr>
        <w:pStyle w:val="Heading1"/>
      </w:pPr>
      <w:r>
        <w:t>17. Preparación para producción</w:t>
      </w:r>
    </w:p>
    <w:p>
      <w:pPr>
        <w:pStyle w:val="ListNumber"/>
      </w:pPr>
      <w:r>
        <w:t>Validar patrocinador, propietario del sistema, responsables de datos y presupuesto recurrente; registrar cuentas y dominio a nombre institucional.</w:t>
      </w:r>
    </w:p>
    <w:p>
      <w:pPr>
        <w:pStyle w:val="ListNumber"/>
      </w:pPr>
      <w:r>
        <w:t>Separar desarrollo, pruebas y producción; proteger llaves y variables de entorno; habilitar TLS y mínimo privilegio.</w:t>
      </w:r>
    </w:p>
    <w:p>
      <w:pPr>
        <w:pStyle w:val="ListNumber"/>
      </w:pPr>
      <w:r>
        <w:t>Definir usuarios, políticas de alta/baja, revisión de accesos, auditoría y retención de información.</w:t>
      </w:r>
    </w:p>
    <w:p>
      <w:pPr>
        <w:pStyle w:val="ListNumber"/>
      </w:pPr>
      <w:r>
        <w:t>Configurar respaldo de base de datos y archivos adjuntos en una ubicación independiente; probar recuperación completa.</w:t>
      </w:r>
    </w:p>
    <w:p>
      <w:pPr>
        <w:pStyle w:val="ListNumber"/>
      </w:pPr>
      <w:r>
        <w:t>Configurar alertas de errores, disponibilidad, uso, almacenamiento y fallos de respaldo.</w:t>
      </w:r>
    </w:p>
    <w:p>
      <w:pPr>
        <w:pStyle w:val="ListNumber"/>
      </w:pPr>
      <w:r>
        <w:t>Publicar manuales, guía de usuario, proceso de incidentes, ventanas de mantenimiento, escalamiento y exportación.</w:t>
      </w:r>
    </w:p>
    <w:p>
      <w:pPr>
        <w:pStyle w:val="ListNumber"/>
      </w:pPr>
      <w:r>
        <w:t>Realizar despliegue controlado; monitorear durante estabilización y registrar aprobación institucional.</w:t>
      </w:r>
    </w:p>
    <w:p>
      <w:pPr>
        <w:pStyle w:val="ListNumber"/>
      </w:pPr>
      <w:r>
        <w:t>Revisar mensualmente gastos y trimestralmente controles, respaldos, usuarios e indicadores.</w:t>
      </w:r>
    </w:p>
    <w:p>
      <w:r>
        <w:t>Arquitectura presupuestada de referencia: frontend estático en Cloudflare Pages; PostgreSQL, API, autenticación y almacenamiento inicial mediante Supabase Pro; Cloudflare R2 como almacenamiento externo de archivos de respaldo; dominio .co. Se estima el plan Supabase desde USD 25 mensuales según su precio publicado (Supabase, s. f.). R2 lista 10 GB-mes incluidos, almacenamiento estándar adicional a USD 0,015/GB-mes y egreso de datos gratuito (Cloudflare, s. f.-a). Los precios y servicios deben comprobarse y aprobarse contra políticas institucionales antes del despliegue. El almacenamiento de archivos y la base de datos requieren estrategias de respaldo distintas.</w:t>
      </w:r>
    </w:p>
    <w:p>
      <w:pPr>
        <w:pStyle w:val="Heading1"/>
      </w:pPr>
      <w:r>
        <w:t>18. Conclusiones y recomendaciones</w:t>
      </w:r>
    </w:p>
    <w:p>
      <w:r>
        <w:t>La propuesta transforma una necesidad preliminar de control de inventario en un proyecto aplicable con un producto definido, actores, etapas, reglas de acceso y operación. El sistema propuesto permite relacionar cada equipo con su estado e historial de mantenimiento, y organizar en una Wiki la documentación del proyecto y los procedimientos institucionales.</w:t>
      </w:r>
    </w:p>
    <w:p>
      <w:r>
        <w:t>La escala municipal todavía no está confirmada. Por ello, el presupuesto y el cronograma describen un piloto de una institución y una sede, no el despliegue completo en todas las instituciones educativas de La Tola. El presupuesto económico de primer año asciende a COP 75.562.917 y requiere sustituir tarifas laborales, envío, tributación y conectividad por ofertas y datos institucionales antes de comprometer recursos.</w:t>
      </w:r>
    </w:p>
    <w:p>
      <w:r>
        <w:t>Se recomienda iniciar con entrevistas y revisión de inventarios existentes; resolver con el docente la diferencia del calendario académico; designar patrocinador y custodios; aprobar un catálogo mínimo; verificar conectividad; validar privacidad y titularidad de datos; y no autorizar producción hasta que exista soporte, presupuesto recurrente, respaldo restaurable y aceptación del inventario piloto.</w:t>
      </w:r>
    </w:p>
    <w:p>
      <w:pPr>
        <w:pStyle w:val="Heading1"/>
      </w:pPr>
      <w:r>
        <w:t>Referencias</w:t>
      </w:r>
    </w:p>
    <w:p>
      <w:pPr>
        <w:ind w:left="360" w:hanging="360"/>
      </w:pPr>
      <w:r>
        <w:t>Banco de la República. (2026, 28 de octubre). Tasa de cambio o tasa de cambio representativa del mercado (TRM). https://www.banrep.gov.co/es/glosario/tasa-cambio-trm</w:t>
      </w:r>
    </w:p>
    <w:p>
      <w:pPr>
        <w:ind w:left="360" w:hanging="360"/>
      </w:pPr>
      <w:r>
        <w:t>Branding360. (s. f.). Tienda de etiquetas adhesivas personalizadas. Consultado el 28 de octubre de 2026, en https://branding360.com.co/tienda.html</w:t>
      </w:r>
    </w:p>
    <w:p>
      <w:pPr>
        <w:ind w:left="360" w:hanging="360"/>
      </w:pPr>
      <w:r>
        <w:t>CENISOFT &amp; Federación Colombiana de la Industria de Software y TI [Fedesoft]. (2025). Informe de análisis de la empleabilidad y talento digital en Colombia. https://cenisoft.org/wp-content/uploads/2025/12/Informe-de-analisis-de-la-empleabilidad-y-talento-Digital-en-Colombia_VF.pdf</w:t>
      </w:r>
    </w:p>
    <w:p>
      <w:pPr>
        <w:ind w:left="360" w:hanging="360"/>
      </w:pPr>
      <w:r>
        <w:t>Cloudflare. (s. f.-a). R2 pricing. Consultado el 28 de octubre de 2026, en https://developers.cloudflare.com/r2/pricing/</w:t>
      </w:r>
    </w:p>
    <w:p>
      <w:pPr>
        <w:ind w:left="360" w:hanging="360"/>
      </w:pPr>
      <w:r>
        <w:t>Cloudflare. (s. f.-b). Domain pricing. Consultado el 28 de octubre de 2026, en https://pricing.registrar.cloudflare.com/</w:t>
      </w:r>
    </w:p>
    <w:p>
      <w:pPr>
        <w:ind w:left="360" w:hanging="360"/>
      </w:pPr>
      <w:r>
        <w:t>Congreso de Colombia. (2012, 17 de octubre). Ley Estatutaria 1581 de 2012, por la cual se dictan disposiciones generales para la protección de datos personales. Gestor Normativo, Función Pública. https://www1.funcionpublica.gov.co/eva/gestornormativo/norma.php?i=49981</w:t>
      </w:r>
    </w:p>
    <w:p>
      <w:pPr>
        <w:ind w:left="360" w:hanging="360"/>
      </w:pPr>
      <w:r>
        <w:t>International Organization for Standardization. (2024). ISO 55000:2024 asset management—Vocabulary, overview and principles. https://committee.iso.org/sites/tc251/home/projects/published/iso-55000.html</w:t>
      </w:r>
    </w:p>
    <w:p>
      <w:pPr>
        <w:ind w:left="360" w:hanging="360"/>
      </w:pPr>
      <w:r>
        <w:t>International Organization for Standardization &amp; International Electrotechnical Commission. (2023). ISO/IEC 25010:2023 systems and software engineering—Systems and software quality requirements and evaluation (SQuaRE)—Product quality model. https://www.iso.org/standard/78176.html</w:t>
      </w:r>
    </w:p>
    <w:p>
      <w:pPr>
        <w:ind w:left="360" w:hanging="360"/>
      </w:pPr>
      <w:r>
        <w:t>Trabajo módulo. (s. f.). [Documento de instrucciones para proyecto aplicado, PDF proporcionado por el estudiante].</w:t>
      </w:r>
    </w:p>
    <w:p>
      <w:pPr>
        <w:ind w:left="360" w:hanging="360"/>
      </w:pPr>
      <w:r>
        <w:t>Project Management Institute. (2025). A guide to the project management body of knowledge (PMBOK guide) (8th ed.). https://www.pmi.org/es-419/standards/pmbok</w:t>
      </w:r>
    </w:p>
    <w:p>
      <w:pPr>
        <w:ind w:left="360" w:hanging="360"/>
      </w:pPr>
      <w:r>
        <w:t>Supabase. (s. f.). Pricing &amp; fees. Consultado el 28 de octubre de 2026, en https://supabase.com/pricing</w:t>
      </w:r>
    </w:p>
    <w:p>
      <w:pPr>
        <w:pStyle w:val="Heading1"/>
      </w:pPr>
      <w:r>
        <w:t>Anexo A. Páginas de la Wiki del proyecto</w:t>
      </w:r>
    </w:p>
    <w:tbl>
      <w:tblPr>
        <w:tblW w:type="auto" w:w="0"/>
        <w:jc w:val="center"/>
        <w:tblLayout w:type="fixed"/>
        <w:tblLook w:firstColumn="1" w:firstRow="1" w:lastColumn="0" w:lastRow="0" w:noHBand="0" w:noVBand="1" w:val="04A0"/>
      </w:tblPr>
      <w:tblGrid>
        <w:gridCol w:w="4824"/>
        <w:gridCol w:w="4824"/>
      </w:tblGrid>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shd w:fill="244A68"/>
          </w:tcPr>
          <w:p>
            <w:pPr>
              <w:spacing w:after="20" w:line="240" w:lineRule="auto"/>
            </w:pPr>
            <w:r/>
            <w:r>
              <w:rPr>
                <w:rFonts w:ascii="Aptos" w:hAnsi="Aptos"/>
                <w:b/>
                <w:color w:val="FFFFFF"/>
                <w:sz w:val="15"/>
              </w:rPr>
              <w:t>Página</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shd w:fill="244A68"/>
          </w:tcPr>
          <w:p>
            <w:pPr>
              <w:spacing w:after="20" w:line="240" w:lineRule="auto"/>
            </w:pPr>
            <w:r/>
            <w:r>
              <w:rPr>
                <w:rFonts w:ascii="Aptos" w:hAnsi="Aptos"/>
                <w:b/>
                <w:color w:val="FFFFFF"/>
                <w:sz w:val="15"/>
              </w:rPr>
              <w:t>Contenido mínimo</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5"/>
              </w:rPr>
              <w:t>Inicio</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5"/>
              </w:rPr>
              <w:t>Resumen, problema, estado y navegación.</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5"/>
              </w:rPr>
              <w:t>1. Acta de constitución</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5"/>
              </w:rPr>
              <w:t>Propósito, objetivos, alcance, entregables, supuestos y aprobaciones.</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5"/>
              </w:rPr>
              <w:t>2. Interesados</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5"/>
              </w:rPr>
              <w:t>Poder/interés, responsabilidades y estrategia de participación.</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5"/>
              </w:rPr>
              <w:t>3. Misión y visión</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5"/>
              </w:rPr>
              <w:t>Propósito del sistema, población beneficiaria y principios.</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5"/>
              </w:rPr>
              <w:t>4. Problema y justificación</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5"/>
              </w:rPr>
              <w:t>Evidencia, pregunta aplicada y necesidad institucional.</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5"/>
              </w:rPr>
              <w:t>5. Alcance y requisitos</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5"/>
              </w:rPr>
              <w:t>Incluidos, excluidos, perfiles, funcionalidades y trazabilidad.</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5"/>
              </w:rPr>
              <w:t>6. EDT y cronograma</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5"/>
              </w:rPr>
              <w:t>Paquetes, actividades, dependencias, responsables y fechas.</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5"/>
              </w:rPr>
              <w:t>7. Presupuesto</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5"/>
              </w:rPr>
              <w:t>Supuestos, costos, fuentes, cotizaciones y libro Excel.</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5"/>
              </w:rPr>
              <w:t>8. Riesgos</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5"/>
              </w:rPr>
              <w:t>Registro, responsable, respuesta y fecha de revisión.</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5"/>
              </w:rPr>
              <w:t>9. Calidad</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5"/>
              </w:rPr>
              <w:t>Pruebas, aceptación y evidencias.</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5"/>
              </w:rPr>
              <w:t>10. Comunicaciones</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5"/>
              </w:rPr>
              <w:t>Canal, frecuencia, audiencia y actas.</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5"/>
              </w:rPr>
              <w:t>11. Impacto/ROI</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40" w:lineRule="auto"/>
            </w:pPr>
            <w:r/>
            <w:r>
              <w:rPr>
                <w:rFonts w:ascii="Aptos" w:hAnsi="Aptos"/>
                <w:b w:val="0"/>
                <w:color w:val="26303B"/>
                <w:sz w:val="15"/>
              </w:rPr>
              <w:t>Línea base, indicadores, cálculos y evidencias.</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5"/>
              </w:rPr>
              <w:t>12. Operación</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shd w:fill="F2F6F8"/>
          </w:tcPr>
          <w:p>
            <w:pPr>
              <w:spacing w:after="20" w:line="240" w:lineRule="auto"/>
            </w:pPr>
            <w:r/>
            <w:r>
              <w:rPr>
                <w:rFonts w:ascii="Aptos" w:hAnsi="Aptos"/>
                <w:b w:val="0"/>
                <w:color w:val="26303B"/>
                <w:sz w:val="15"/>
              </w:rPr>
              <w:t>Seguridad, nube, respaldos, soporte y continuidad.</w:t>
            </w:r>
          </w:p>
        </w:tc>
      </w:tr>
    </w:tbl>
    <w:p>
      <w:pPr>
        <w:spacing w:after="40"/>
      </w:pPr>
    </w:p>
    <w:p>
      <w:pPr>
        <w:pStyle w:val="Heading1"/>
      </w:pPr>
      <w:r>
        <w:t>Anexo B. Datos por confirmar antes de aprobar línea base</w:t>
      </w:r>
    </w:p>
    <w:p>
      <w:pPr>
        <w:pStyle w:val="ListBullet"/>
      </w:pPr>
      <w:r>
        <w:t>Nombre oficial de universidad, programa, docente, autores y códigos académicos.</w:t>
      </w:r>
    </w:p>
    <w:p>
      <w:pPr>
        <w:pStyle w:val="ListBullet"/>
      </w:pPr>
      <w:r>
        <w:t>Institución piloto, representante, patrocinador, custodios y responsables de tratamiento de datos.</w:t>
      </w:r>
    </w:p>
    <w:p>
      <w:pPr>
        <w:pStyle w:val="ListBullet"/>
      </w:pPr>
      <w:r>
        <w:t>Número de sedes, equipos y cuentas; categorías, seriales, custodios y condiciones reales.</w:t>
      </w:r>
    </w:p>
    <w:p>
      <w:pPr>
        <w:pStyle w:val="ListBullet"/>
      </w:pPr>
      <w:r>
        <w:t>Estado de conectividad por sede, equipos disponibles y restricciones de nube.</w:t>
      </w:r>
    </w:p>
    <w:p>
      <w:pPr>
        <w:pStyle w:val="ListBullet"/>
      </w:pPr>
      <w:r>
        <w:t>Cotizaciones laborales, QR variable, impresión, flete, impuestos, soporte y operación.</w:t>
      </w:r>
    </w:p>
    <w:p>
      <w:pPr>
        <w:pStyle w:val="ListBullet"/>
      </w:pPr>
      <w:r>
        <w:t>Fecha de inicio y calendario académico definitivo.</w:t>
      </w:r>
    </w:p>
    <w:p>
      <w:pPr>
        <w:pStyle w:val="ListBullet"/>
      </w:pPr>
      <w:r>
        <w:t>Datos iniciales para medir ROI, disponibilidad, mantenimiento y gestión ambiental.</w:t>
      </w:r>
    </w:p>
    <w:sectPr w:rsidR="00FC693F" w:rsidRPr="0006063C" w:rsidSect="00034616">
      <w:headerReference w:type="default" r:id="rId9"/>
      <w:footerReference w:type="default" r:id="rId10"/>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07A"/>
        <w:sz w:val="16"/>
      </w:rPr>
      <w:t xml:space="preserve">Informe académico final SIGMA Educación La Tola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07A"/>
        <w:sz w:val="16"/>
      </w:rPr>
      <w:t>Proyecto Aplicado | Ingeniería de Sistemas | La Tola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eastAsia="Aptos"/>
      <w:color w:val="2630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eastAsia="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eastAsia="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eastAsia="Aptos"/>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w:hAnsi="Aptos" w:eastAsia="Aptos"/>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