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2D5D9" w14:textId="00F12B31" w:rsidR="00B20D56" w:rsidRPr="00811086" w:rsidRDefault="00811086">
      <w:pPr>
        <w:rPr>
          <w:rFonts w:cstheme="minorHAnsi"/>
          <w:b/>
          <w:bCs/>
          <w:sz w:val="44"/>
          <w:szCs w:val="44"/>
        </w:rPr>
      </w:pPr>
      <w:r w:rsidRPr="00811086">
        <w:rPr>
          <w:rFonts w:cstheme="minorHAnsi"/>
          <w:b/>
          <w:bCs/>
          <w:sz w:val="44"/>
          <w:szCs w:val="44"/>
        </w:rPr>
        <w:t>Análisis del diseño de NIO</w:t>
      </w:r>
    </w:p>
    <w:p w14:paraId="3F12B777" w14:textId="56BE9E37" w:rsidR="00811086" w:rsidRPr="00811086" w:rsidRDefault="00811086">
      <w:pPr>
        <w:rPr>
          <w:rFonts w:cstheme="minorHAnsi"/>
          <w:sz w:val="36"/>
          <w:szCs w:val="36"/>
        </w:rPr>
      </w:pPr>
      <w:r w:rsidRPr="00811086">
        <w:rPr>
          <w:rFonts w:cstheme="minorHAnsi"/>
          <w:sz w:val="36"/>
          <w:szCs w:val="36"/>
        </w:rPr>
        <w:t>Índice</w:t>
      </w:r>
    </w:p>
    <w:p w14:paraId="69C8877C" w14:textId="08BC269E" w:rsidR="00811086" w:rsidRDefault="00811086">
      <w:pPr>
        <w:rPr>
          <w:rFonts w:cstheme="minorHAnsi"/>
          <w:sz w:val="28"/>
          <w:szCs w:val="28"/>
        </w:rPr>
      </w:pPr>
      <w:r w:rsidRPr="00811086">
        <w:rPr>
          <w:rFonts w:cstheme="minorHAnsi"/>
          <w:sz w:val="28"/>
          <w:szCs w:val="28"/>
        </w:rPr>
        <w:t>Contexto:</w:t>
      </w:r>
    </w:p>
    <w:p w14:paraId="352225F5" w14:textId="75F7318D" w:rsidR="00811086" w:rsidRDefault="00811086">
      <w:pPr>
        <w:rPr>
          <w:rFonts w:cstheme="minorHAnsi"/>
        </w:rPr>
      </w:pPr>
      <w:r w:rsidRPr="005824B9">
        <w:rPr>
          <w:rFonts w:cstheme="minorHAnsi"/>
        </w:rPr>
        <w:tab/>
        <w:t>Sobre N</w:t>
      </w:r>
      <w:r w:rsidR="00C50F8A">
        <w:rPr>
          <w:rFonts w:cstheme="minorHAnsi"/>
        </w:rPr>
        <w:t>IO</w:t>
      </w:r>
    </w:p>
    <w:p w14:paraId="1D600A9B" w14:textId="4810B87A" w:rsidR="00B231F8" w:rsidRDefault="00B231F8">
      <w:pPr>
        <w:rPr>
          <w:rFonts w:cstheme="minorHAnsi"/>
        </w:rPr>
      </w:pPr>
      <w:r>
        <w:rPr>
          <w:rFonts w:cstheme="minorHAnsi"/>
        </w:rPr>
        <w:tab/>
        <w:t>Objetivo y destinatarios</w:t>
      </w:r>
    </w:p>
    <w:p w14:paraId="4481FE0E" w14:textId="105F31F4" w:rsidR="00C50F8A" w:rsidRDefault="00C50F8A">
      <w:pPr>
        <w:rPr>
          <w:rFonts w:cstheme="minorHAnsi"/>
        </w:rPr>
      </w:pPr>
      <w:r>
        <w:rPr>
          <w:rFonts w:cstheme="minorHAnsi"/>
        </w:rPr>
        <w:tab/>
        <w:t>Comparativa</w:t>
      </w:r>
    </w:p>
    <w:p w14:paraId="2F0C092D" w14:textId="3373E646" w:rsidR="00C50F8A" w:rsidRDefault="00C50F8A">
      <w:pPr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  <w:t>Sobre su diseño</w:t>
      </w:r>
    </w:p>
    <w:p w14:paraId="0055E606" w14:textId="5AA19E48" w:rsidR="00C50F8A" w:rsidRDefault="00C50F8A">
      <w:pPr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  <w:t>Rendimiento</w:t>
      </w:r>
    </w:p>
    <w:p w14:paraId="05422400" w14:textId="395A4BE6" w:rsidR="00C50F8A" w:rsidRPr="005824B9" w:rsidRDefault="00C50F8A">
      <w:pPr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  <w:t>Herramientas</w:t>
      </w:r>
    </w:p>
    <w:p w14:paraId="47AF5F66" w14:textId="2DEBB854" w:rsidR="00811086" w:rsidRPr="00811086" w:rsidRDefault="0081108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ab/>
      </w:r>
    </w:p>
    <w:p w14:paraId="1A6DFE29" w14:textId="7529E8EE" w:rsidR="005824B9" w:rsidRDefault="005824B9">
      <w:pPr>
        <w:rPr>
          <w:rFonts w:cstheme="minorHAnsi"/>
          <w:sz w:val="44"/>
          <w:szCs w:val="44"/>
        </w:rPr>
      </w:pPr>
      <w:r>
        <w:rPr>
          <w:rFonts w:cstheme="minorHAnsi"/>
          <w:sz w:val="44"/>
          <w:szCs w:val="44"/>
        </w:rPr>
        <w:br w:type="page"/>
      </w:r>
    </w:p>
    <w:p w14:paraId="468FB7AD" w14:textId="1286528C" w:rsidR="005824B9" w:rsidRDefault="005824B9" w:rsidP="005824B9">
      <w:pPr>
        <w:rPr>
          <w:rFonts w:cstheme="minorHAnsi"/>
          <w:b/>
          <w:bCs/>
          <w:sz w:val="28"/>
          <w:szCs w:val="28"/>
        </w:rPr>
      </w:pPr>
      <w:r w:rsidRPr="005824B9">
        <w:rPr>
          <w:rFonts w:cstheme="minorHAnsi"/>
          <w:b/>
          <w:bCs/>
          <w:sz w:val="28"/>
          <w:szCs w:val="28"/>
        </w:rPr>
        <w:lastRenderedPageBreak/>
        <w:t>Contexto:</w:t>
      </w:r>
    </w:p>
    <w:p w14:paraId="46199183" w14:textId="6D24B1E6" w:rsidR="005824B9" w:rsidRDefault="005824B9" w:rsidP="005824B9">
      <w:pPr>
        <w:rPr>
          <w:rFonts w:cstheme="minorHAnsi"/>
          <w:b/>
          <w:bCs/>
        </w:rPr>
      </w:pPr>
      <w:r w:rsidRPr="005824B9">
        <w:rPr>
          <w:rFonts w:cstheme="minorHAnsi"/>
          <w:b/>
          <w:bCs/>
        </w:rPr>
        <w:t>Sobre N</w:t>
      </w:r>
      <w:r w:rsidR="00536C33">
        <w:rPr>
          <w:rFonts w:cstheme="minorHAnsi"/>
          <w:b/>
          <w:bCs/>
        </w:rPr>
        <w:t>IO</w:t>
      </w:r>
    </w:p>
    <w:p w14:paraId="7AB6BB1C" w14:textId="77777777" w:rsidR="005824B9" w:rsidRPr="00123627" w:rsidRDefault="005824B9" w:rsidP="005824B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NIO Inc.</w:t>
      </w:r>
      <w:r w:rsidRPr="00123627">
        <w:rPr>
          <w:rFonts w:asciiTheme="minorHAnsi" w:hAnsiTheme="minorHAnsi" w:cstheme="minorHAnsi"/>
          <w:sz w:val="22"/>
          <w:szCs w:val="22"/>
        </w:rPr>
        <w:t xml:space="preserve"> es una empresa tecnológica fundada en </w:t>
      </w: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2014</w:t>
      </w:r>
      <w:r w:rsidRPr="00123627">
        <w:rPr>
          <w:rFonts w:asciiTheme="minorHAnsi" w:hAnsiTheme="minorHAnsi" w:cstheme="minorHAnsi"/>
          <w:sz w:val="22"/>
          <w:szCs w:val="22"/>
        </w:rPr>
        <w:t xml:space="preserve"> en </w:t>
      </w:r>
      <w:proofErr w:type="spellStart"/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Shanghai</w:t>
      </w:r>
      <w:proofErr w:type="spellEnd"/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, China</w:t>
      </w:r>
      <w:r w:rsidRPr="00123627">
        <w:rPr>
          <w:rFonts w:asciiTheme="minorHAnsi" w:hAnsiTheme="minorHAnsi" w:cstheme="minorHAnsi"/>
          <w:sz w:val="22"/>
          <w:szCs w:val="22"/>
        </w:rPr>
        <w:t xml:space="preserve">, dedicada al diseño y fabricación de </w:t>
      </w: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vehículos eléctricos inteligentes</w:t>
      </w:r>
      <w:r w:rsidRPr="00123627">
        <w:rPr>
          <w:rFonts w:asciiTheme="minorHAnsi" w:hAnsiTheme="minorHAnsi" w:cstheme="minorHAnsi"/>
          <w:sz w:val="22"/>
          <w:szCs w:val="22"/>
        </w:rPr>
        <w:t>. Su misión es transformar la experiencia de conducción mediante innovación, conectividad y sostenibilidad, apostando por un modelo centrado en el usuario.</w:t>
      </w:r>
    </w:p>
    <w:p w14:paraId="4F352DD0" w14:textId="7D919B3D" w:rsidR="005824B9" w:rsidRPr="00123627" w:rsidRDefault="005824B9" w:rsidP="005824B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627">
        <w:rPr>
          <w:rFonts w:asciiTheme="minorHAnsi" w:hAnsiTheme="minorHAnsi" w:cstheme="minorHAnsi"/>
          <w:sz w:val="22"/>
          <w:szCs w:val="22"/>
        </w:rPr>
        <w:t xml:space="preserve">La compañía cuenta con </w:t>
      </w: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 xml:space="preserve">más de </w:t>
      </w:r>
      <w:r w:rsidR="00536C33"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4</w:t>
      </w: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0.000 empleados</w:t>
      </w:r>
      <w:r w:rsidRPr="00123627">
        <w:rPr>
          <w:rFonts w:asciiTheme="minorHAnsi" w:hAnsiTheme="minorHAnsi" w:cstheme="minorHAnsi"/>
          <w:sz w:val="22"/>
          <w:szCs w:val="22"/>
        </w:rPr>
        <w:t xml:space="preserve"> y tiene presencia internacional con sedes en </w:t>
      </w: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China, Estados Unidos, Alemania y Reino Unido</w:t>
      </w:r>
      <w:r w:rsidRPr="00123627">
        <w:rPr>
          <w:rFonts w:asciiTheme="minorHAnsi" w:hAnsiTheme="minorHAnsi" w:cstheme="minorHAnsi"/>
          <w:sz w:val="22"/>
          <w:szCs w:val="22"/>
        </w:rPr>
        <w:t xml:space="preserve">. Sus centros de investigación y desarrollo se encuentran en ciudades clave como </w:t>
      </w: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San José (California)</w:t>
      </w:r>
      <w:r w:rsidRPr="00123627">
        <w:rPr>
          <w:rFonts w:asciiTheme="minorHAnsi" w:hAnsiTheme="minorHAnsi" w:cstheme="minorHAnsi"/>
          <w:sz w:val="22"/>
          <w:szCs w:val="22"/>
        </w:rPr>
        <w:t xml:space="preserve"> y </w:t>
      </w: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Múnich</w:t>
      </w:r>
      <w:r w:rsidRPr="00123627">
        <w:rPr>
          <w:rFonts w:asciiTheme="minorHAnsi" w:hAnsiTheme="minorHAnsi" w:cstheme="minorHAnsi"/>
          <w:sz w:val="22"/>
          <w:szCs w:val="22"/>
        </w:rPr>
        <w:t>, lo que refuerza su enfoque global.</w:t>
      </w:r>
    </w:p>
    <w:p w14:paraId="462B5C27" w14:textId="5E3734E4" w:rsidR="005824B9" w:rsidRPr="00123627" w:rsidRDefault="005824B9" w:rsidP="005824B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627">
        <w:rPr>
          <w:rFonts w:asciiTheme="minorHAnsi" w:hAnsiTheme="minorHAnsi" w:cstheme="minorHAnsi"/>
          <w:sz w:val="22"/>
          <w:szCs w:val="22"/>
        </w:rPr>
        <w:t xml:space="preserve">Entre sus productos destacan modelos como el </w:t>
      </w: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ET5, ET7, ES6, EC6 y EP9</w:t>
      </w:r>
      <w:r w:rsidRPr="00123627">
        <w:rPr>
          <w:rFonts w:asciiTheme="minorHAnsi" w:hAnsiTheme="minorHAnsi" w:cstheme="minorHAnsi"/>
          <w:sz w:val="22"/>
          <w:szCs w:val="22"/>
        </w:rPr>
        <w:t>, todos equipados con tecnología de conducción autónoma, baterías intercambiables y sistemas de inteligencia artificial. Pero NIO no se limita a fabricar coches</w:t>
      </w:r>
      <w:r w:rsidR="00B231F8" w:rsidRPr="00123627">
        <w:rPr>
          <w:rFonts w:asciiTheme="minorHAnsi" w:hAnsiTheme="minorHAnsi" w:cstheme="minorHAnsi"/>
          <w:sz w:val="22"/>
          <w:szCs w:val="22"/>
        </w:rPr>
        <w:t>, también</w:t>
      </w:r>
      <w:r w:rsidRPr="00123627">
        <w:rPr>
          <w:rFonts w:asciiTheme="minorHAnsi" w:hAnsiTheme="minorHAnsi" w:cstheme="minorHAnsi"/>
          <w:sz w:val="22"/>
          <w:szCs w:val="22"/>
        </w:rPr>
        <w:t xml:space="preserve"> ha creado un ecosistema completo que incluye:</w:t>
      </w:r>
    </w:p>
    <w:p w14:paraId="087B2AF9" w14:textId="499A4C3D" w:rsidR="005824B9" w:rsidRPr="00123627" w:rsidRDefault="005824B9" w:rsidP="00B231F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2"/>
          <w:szCs w:val="22"/>
        </w:rPr>
      </w:pP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 xml:space="preserve">NIO </w:t>
      </w:r>
      <w:proofErr w:type="spellStart"/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Power</w:t>
      </w:r>
      <w:proofErr w:type="spellEnd"/>
      <w:r w:rsidRPr="00123627">
        <w:rPr>
          <w:rFonts w:asciiTheme="minorHAnsi" w:hAnsiTheme="minorHAnsi" w:cstheme="minorHAnsi"/>
          <w:sz w:val="22"/>
          <w:szCs w:val="22"/>
        </w:rPr>
        <w:t>, con estaciones de carga, intercambio automático de baterías y asistencia</w:t>
      </w:r>
      <w:r w:rsidR="002D425B" w:rsidRPr="00123627">
        <w:rPr>
          <w:rFonts w:asciiTheme="minorHAnsi" w:hAnsiTheme="minorHAnsi" w:cstheme="minorHAnsi"/>
          <w:sz w:val="22"/>
          <w:szCs w:val="22"/>
        </w:rPr>
        <w:t xml:space="preserve"> </w:t>
      </w:r>
      <w:r w:rsidRPr="00123627">
        <w:rPr>
          <w:rFonts w:asciiTheme="minorHAnsi" w:hAnsiTheme="minorHAnsi" w:cstheme="minorHAnsi"/>
          <w:sz w:val="22"/>
          <w:szCs w:val="22"/>
        </w:rPr>
        <w:t>energética móvil.</w:t>
      </w:r>
    </w:p>
    <w:p w14:paraId="293DDEC6" w14:textId="17EE66B5" w:rsidR="00B231F8" w:rsidRPr="00123627" w:rsidRDefault="00B231F8" w:rsidP="00B231F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2"/>
          <w:szCs w:val="22"/>
        </w:rPr>
      </w:pPr>
      <w:r w:rsidRPr="00123627">
        <w:rPr>
          <w:rFonts w:asciiTheme="minorHAnsi" w:hAnsiTheme="minorHAnsi" w:cstheme="minorHAnsi"/>
          <w:sz w:val="22"/>
          <w:szCs w:val="22"/>
        </w:rPr>
        <w:t xml:space="preserve">NIO </w:t>
      </w:r>
      <w:proofErr w:type="spellStart"/>
      <w:r w:rsidRPr="00123627">
        <w:rPr>
          <w:rFonts w:asciiTheme="minorHAnsi" w:hAnsiTheme="minorHAnsi" w:cstheme="minorHAnsi"/>
          <w:sz w:val="22"/>
          <w:szCs w:val="22"/>
        </w:rPr>
        <w:t>Service</w:t>
      </w:r>
      <w:proofErr w:type="spellEnd"/>
      <w:r w:rsidRPr="00123627">
        <w:rPr>
          <w:rFonts w:asciiTheme="minorHAnsi" w:hAnsiTheme="minorHAnsi" w:cstheme="minorHAnsi"/>
          <w:sz w:val="22"/>
          <w:szCs w:val="22"/>
        </w:rPr>
        <w:t xml:space="preserve">, </w:t>
      </w:r>
      <w:r w:rsidRPr="00123627">
        <w:rPr>
          <w:rFonts w:asciiTheme="minorHAnsi" w:hAnsiTheme="minorHAnsi" w:cstheme="minorHAnsi"/>
          <w:sz w:val="22"/>
          <w:szCs w:val="22"/>
        </w:rPr>
        <w:t>mantenimiento, asistencia 24/</w:t>
      </w:r>
      <w:r w:rsidR="002D425B" w:rsidRPr="00123627">
        <w:rPr>
          <w:rFonts w:asciiTheme="minorHAnsi" w:hAnsiTheme="minorHAnsi" w:cstheme="minorHAnsi"/>
          <w:sz w:val="22"/>
          <w:szCs w:val="22"/>
        </w:rPr>
        <w:t xml:space="preserve">7, </w:t>
      </w:r>
      <w:r w:rsidR="002D425B" w:rsidRPr="00123627">
        <w:rPr>
          <w:rFonts w:asciiTheme="minorHAnsi" w:hAnsiTheme="minorHAnsi" w:cstheme="minorHAnsi"/>
          <w:sz w:val="22"/>
          <w:szCs w:val="22"/>
        </w:rPr>
        <w:t>recogida y entrega, y actualizaciones remotas.</w:t>
      </w:r>
      <w:r w:rsidR="002D425B" w:rsidRPr="00123627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="002D425B" w:rsidRPr="00123627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                   </w:t>
      </w:r>
    </w:p>
    <w:p w14:paraId="782C4E06" w14:textId="07230988" w:rsidR="005824B9" w:rsidRPr="00123627" w:rsidRDefault="002D425B" w:rsidP="002D425B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2"/>
          <w:szCs w:val="22"/>
        </w:rPr>
      </w:pPr>
      <w:r w:rsidRPr="00123627">
        <w:rPr>
          <w:rFonts w:asciiTheme="minorHAnsi" w:hAnsiTheme="minorHAnsi" w:cstheme="minorHAnsi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3687FB6A" wp14:editId="68974732">
            <wp:simplePos x="0" y="0"/>
            <wp:positionH relativeFrom="column">
              <wp:posOffset>3568065</wp:posOffset>
            </wp:positionH>
            <wp:positionV relativeFrom="paragraph">
              <wp:posOffset>167640</wp:posOffset>
            </wp:positionV>
            <wp:extent cx="1524000" cy="1471295"/>
            <wp:effectExtent l="0" t="0" r="0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24B9"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NIO House</w:t>
      </w:r>
      <w:r w:rsidR="005824B9" w:rsidRPr="00123627">
        <w:rPr>
          <w:rFonts w:asciiTheme="minorHAnsi" w:hAnsiTheme="minorHAnsi" w:cstheme="minorHAnsi"/>
          <w:sz w:val="22"/>
          <w:szCs w:val="22"/>
        </w:rPr>
        <w:t xml:space="preserve">, espacios físicos donde los </w:t>
      </w:r>
      <w:r w:rsidRPr="00123627">
        <w:rPr>
          <w:rFonts w:asciiTheme="minorHAnsi" w:hAnsiTheme="minorHAnsi" w:cstheme="minorHAnsi"/>
          <w:sz w:val="22"/>
          <w:szCs w:val="22"/>
        </w:rPr>
        <w:t>usuarios pueden</w:t>
      </w:r>
      <w:r w:rsidRPr="00123627">
        <w:rPr>
          <w:rFonts w:asciiTheme="minorHAnsi" w:hAnsiTheme="minorHAnsi" w:cstheme="minorHAnsi"/>
          <w:sz w:val="22"/>
          <w:szCs w:val="22"/>
        </w:rPr>
        <w:t xml:space="preserve"> reunirse, trabajar, relajarse o participar en eventos. </w:t>
      </w:r>
      <w:r w:rsidRPr="00123627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</w:t>
      </w:r>
    </w:p>
    <w:p w14:paraId="56BA2587" w14:textId="2840C0E1" w:rsidR="005824B9" w:rsidRPr="00123627" w:rsidRDefault="005824B9" w:rsidP="00B231F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2"/>
          <w:szCs w:val="22"/>
        </w:rPr>
      </w:pP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 xml:space="preserve">NIO </w:t>
      </w:r>
      <w:proofErr w:type="spellStart"/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Life</w:t>
      </w:r>
      <w:proofErr w:type="spellEnd"/>
      <w:r w:rsidRPr="00123627">
        <w:rPr>
          <w:rFonts w:asciiTheme="minorHAnsi" w:hAnsiTheme="minorHAnsi" w:cstheme="minorHAnsi"/>
          <w:sz w:val="22"/>
          <w:szCs w:val="22"/>
        </w:rPr>
        <w:t xml:space="preserve">, una línea de productos de estilo </w:t>
      </w:r>
      <w:r w:rsidR="002D425B" w:rsidRPr="00123627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</w:t>
      </w:r>
      <w:r w:rsidRPr="00123627">
        <w:rPr>
          <w:rFonts w:asciiTheme="minorHAnsi" w:hAnsiTheme="minorHAnsi" w:cstheme="minorHAnsi"/>
          <w:sz w:val="22"/>
          <w:szCs w:val="22"/>
        </w:rPr>
        <w:t>de vida que refuerza la identidad de marca.</w:t>
      </w:r>
      <w:r w:rsidR="00B231F8" w:rsidRPr="00123627">
        <w:rPr>
          <w:noProof/>
          <w:sz w:val="28"/>
          <w:szCs w:val="28"/>
        </w:rPr>
        <w:t xml:space="preserve"> </w:t>
      </w:r>
    </w:p>
    <w:p w14:paraId="3E3E94DE" w14:textId="5513B5E0" w:rsidR="005824B9" w:rsidRPr="00123627" w:rsidRDefault="005824B9" w:rsidP="005824B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627">
        <w:rPr>
          <w:rFonts w:asciiTheme="minorHAnsi" w:hAnsiTheme="minorHAnsi" w:cstheme="minorHAnsi"/>
          <w:sz w:val="22"/>
          <w:szCs w:val="22"/>
        </w:rPr>
        <w:t xml:space="preserve">En cuanto a resultados económicos, NIO ha superado los </w:t>
      </w: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7.000 millones de dólares en ingresos anuales</w:t>
      </w:r>
      <w:r w:rsidRPr="00123627">
        <w:rPr>
          <w:rFonts w:asciiTheme="minorHAnsi" w:hAnsiTheme="minorHAnsi" w:cstheme="minorHAnsi"/>
          <w:sz w:val="22"/>
          <w:szCs w:val="22"/>
        </w:rPr>
        <w:t xml:space="preserve">, siendo </w:t>
      </w:r>
      <w:r w:rsidRPr="00123627">
        <w:rPr>
          <w:rStyle w:val="Textoennegrita"/>
          <w:rFonts w:asciiTheme="minorHAnsi" w:hAnsiTheme="minorHAnsi" w:cstheme="minorHAnsi"/>
          <w:b w:val="0"/>
          <w:bCs w:val="0"/>
          <w:sz w:val="22"/>
          <w:szCs w:val="22"/>
        </w:rPr>
        <w:t>China</w:t>
      </w:r>
      <w:r w:rsidRPr="00123627">
        <w:rPr>
          <w:rFonts w:asciiTheme="minorHAnsi" w:hAnsiTheme="minorHAnsi" w:cstheme="minorHAnsi"/>
          <w:sz w:val="22"/>
          <w:szCs w:val="22"/>
        </w:rPr>
        <w:t xml:space="preserve"> su principal mercado.</w:t>
      </w:r>
      <w:r w:rsidR="00B231F8" w:rsidRPr="00123627">
        <w:rPr>
          <w:rFonts w:asciiTheme="minorHAnsi" w:hAnsiTheme="minorHAnsi" w:cstheme="minorHAnsi"/>
          <w:sz w:val="22"/>
          <w:szCs w:val="22"/>
        </w:rPr>
        <w:t xml:space="preserve"> </w:t>
      </w:r>
      <w:r w:rsidRPr="00123627">
        <w:rPr>
          <w:rFonts w:asciiTheme="minorHAnsi" w:hAnsiTheme="minorHAnsi" w:cstheme="minorHAnsi"/>
          <w:sz w:val="22"/>
          <w:szCs w:val="22"/>
        </w:rPr>
        <w:t>Su estrategia de fidelización incluye garantías extendidas, asistencia gratuita de por vida y experiencias exclusivas para sus clientes.</w:t>
      </w:r>
    </w:p>
    <w:p w14:paraId="09B6B1EF" w14:textId="0111B275" w:rsidR="005824B9" w:rsidRDefault="005824B9" w:rsidP="00B231F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28A30FD2" w14:textId="0941E6CC" w:rsidR="00B231F8" w:rsidRDefault="00B231F8" w:rsidP="00B231F8">
      <w:pPr>
        <w:rPr>
          <w:rFonts w:cstheme="minorHAnsi"/>
          <w:b/>
          <w:bCs/>
        </w:rPr>
      </w:pPr>
      <w:r w:rsidRPr="00B231F8">
        <w:rPr>
          <w:rFonts w:cstheme="minorHAnsi"/>
          <w:b/>
          <w:bCs/>
        </w:rPr>
        <w:t>Objetivo y destinatarios</w:t>
      </w:r>
    </w:p>
    <w:p w14:paraId="1EF7EF46" w14:textId="58B5086B" w:rsidR="00B231F8" w:rsidRPr="00123627" w:rsidRDefault="00A42212" w:rsidP="00123627">
      <w:r w:rsidRPr="00123627">
        <w:rPr>
          <w:rFonts w:cstheme="minorHAnsi"/>
        </w:rPr>
        <w:t xml:space="preserve">Tras un primer análisis del sitio web de NIO podemos decir </w:t>
      </w:r>
      <w:r w:rsidR="00123627" w:rsidRPr="00123627">
        <w:rPr>
          <w:rFonts w:cstheme="minorHAnsi"/>
        </w:rPr>
        <w:t>que,</w:t>
      </w:r>
      <w:r w:rsidRPr="00123627">
        <w:rPr>
          <w:rFonts w:cstheme="minorHAnsi"/>
        </w:rPr>
        <w:t xml:space="preserve"> </w:t>
      </w:r>
      <w:r w:rsidR="00123627" w:rsidRPr="00123627">
        <w:t>a</w:t>
      </w:r>
      <w:r w:rsidR="00123627" w:rsidRPr="00123627">
        <w:t xml:space="preserve">unque no se trata de una tienda online tradicional, la web está claramente diseñada para </w:t>
      </w:r>
      <w:r w:rsidR="00123627" w:rsidRPr="00123627">
        <w:rPr>
          <w:rStyle w:val="Textoennegrita"/>
        </w:rPr>
        <w:t>impulsar la venta de vehículos eléctricos inteligentes</w:t>
      </w:r>
      <w:r w:rsidR="00123627" w:rsidRPr="00123627">
        <w:t>, presentando sus modelos con imágenes, especificaciones técnicas, vídeos y opciones de contacto para solicitar pruebas de conducción o más información.</w:t>
      </w:r>
    </w:p>
    <w:p w14:paraId="3410DBA5" w14:textId="147F8530" w:rsidR="00123627" w:rsidRDefault="00123627" w:rsidP="00123627">
      <w:r w:rsidRPr="00123627">
        <w:t xml:space="preserve">Su publico destinatario se caracteriza por la edad, adultos </w:t>
      </w:r>
      <w:r w:rsidRPr="00123627">
        <w:t xml:space="preserve">entre </w:t>
      </w:r>
      <w:r w:rsidRPr="00123627">
        <w:rPr>
          <w:rStyle w:val="Textoennegrita"/>
        </w:rPr>
        <w:t>30 y 55 años</w:t>
      </w:r>
      <w:r w:rsidRPr="00123627">
        <w:t>, interesados en tecnología, movilidad sostenible y diseño</w:t>
      </w:r>
      <w:r w:rsidRPr="00123627">
        <w:t>, no esta segmentado por sexo y ocupa un</w:t>
      </w:r>
      <w:r w:rsidRPr="00123627">
        <w:rPr>
          <w:b/>
          <w:bCs/>
        </w:rPr>
        <w:t xml:space="preserve"> </w:t>
      </w:r>
      <w:r w:rsidRPr="00123627">
        <w:rPr>
          <w:rStyle w:val="Textoennegrita"/>
          <w:b w:val="0"/>
          <w:bCs w:val="0"/>
        </w:rPr>
        <w:t>n</w:t>
      </w:r>
      <w:r w:rsidRPr="00123627">
        <w:rPr>
          <w:rStyle w:val="Textoennegrita"/>
          <w:b w:val="0"/>
          <w:bCs w:val="0"/>
        </w:rPr>
        <w:t>ivel socioeconómico</w:t>
      </w:r>
      <w:r w:rsidRPr="00123627">
        <w:t>: medio-alto o alto, con capacidad adquisitiva para vehículos eléctricos de gama premium.</w:t>
      </w:r>
      <w:r>
        <w:t xml:space="preserve"> </w:t>
      </w:r>
      <w:r>
        <w:t xml:space="preserve">Desde el punto de vista geográfico, el público se concentra principalmente en </w:t>
      </w:r>
      <w:r>
        <w:rPr>
          <w:rStyle w:val="Textoennegrita"/>
        </w:rPr>
        <w:t>China</w:t>
      </w:r>
      <w:r>
        <w:t xml:space="preserve">, donde NIO tiene su mayor cuota de mercado, aunque la empresa está en plena expansión hacia </w:t>
      </w:r>
      <w:r>
        <w:rPr>
          <w:rStyle w:val="Textoennegrita"/>
        </w:rPr>
        <w:t>Europa</w:t>
      </w:r>
      <w:r>
        <w:t xml:space="preserve"> (especialmente en países como </w:t>
      </w:r>
      <w:r>
        <w:rPr>
          <w:rStyle w:val="Textoennegrita"/>
        </w:rPr>
        <w:t>Alemania, Noruega y Países Bajos</w:t>
      </w:r>
      <w:r>
        <w:t xml:space="preserve">) y también tiene presencia en </w:t>
      </w:r>
      <w:r>
        <w:rPr>
          <w:rStyle w:val="Textoennegrita"/>
        </w:rPr>
        <w:t>Estados Unidos</w:t>
      </w:r>
      <w:r>
        <w:t xml:space="preserve">. En cuanto al idioma, la web está disponible en </w:t>
      </w:r>
      <w:r w:rsidRPr="00C50F8A">
        <w:rPr>
          <w:rStyle w:val="Textoennegrita"/>
          <w:b w:val="0"/>
          <w:bCs w:val="0"/>
        </w:rPr>
        <w:lastRenderedPageBreak/>
        <w:t>chino e inglés</w:t>
      </w:r>
      <w:r>
        <w:t>, lo que refleja su enfoque internacional y su intención de llegar a un público global.</w:t>
      </w:r>
    </w:p>
    <w:p w14:paraId="3C4294F7" w14:textId="45B029D5" w:rsidR="00123627" w:rsidRDefault="00123627" w:rsidP="00123627">
      <w:r>
        <w:t>En definitiva, el sitio web de NIO está cuidadosamente diseñado para conectar con un público adulto, profesional y con alto poder adquisitivo, que valora la tecnología, el diseño y la sostenibilidad. A través de una presentación visual atractiva, contenido técnico detallado y una estructura orientada a la conversión, la web no solo promueve sus productos, sino que construye una experiencia de marca sólida y coherente con su estrategia global. Su enfoque internacional, reflejado en el idioma y la expansión geográfica, refuerza su intención de posicionarse como referente en el mercado de vehículos eléctricos premium.</w:t>
      </w:r>
    </w:p>
    <w:p w14:paraId="6FE37C77" w14:textId="052AC3C4" w:rsidR="00123627" w:rsidRDefault="00123627" w:rsidP="00123627"/>
    <w:p w14:paraId="54A4E448" w14:textId="77777777" w:rsidR="00123627" w:rsidRPr="00123627" w:rsidRDefault="00123627" w:rsidP="00123627">
      <w:pPr>
        <w:rPr>
          <w:rFonts w:cstheme="minorHAnsi"/>
        </w:rPr>
      </w:pPr>
    </w:p>
    <w:p w14:paraId="63D9F476" w14:textId="77777777" w:rsidR="00811086" w:rsidRPr="00811086" w:rsidRDefault="00811086">
      <w:pPr>
        <w:rPr>
          <w:rFonts w:cstheme="minorHAnsi"/>
          <w:sz w:val="44"/>
          <w:szCs w:val="44"/>
        </w:rPr>
      </w:pPr>
    </w:p>
    <w:sectPr w:rsidR="00811086" w:rsidRPr="00811086" w:rsidSect="00811086">
      <w:headerReference w:type="default" r:id="rId9"/>
      <w:footerReference w:type="default" r:id="rId10"/>
      <w:pgSz w:w="11906" w:h="16838"/>
      <w:pgMar w:top="1417" w:right="1701" w:bottom="1417" w:left="1701" w:header="11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CB0D0" w14:textId="77777777" w:rsidR="00786755" w:rsidRDefault="00786755" w:rsidP="00811086">
      <w:pPr>
        <w:spacing w:after="0" w:line="240" w:lineRule="auto"/>
      </w:pPr>
      <w:r>
        <w:separator/>
      </w:r>
    </w:p>
  </w:endnote>
  <w:endnote w:type="continuationSeparator" w:id="0">
    <w:p w14:paraId="77E6E1B3" w14:textId="77777777" w:rsidR="00786755" w:rsidRDefault="00786755" w:rsidP="008110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9517908"/>
      <w:docPartObj>
        <w:docPartGallery w:val="Page Numbers (Bottom of Page)"/>
        <w:docPartUnique/>
      </w:docPartObj>
    </w:sdtPr>
    <w:sdtContent>
      <w:p w14:paraId="3A738DAC" w14:textId="1A7D1D46" w:rsidR="00811086" w:rsidRDefault="0081108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D04916" w14:textId="77777777" w:rsidR="00811086" w:rsidRDefault="0081108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2C2C5C" w14:textId="77777777" w:rsidR="00786755" w:rsidRDefault="00786755" w:rsidP="00811086">
      <w:pPr>
        <w:spacing w:after="0" w:line="240" w:lineRule="auto"/>
      </w:pPr>
      <w:r>
        <w:separator/>
      </w:r>
    </w:p>
  </w:footnote>
  <w:footnote w:type="continuationSeparator" w:id="0">
    <w:p w14:paraId="4C9B8B69" w14:textId="77777777" w:rsidR="00786755" w:rsidRDefault="00786755" w:rsidP="008110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AC788" w14:textId="4E016DD2" w:rsidR="00811086" w:rsidRDefault="00811086">
    <w:pPr>
      <w:pStyle w:val="Encabezado"/>
    </w:pPr>
    <w:r>
      <w:rPr>
        <w:noProof/>
      </w:rPr>
      <w:drawing>
        <wp:inline distT="0" distB="0" distL="0" distR="0" wp14:anchorId="2BCAAE56" wp14:editId="485B2971">
          <wp:extent cx="1026936" cy="697995"/>
          <wp:effectExtent l="0" t="0" r="1905" b="6985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381" cy="713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       </w:t>
    </w:r>
    <w:r>
      <w:rPr>
        <w:noProof/>
      </w:rPr>
      <w:drawing>
        <wp:inline distT="0" distB="0" distL="0" distR="0" wp14:anchorId="6CE2556F" wp14:editId="323E7684">
          <wp:extent cx="1560885" cy="664788"/>
          <wp:effectExtent l="0" t="0" r="1270" b="0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495" cy="6748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</w:t>
    </w:r>
  </w:p>
  <w:p w14:paraId="33636C13" w14:textId="77777777" w:rsidR="00811086" w:rsidRDefault="0081108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BA1364"/>
    <w:multiLevelType w:val="hybridMultilevel"/>
    <w:tmpl w:val="3BF69B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C14207"/>
    <w:multiLevelType w:val="multilevel"/>
    <w:tmpl w:val="93FC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086"/>
    <w:rsid w:val="00123627"/>
    <w:rsid w:val="00227D67"/>
    <w:rsid w:val="002D425B"/>
    <w:rsid w:val="00536C33"/>
    <w:rsid w:val="005824B9"/>
    <w:rsid w:val="00786755"/>
    <w:rsid w:val="00811086"/>
    <w:rsid w:val="00A42212"/>
    <w:rsid w:val="00B20D56"/>
    <w:rsid w:val="00B231F8"/>
    <w:rsid w:val="00C50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6605B2"/>
  <w15:chartTrackingRefBased/>
  <w15:docId w15:val="{1A3CFFB8-1967-47CF-9D7F-76DA04B95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10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1086"/>
  </w:style>
  <w:style w:type="paragraph" w:styleId="Piedepgina">
    <w:name w:val="footer"/>
    <w:basedOn w:val="Normal"/>
    <w:link w:val="PiedepginaCar"/>
    <w:uiPriority w:val="99"/>
    <w:unhideWhenUsed/>
    <w:rsid w:val="008110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1086"/>
  </w:style>
  <w:style w:type="paragraph" w:styleId="Prrafodelista">
    <w:name w:val="List Paragraph"/>
    <w:basedOn w:val="Normal"/>
    <w:uiPriority w:val="34"/>
    <w:qFormat/>
    <w:rsid w:val="005824B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824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5824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738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C6265D-B5F1-45FF-847C-0A05B97B6E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</Pages>
  <Words>575</Words>
  <Characters>3165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LÓPEZ GARRIDO</dc:creator>
  <cp:keywords/>
  <dc:description/>
  <cp:lastModifiedBy>FERNANDO LÓPEZ GARRIDO</cp:lastModifiedBy>
  <cp:revision>1</cp:revision>
  <dcterms:created xsi:type="dcterms:W3CDTF">2025-11-03T07:21:00Z</dcterms:created>
  <dcterms:modified xsi:type="dcterms:W3CDTF">2025-11-03T09:55:00Z</dcterms:modified>
</cp:coreProperties>
</file>