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28/09/26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Toyota Hilux – CB25,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CB25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22/09/2026</w:t>
            </w:r>
            <w:r w:rsidR="0064553B" w:rsidRPr="0064553B"/>
            <w:r w:rsidRPr="0064553B"/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23/09/2026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23/09/2026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23/09/2026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CB25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Cadastro realizado</w:t>
            </w: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Classe configurada</w:t>
            </w: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Versão validada</w:t>
            </w: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Aplicação instalada</w:t>
            </w: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Firmware verificado</w:t>
            </w: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Endereçamento configurado</w:t>
            </w: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Comunicação validada</w:t>
            </w: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Arquivo aplicado</w:t>
            </w: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Positivo, negativo, pós-chave e aterramento verificados.</w:t>
            </w: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Interface operacional carregada sem falhas aparentes.</w:t>
            </w: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Comunicação validada para integração com servidor Fleet.</w:t>
            </w: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Posicionamento validado</w:t>
            </w: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Validação de acessórios, cabos e itens de fixação</w:t>
            </w: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Painel, GNSS, componentes embarcados e chicotes</w:t>
            </w: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(CB25)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(CB25)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