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46E78"/>
          <w:sz w:val="20"/>
        </w:rPr>
        <w:t>ESCUELA DE INFORMÁTICA Y TELECOMUNICACIONES</w:t>
        <w:br/>
        <w:t>ASIGNATURA: CAPSTONE (PTY4614)</w:t>
      </w:r>
    </w:p>
    <w:p>
      <w:pPr>
        <w:spacing w:before="160" w:after="80"/>
        <w:jc w:val="center"/>
      </w:pPr>
      <w:r>
        <w:rPr>
          <w:rFonts w:ascii="Arial" w:hAnsi="Arial"/>
          <w:b/>
          <w:color w:val="0F4C81"/>
          <w:sz w:val="32"/>
        </w:rPr>
        <w:t>GUÍA 1. DEFINICIÓN PROYECTO APT</w:t>
      </w:r>
    </w:p>
    <w:p>
      <w:pPr>
        <w:spacing w:after="280"/>
        <w:jc w:val="center"/>
      </w:pPr>
      <w:r>
        <w:rPr>
          <w:rFonts w:ascii="Arial" w:hAnsi="Arial"/>
          <w:i/>
          <w:color w:val="10955B"/>
          <w:sz w:val="21"/>
        </w:rPr>
        <w:t>Plataforma SaaS B2B para la Gestión Logística, Cuantificación de Materialidades y Declaración Oficial de la Ley REP (Chile)</w:t>
      </w:r>
    </w:p>
    <w:p>
      <w:pPr>
        <w:keepNext/>
        <w:spacing w:before="240" w:after="80"/>
      </w:pPr>
      <w:r>
        <w:rPr>
          <w:rFonts w:ascii="Arial" w:hAnsi="Arial"/>
          <w:b/>
          <w:color w:val="0F4C81"/>
          <w:sz w:val="26"/>
        </w:rPr>
        <w:t>PARTE I</w:t>
      </w:r>
    </w:p>
    <w:p>
      <w:pPr>
        <w:keepNext/>
        <w:spacing w:before="240" w:after="80"/>
      </w:pPr>
      <w:r>
        <w:rPr>
          <w:rFonts w:ascii="Arial" w:hAnsi="Arial"/>
          <w:b/>
          <w:color w:val="10955B"/>
          <w:sz w:val="22"/>
        </w:rPr>
        <w:t>1. Antecedentes Personales</w:t>
      </w:r>
    </w:p>
    <w:tbl>
      <w:tblPr>
        <w:tblW w:type="auto" w:w="0"/>
        <w:jc w:val="center"/>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r>
              <w:rPr>
                <w:rFonts w:ascii="Arial" w:hAnsi="Arial"/>
                <w:b/>
                <w:sz w:val="18"/>
              </w:rPr>
              <w:t>Nombre estudiante(s)</w:t>
            </w:r>
          </w:p>
        </w:tc>
        <w:tc>
          <w:tcPr>
            <w:tcW w:type="dxa" w:w="6192"/>
            <w:shd w:fill="FFFFFF"/>
            <w:tcMar>
              <w:top w:w="60" w:type="dxa"/>
              <w:bottom w:w="60" w:type="dxa"/>
              <w:left w:w="100" w:type="dxa"/>
              <w:right w:w="100" w:type="dxa"/>
            </w:tcMar>
          </w:tcPr>
          <w:p>
            <w:r>
              <w:rPr>
                <w:rFonts w:ascii="Arial" w:hAnsi="Arial"/>
                <w:sz w:val="18"/>
              </w:rPr>
              <w:t>Fernando &amp; Integrante de Equipo</w:t>
            </w:r>
          </w:p>
        </w:tc>
      </w:tr>
      <w:tr>
        <w:tc>
          <w:tcPr>
            <w:tcW w:type="dxa" w:w="3168"/>
            <w:shd w:fill="F4F6F9"/>
            <w:tcMar>
              <w:top w:w="60" w:type="dxa"/>
              <w:bottom w:w="60" w:type="dxa"/>
              <w:left w:w="100" w:type="dxa"/>
              <w:right w:w="100" w:type="dxa"/>
            </w:tcMar>
          </w:tcPr>
          <w:p>
            <w:r>
              <w:rPr>
                <w:rFonts w:ascii="Arial" w:hAnsi="Arial"/>
                <w:b/>
                <w:sz w:val="18"/>
              </w:rPr>
              <w:t>Rut</w:t>
            </w:r>
          </w:p>
        </w:tc>
        <w:tc>
          <w:tcPr>
            <w:tcW w:type="dxa" w:w="6192"/>
            <w:shd w:fill="FFFFFF"/>
            <w:tcMar>
              <w:top w:w="60" w:type="dxa"/>
              <w:bottom w:w="60" w:type="dxa"/>
              <w:left w:w="100" w:type="dxa"/>
              <w:right w:w="100" w:type="dxa"/>
            </w:tcMar>
          </w:tcPr>
          <w:p>
            <w:r>
              <w:rPr>
                <w:rFonts w:ascii="Arial" w:hAnsi="Arial"/>
                <w:sz w:val="18"/>
              </w:rPr>
              <w:t>[RUT Fernando] / [RUT Compañero]</w:t>
            </w:r>
          </w:p>
        </w:tc>
      </w:tr>
      <w:tr>
        <w:tc>
          <w:tcPr>
            <w:tcW w:type="dxa" w:w="3168"/>
            <w:shd w:fill="F4F6F9"/>
            <w:tcMar>
              <w:top w:w="60" w:type="dxa"/>
              <w:bottom w:w="60" w:type="dxa"/>
              <w:left w:w="100" w:type="dxa"/>
              <w:right w:w="100" w:type="dxa"/>
            </w:tcMar>
          </w:tcPr>
          <w:p>
            <w:r>
              <w:rPr>
                <w:rFonts w:ascii="Arial" w:hAnsi="Arial"/>
                <w:b/>
                <w:sz w:val="18"/>
              </w:rPr>
              <w:t>Carrera</w:t>
            </w:r>
          </w:p>
        </w:tc>
        <w:tc>
          <w:tcPr>
            <w:tcW w:type="dxa" w:w="6192"/>
            <w:shd w:fill="FFFFFF"/>
            <w:tcMar>
              <w:top w:w="60" w:type="dxa"/>
              <w:bottom w:w="60" w:type="dxa"/>
              <w:left w:w="100" w:type="dxa"/>
              <w:right w:w="100" w:type="dxa"/>
            </w:tcMar>
          </w:tcPr>
          <w:p>
            <w:r>
              <w:rPr>
                <w:rFonts w:ascii="Arial" w:hAnsi="Arial"/>
                <w:sz w:val="18"/>
              </w:rPr>
              <w:t>Ingeniería en Informática</w:t>
            </w:r>
          </w:p>
        </w:tc>
      </w:tr>
      <w:tr>
        <w:tc>
          <w:tcPr>
            <w:tcW w:type="dxa" w:w="3168"/>
            <w:shd w:fill="F4F6F9"/>
            <w:tcMar>
              <w:top w:w="60" w:type="dxa"/>
              <w:bottom w:w="60" w:type="dxa"/>
              <w:left w:w="100" w:type="dxa"/>
              <w:right w:w="100" w:type="dxa"/>
            </w:tcMar>
          </w:tcPr>
          <w:p>
            <w:r>
              <w:rPr>
                <w:rFonts w:ascii="Arial" w:hAnsi="Arial"/>
                <w:b/>
                <w:sz w:val="18"/>
              </w:rPr>
              <w:t>Sede</w:t>
            </w:r>
          </w:p>
        </w:tc>
        <w:tc>
          <w:tcPr>
            <w:tcW w:type="dxa" w:w="6192"/>
            <w:shd w:fill="FFFFFF"/>
            <w:tcMar>
              <w:top w:w="60" w:type="dxa"/>
              <w:bottom w:w="60" w:type="dxa"/>
              <w:left w:w="100" w:type="dxa"/>
              <w:right w:w="100" w:type="dxa"/>
            </w:tcMar>
          </w:tcPr>
          <w:p>
            <w:r>
              <w:rPr>
                <w:rFonts w:ascii="Arial" w:hAnsi="Arial"/>
                <w:sz w:val="18"/>
              </w:rPr>
              <w:t>Sede Maipú / Santiago</w:t>
            </w:r>
          </w:p>
        </w:tc>
      </w:tr>
      <w:tr>
        <w:tc>
          <w:tcPr>
            <w:tcW w:type="dxa" w:w="3168"/>
            <w:shd w:fill="F4F6F9"/>
            <w:tcMar>
              <w:top w:w="60" w:type="dxa"/>
              <w:bottom w:w="60" w:type="dxa"/>
              <w:left w:w="100" w:type="dxa"/>
              <w:right w:w="100" w:type="dxa"/>
            </w:tcMar>
          </w:tcPr>
          <w:p>
            <w:r>
              <w:rPr>
                <w:rFonts w:ascii="Arial" w:hAnsi="Arial"/>
                <w:b/>
                <w:sz w:val="18"/>
              </w:rPr>
              <w:t>Docente Asignatura</w:t>
            </w:r>
          </w:p>
        </w:tc>
        <w:tc>
          <w:tcPr>
            <w:tcW w:type="dxa" w:w="6192"/>
            <w:shd w:fill="FFFFFF"/>
            <w:tcMar>
              <w:top w:w="60" w:type="dxa"/>
              <w:bottom w:w="60" w:type="dxa"/>
              <w:left w:w="100" w:type="dxa"/>
              <w:right w:w="100" w:type="dxa"/>
            </w:tcMar>
          </w:tcPr>
          <w:p>
            <w:r>
              <w:rPr>
                <w:rFonts w:ascii="Arial" w:hAnsi="Arial"/>
                <w:sz w:val="18"/>
              </w:rPr>
              <w:t>Profesor Guía Capstone (PTY4614)</w:t>
            </w:r>
          </w:p>
        </w:tc>
      </w:tr>
    </w:tbl>
    <w:p>
      <w:pPr>
        <w:spacing w:after="80"/>
      </w:pPr>
    </w:p>
    <w:p>
      <w:pPr>
        <w:keepNext/>
        <w:spacing w:before="240" w:after="80"/>
      </w:pPr>
      <w:r>
        <w:rPr>
          <w:rFonts w:ascii="Arial" w:hAnsi="Arial"/>
          <w:b/>
          <w:color w:val="10955B"/>
          <w:sz w:val="22"/>
        </w:rPr>
        <w:t>2. Descripción Proyecto APT</w:t>
      </w:r>
    </w:p>
    <w:tbl>
      <w:tblPr>
        <w:tblW w:type="auto" w:w="0"/>
        <w:jc w:val="center"/>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r>
              <w:rPr>
                <w:rFonts w:ascii="Arial" w:hAnsi="Arial"/>
                <w:b/>
                <w:sz w:val="18"/>
              </w:rPr>
              <w:t>Nombre del proyecto</w:t>
            </w:r>
          </w:p>
        </w:tc>
        <w:tc>
          <w:tcPr>
            <w:tcW w:type="dxa" w:w="6192"/>
            <w:shd w:fill="FFFFFF"/>
            <w:tcMar>
              <w:top w:w="60" w:type="dxa"/>
              <w:bottom w:w="60" w:type="dxa"/>
              <w:left w:w="100" w:type="dxa"/>
              <w:right w:w="100" w:type="dxa"/>
            </w:tcMar>
          </w:tcPr>
          <w:p>
            <w:r>
              <w:rPr>
                <w:rFonts w:ascii="Arial" w:hAnsi="Arial"/>
                <w:sz w:val="17"/>
              </w:rPr>
              <w:t>Plataforma SaaS B2B para la Gestión Logística, Cuantificación de Materialidades y Declaración Oficial de la Ley REP (Chile)</w:t>
            </w:r>
          </w:p>
        </w:tc>
      </w:tr>
      <w:tr>
        <w:tc>
          <w:tcPr>
            <w:tcW w:type="dxa" w:w="3168"/>
            <w:shd w:fill="F4F6F9"/>
            <w:tcMar>
              <w:top w:w="60" w:type="dxa"/>
              <w:bottom w:w="60" w:type="dxa"/>
              <w:left w:w="100" w:type="dxa"/>
              <w:right w:w="100" w:type="dxa"/>
            </w:tcMar>
          </w:tcPr>
          <w:p>
            <w:r>
              <w:rPr>
                <w:rFonts w:ascii="Arial" w:hAnsi="Arial"/>
                <w:b/>
                <w:sz w:val="18"/>
              </w:rPr>
              <w:t>Área(s) de desempeño(s)</w:t>
            </w:r>
          </w:p>
        </w:tc>
        <w:tc>
          <w:tcPr>
            <w:tcW w:type="dxa" w:w="6192"/>
            <w:shd w:fill="FFFFFF"/>
            <w:tcMar>
              <w:top w:w="60" w:type="dxa"/>
              <w:bottom w:w="60" w:type="dxa"/>
              <w:left w:w="100" w:type="dxa"/>
              <w:right w:w="100" w:type="dxa"/>
            </w:tcMar>
          </w:tcPr>
          <w:p>
            <w:r>
              <w:rPr>
                <w:rFonts w:ascii="Arial" w:hAnsi="Arial"/>
                <w:sz w:val="17"/>
              </w:rPr>
              <w:t>Desarrollo y Arquitectura de Software Empresarial, Ingeniería y Normalización de Datos, Gestión Ágil de Proyectos y Aseguramiento de Calidad (QA).</w:t>
            </w:r>
          </w:p>
        </w:tc>
      </w:tr>
      <w:tr>
        <w:tc>
          <w:tcPr>
            <w:tcW w:type="dxa" w:w="3168"/>
            <w:shd w:fill="F4F6F9"/>
            <w:tcMar>
              <w:top w:w="60" w:type="dxa"/>
              <w:bottom w:w="60" w:type="dxa"/>
              <w:left w:w="100" w:type="dxa"/>
              <w:right w:w="100" w:type="dxa"/>
            </w:tcMar>
          </w:tcPr>
          <w:p>
            <w:r>
              <w:rPr>
                <w:rFonts w:ascii="Arial" w:hAnsi="Arial"/>
                <w:b/>
                <w:sz w:val="18"/>
              </w:rPr>
              <w:t>Competencias</w:t>
            </w:r>
          </w:p>
        </w:tc>
        <w:tc>
          <w:tcPr>
            <w:tcW w:type="dxa" w:w="6192"/>
            <w:shd w:fill="FFFFFF"/>
            <w:tcMar>
              <w:top w:w="60" w:type="dxa"/>
              <w:bottom w:w="60" w:type="dxa"/>
              <w:left w:w="100" w:type="dxa"/>
              <w:right w:w="100" w:type="dxa"/>
            </w:tcMar>
          </w:tcPr>
          <w:p>
            <w:r>
              <w:rPr>
                <w:rFonts w:ascii="Arial" w:hAnsi="Arial"/>
                <w:sz w:val="17"/>
              </w:rPr>
              <w:t>1. Realizar pruebas de certificación tanto de los productos como de los procesos utilizando buenas prácticas definidas por la industria.</w:t>
              <w:br/>
              <w:t>2. Gestionar proyectos informáticos, ofreciendo alternativas para la toma de decisiones de acuerdo a los requerimientos de la organización.</w:t>
              <w:br/>
              <w:t>3. Construir modelos de datos para soportar los requerimientos de la organización de acuerdo a un diseño definido y escalable en el tiempo.</w:t>
              <w:br/>
              <w:t>4. Desarrollar una solución de software utilizando técnicas que permitan sistematizar el proceso de desarrollo y mantenimiento, asegurando el logro de los objetivos.</w:t>
            </w:r>
          </w:p>
        </w:tc>
      </w:tr>
    </w:tbl>
    <w:p>
      <w:pPr>
        <w:spacing w:after="80"/>
      </w:pPr>
    </w:p>
    <w:p>
      <w:pPr>
        <w:keepNext/>
        <w:spacing w:before="240" w:after="80"/>
      </w:pPr>
      <w:r>
        <w:rPr>
          <w:rFonts w:ascii="Arial" w:hAnsi="Arial"/>
          <w:b/>
          <w:color w:val="10955B"/>
          <w:sz w:val="22"/>
        </w:rPr>
        <w:t>3. Fundamentación Proyecto APT</w:t>
      </w:r>
    </w:p>
    <w:tbl>
      <w:tblPr>
        <w:tblW w:type="auto" w:w="0"/>
        <w:jc w:val="center"/>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r>
              <w:rPr>
                <w:rFonts w:ascii="Arial" w:hAnsi="Arial"/>
                <w:b/>
                <w:sz w:val="18"/>
              </w:rPr>
              <w:t>Relevancia del proyecto APT</w:t>
            </w:r>
          </w:p>
        </w:tc>
        <w:tc>
          <w:tcPr>
            <w:tcW w:type="dxa" w:w="6192"/>
            <w:shd w:fill="FFFFFF"/>
            <w:tcMar>
              <w:top w:w="60" w:type="dxa"/>
              <w:bottom w:w="60" w:type="dxa"/>
              <w:left w:w="100" w:type="dxa"/>
              <w:right w:w="100" w:type="dxa"/>
            </w:tcMar>
          </w:tcPr>
          <w:p>
            <w:r>
              <w:rPr>
                <w:rFonts w:ascii="Arial" w:hAnsi="Arial"/>
                <w:sz w:val="17"/>
              </w:rPr>
              <w:t>En Chile, la Ley N° 20.920 (Responsabilidad Extendida del Productor o Ley REP) obliga a todas las empresas productoras e importadoras de productos envasados a cuantificar y declarar periódicamente el tonelaje de envases y embalajes (plásticos, papeles/cartones, metales, madera, vidrio) puestos en el mercado nacional. En la actualidad, las empresas intentan gestionar esta obligación cruzando manualmente enormes libros de ventas contra especificaciones de empaque en planillas de cálculo tradicionales. Esta práctica genera descalces matemáticos críticos, confusión en fórmulas y riesgos inminentes de sanciones impuestas por la Superintendencia del Medio Ambiente (SMA), con multas que ascienden a 10.000 UTA (miles de millones de pesos). El proyecto resuelve esta problemática mediante una plataforma SaaS B2B que automatiza la ingesta heterogénea de datos, aplica matrices logísticas de cálculo exacto y genera las declaraciones requeridas por los Grandes Sistemas Colectivos de Gestión (GRANSIC como ReSimple), transformando semanas de trabajo manual propenso a errores en una operación automatizada y auditable de pocos minutos.</w:t>
            </w:r>
          </w:p>
        </w:tc>
      </w:tr>
      <w:tr>
        <w:tc>
          <w:tcPr>
            <w:tcW w:type="dxa" w:w="3168"/>
            <w:shd w:fill="F4F6F9"/>
            <w:tcMar>
              <w:top w:w="60" w:type="dxa"/>
              <w:bottom w:w="60" w:type="dxa"/>
              <w:left w:w="100" w:type="dxa"/>
              <w:right w:w="100" w:type="dxa"/>
            </w:tcMar>
          </w:tcPr>
          <w:p>
            <w:r>
              <w:rPr>
                <w:rFonts w:ascii="Arial" w:hAnsi="Arial"/>
                <w:b/>
                <w:sz w:val="18"/>
              </w:rPr>
              <w:t>Descripción del Proyecto APT</w:t>
            </w:r>
          </w:p>
        </w:tc>
        <w:tc>
          <w:tcPr>
            <w:tcW w:type="dxa" w:w="6192"/>
            <w:shd w:fill="FFFFFF"/>
            <w:tcMar>
              <w:top w:w="60" w:type="dxa"/>
              <w:bottom w:w="60" w:type="dxa"/>
              <w:left w:w="100" w:type="dxa"/>
              <w:right w:w="100" w:type="dxa"/>
            </w:tcMar>
          </w:tcPr>
          <w:p>
            <w:r>
              <w:rPr>
                <w:rFonts w:ascii="Arial" w:hAnsi="Arial"/>
                <w:sz w:val="17"/>
              </w:rPr>
              <w:t>Se desarrollará e implementará una Single Page Application (SPA) web empresarial de alta precisión estructurada en cuatro módulos secuenciales: (1) Catálogo Técnico Multi-Empresa: Registro y administración del despiece de cada producto (SKU) en capas de material con sus pesos en gramos, ductilidad y peligrosidad, bajo aislamiento estricto por Razón Social (`razonSocialId`); (2) Ingesta Inteligente de Ventas: Parser capaz de leer planillas Excel no estructuradas de clientes, omitiendo automáticamente títulos institucionales, filas vacías y mapeando columnas de forma dinámica; (3) Motor de Cálculo y Clasificación: Motor analítico (`calculateTonnage.ts`) que procesa factores de embalaje logístico (unidades, cajas, pallets) y desagrega el tonelaje en canal Domiciliario (DOM) y No Domiciliario (NO DOM) con precisión de 6 decimales; y (4) Exportador Oficial Quirúrgico: Módulo en ExcelJS que toma la plantilla oficial `.xlsx` de ReSimple e inyecta los resultados en sus coordenadas exactas (columnas E, F, K y L) sin romper estilos, celdas bloqueadas ni macros preexistentes.</w:t>
            </w:r>
          </w:p>
        </w:tc>
      </w:tr>
      <w:tr>
        <w:tc>
          <w:tcPr>
            <w:tcW w:type="dxa" w:w="3168"/>
            <w:shd w:fill="F4F6F9"/>
            <w:tcMar>
              <w:top w:w="60" w:type="dxa"/>
              <w:bottom w:w="60" w:type="dxa"/>
              <w:left w:w="100" w:type="dxa"/>
              <w:right w:w="100" w:type="dxa"/>
            </w:tcMar>
          </w:tcPr>
          <w:p>
            <w:r>
              <w:rPr>
                <w:rFonts w:ascii="Arial" w:hAnsi="Arial"/>
                <w:b/>
                <w:sz w:val="18"/>
              </w:rPr>
              <w:t>Pertinencia del proyecto con el perfil de egreso</w:t>
            </w:r>
          </w:p>
        </w:tc>
        <w:tc>
          <w:tcPr>
            <w:tcW w:type="dxa" w:w="6192"/>
            <w:shd w:fill="FFFFFF"/>
            <w:tcMar>
              <w:top w:w="60" w:type="dxa"/>
              <w:bottom w:w="60" w:type="dxa"/>
              <w:left w:w="100" w:type="dxa"/>
              <w:right w:w="100" w:type="dxa"/>
            </w:tcMar>
          </w:tcPr>
          <w:p>
            <w:r>
              <w:rPr>
                <w:rFonts w:ascii="Arial" w:hAnsi="Arial"/>
                <w:sz w:val="17"/>
              </w:rPr>
              <w:t>El proyecto articula de forma sinérgica las cuatro áreas de formación del perfil de egreso de la carrera: (a) Modelos de Datos: Creación de un esquema multi-tenant desacoplado por Razón Social con snapshots mensuales inmutables (`razonSocialId::year::month`) para garantizar trazabilidad legal e histórica; (b) Desarrollo de Software: Construcción de una SPA con React 19, TypeScript 5.9 en modo estricto (sin `any`), Tailwind CSS 4 y manipulación binaria OOXML con SheetJS y ExcelJS; (c) Gestión de Proyectos: Aplicación de una metodología escalativa e incremental con tableros Kanban y control de versiones colaborativo; y (d) Pruebas de Certificación: Diseño y ejecución de matrices de prueba cruzada (QA de caja negra) comparando los resultados de la plataforma contra macros corporativas certificadas.</w:t>
            </w:r>
          </w:p>
        </w:tc>
      </w:tr>
      <w:tr>
        <w:tc>
          <w:tcPr>
            <w:tcW w:type="dxa" w:w="3168"/>
            <w:shd w:fill="F4F6F9"/>
            <w:tcMar>
              <w:top w:w="60" w:type="dxa"/>
              <w:bottom w:w="60" w:type="dxa"/>
              <w:left w:w="100" w:type="dxa"/>
              <w:right w:w="100" w:type="dxa"/>
            </w:tcMar>
          </w:tcPr>
          <w:p>
            <w:r>
              <w:rPr>
                <w:rFonts w:ascii="Arial" w:hAnsi="Arial"/>
                <w:b/>
                <w:sz w:val="18"/>
              </w:rPr>
              <w:t>Relación con los intereses profesionales</w:t>
            </w:r>
          </w:p>
        </w:tc>
        <w:tc>
          <w:tcPr>
            <w:tcW w:type="dxa" w:w="6192"/>
            <w:shd w:fill="FFFFFF"/>
            <w:tcMar>
              <w:top w:w="60" w:type="dxa"/>
              <w:bottom w:w="60" w:type="dxa"/>
              <w:left w:w="100" w:type="dxa"/>
              <w:right w:w="100" w:type="dxa"/>
            </w:tcMar>
          </w:tcPr>
          <w:p>
            <w:r>
              <w:rPr>
                <w:rFonts w:ascii="Arial" w:hAnsi="Arial"/>
                <w:sz w:val="17"/>
              </w:rPr>
              <w:t>El proyecto responde a la motivación del equipo de especializarse en Arquitectura de Software Full-Stack, Ingeniería de Datos y Desarrollo de Sistemas B2B de Misión Crítica. Enfrentar desafíos del mundo real —como el procesamiento de datos sucios en hojas de cálculo corporativas, el desarrollo de interfaces minimalistas de alta productividad y la implementación de algoritmos de tolerancia a cambios normativos— proporciona competencias prácticas de alto valor demandadas por la industria tecnológica y corporativa actual.</w:t>
            </w:r>
          </w:p>
        </w:tc>
      </w:tr>
      <w:tr>
        <w:tc>
          <w:tcPr>
            <w:tcW w:type="dxa" w:w="3168"/>
            <w:shd w:fill="F4F6F9"/>
            <w:tcMar>
              <w:top w:w="60" w:type="dxa"/>
              <w:bottom w:w="60" w:type="dxa"/>
              <w:left w:w="100" w:type="dxa"/>
              <w:right w:w="100" w:type="dxa"/>
            </w:tcMar>
          </w:tcPr>
          <w:p>
            <w:r>
              <w:rPr>
                <w:rFonts w:ascii="Arial" w:hAnsi="Arial"/>
                <w:b/>
                <w:sz w:val="18"/>
              </w:rPr>
              <w:t>Factibilidad de desarrollo del Proyecto APT</w:t>
            </w:r>
          </w:p>
        </w:tc>
        <w:tc>
          <w:tcPr>
            <w:tcW w:type="dxa" w:w="6192"/>
            <w:shd w:fill="FFFFFF"/>
            <w:tcMar>
              <w:top w:w="60" w:type="dxa"/>
              <w:bottom w:w="60" w:type="dxa"/>
              <w:left w:w="100" w:type="dxa"/>
              <w:right w:w="100" w:type="dxa"/>
            </w:tcMar>
          </w:tcPr>
          <w:p>
            <w:r>
              <w:rPr>
                <w:rFonts w:ascii="Arial" w:hAnsi="Arial"/>
                <w:sz w:val="17"/>
              </w:rPr>
              <w:t>El proyecto es plenamente viable dentro del marco académico semestral: (a) Temporal: El cronograma de 18 semanas se ajusta a la división por escalones de madurez técnica; (b) Recursos Técnicos: Se emplea un stack moderno y eficiente (React 19, Vite 8, TypeScript 5.9, Tailwind CSS 4) soportado en herramientas de desarrollo avanzadas (Cursor IDE con Claude); (c) Facilitadores: Acceso a especificaciones normativas vigentes, plantillas oficiales de ReSimple (2025/2026) y datasets reales de ventas proporcionados por empresas del sector (ej. Prinorte); y (d) Obstaculizadores y Mitigación: Ante la desalineación estructural entre filas DOM y NO DOM en las plantillas de gobierno, se implementó una arquitectura con registros de índices independientes y normalización taxonómica agresiva (`resimpleTemplateMatching.ts`).</w:t>
            </w:r>
          </w:p>
        </w:tc>
      </w:tr>
    </w:tbl>
    <w:p>
      <w:pPr>
        <w:spacing w:after="120"/>
      </w:pPr>
    </w:p>
    <w:p>
      <w:pPr>
        <w:keepNext/>
        <w:spacing w:before="240" w:after="80"/>
      </w:pPr>
      <w:r>
        <w:rPr>
          <w:rFonts w:ascii="Arial" w:hAnsi="Arial"/>
          <w:b/>
          <w:color w:val="0F4C81"/>
          <w:sz w:val="26"/>
        </w:rPr>
        <w:t>PARTE II</w:t>
      </w:r>
    </w:p>
    <w:p>
      <w:pPr>
        <w:keepNext/>
        <w:spacing w:before="240" w:after="80"/>
      </w:pPr>
      <w:r>
        <w:rPr>
          <w:rFonts w:ascii="Arial" w:hAnsi="Arial"/>
          <w:b/>
          <w:color w:val="10955B"/>
          <w:sz w:val="22"/>
        </w:rPr>
        <w:t>4. Objetivos</w:t>
      </w:r>
    </w:p>
    <w:tbl>
      <w:tblPr>
        <w:tblW w:type="auto" w:w="0"/>
        <w:jc w:val="center"/>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r>
              <w:rPr>
                <w:rFonts w:ascii="Arial" w:hAnsi="Arial"/>
                <w:b/>
                <w:sz w:val="18"/>
              </w:rPr>
              <w:t>Objetivo general</w:t>
            </w:r>
          </w:p>
        </w:tc>
        <w:tc>
          <w:tcPr>
            <w:tcW w:type="dxa" w:w="6192"/>
            <w:shd w:fill="FFFFFF"/>
            <w:tcMar>
              <w:top w:w="60" w:type="dxa"/>
              <w:bottom w:w="60" w:type="dxa"/>
              <w:left w:w="100" w:type="dxa"/>
              <w:right w:w="100" w:type="dxa"/>
            </w:tcMar>
          </w:tcPr>
          <w:p>
            <w:r>
              <w:rPr>
                <w:rFonts w:ascii="Arial" w:hAnsi="Arial"/>
                <w:sz w:val="17"/>
              </w:rPr>
              <w:t>Diseñar, desarrollar e implementar una plataforma de software SaaS B2B para la parametrización de catálogos técnicos de envases, procesamiento dinámico de ventas y generación automatizada de declaraciones oficiales de la Ley REP (Ley N° 20.920) en Chile, garantizando un 100% de precisión matemática y la preservación estructural de la plantilla oficial de ReSimple.</w:t>
            </w:r>
          </w:p>
        </w:tc>
      </w:tr>
      <w:tr>
        <w:tc>
          <w:tcPr>
            <w:tcW w:type="dxa" w:w="3168"/>
            <w:shd w:fill="F4F6F9"/>
            <w:tcMar>
              <w:top w:w="60" w:type="dxa"/>
              <w:bottom w:w="60" w:type="dxa"/>
              <w:left w:w="100" w:type="dxa"/>
              <w:right w:w="100" w:type="dxa"/>
            </w:tcMar>
          </w:tcPr>
          <w:p>
            <w:r>
              <w:rPr>
                <w:rFonts w:ascii="Arial" w:hAnsi="Arial"/>
                <w:b/>
                <w:sz w:val="18"/>
              </w:rPr>
              <w:t>Objetivos específicos</w:t>
            </w:r>
          </w:p>
        </w:tc>
        <w:tc>
          <w:tcPr>
            <w:tcW w:type="dxa" w:w="6192"/>
            <w:shd w:fill="FFFFFF"/>
            <w:tcMar>
              <w:top w:w="60" w:type="dxa"/>
              <w:bottom w:w="60" w:type="dxa"/>
              <w:left w:w="100" w:type="dxa"/>
              <w:right w:w="100" w:type="dxa"/>
            </w:tcMar>
          </w:tcPr>
          <w:p>
            <w:r>
              <w:rPr>
                <w:rFonts w:ascii="Arial" w:hAnsi="Arial"/>
                <w:sz w:val="17"/>
              </w:rPr>
              <w:t>1. Diseñar un módulo de ingesta y mapeo dinámico de datos capaz de procesar planillas Excel con estructuras heterogéneas, filas vacías y metadatos no tabulares.</w:t>
              <w:br/>
              <w:t>2. Implementar un motor de cálculo y clasificación REP que procese materialidades, pesos unitarios, reglas logísticas y segmentación DOM / NO DOM con precisión de 6 decimales.</w:t>
              <w:br/>
              <w:t>3. Desarrollar un exportador binario basado en ExcelJS que inyecte de manera no destructiva los resultados en las coordenadas oficiales de la plantilla ReSimple mediante normalización taxonómica y registros independientes.</w:t>
              <w:br/>
              <w:t>4. Validar la robustez y exactitud del sistema mediante pruebas de certificación de caja negra y aseguramiento de calidad (QA) cruzado frente a macros corporativas de auditoría.</w:t>
            </w:r>
          </w:p>
        </w:tc>
      </w:tr>
    </w:tbl>
    <w:p>
      <w:pPr>
        <w:spacing w:after="80"/>
      </w:pPr>
    </w:p>
    <w:p>
      <w:pPr>
        <w:keepNext/>
        <w:spacing w:before="240" w:after="80"/>
      </w:pPr>
      <w:r>
        <w:rPr>
          <w:rFonts w:ascii="Arial" w:hAnsi="Arial"/>
          <w:b/>
          <w:color w:val="10955B"/>
          <w:sz w:val="22"/>
        </w:rPr>
        <w:t>5. Metodología</w:t>
      </w:r>
    </w:p>
    <w:p>
      <w:pPr>
        <w:spacing w:after="80" w:line="276" w:lineRule="auto"/>
        <w:jc w:val="both"/>
      </w:pPr>
      <w:r>
        <w:rPr>
          <w:rFonts w:ascii="Arial" w:hAnsi="Arial"/>
          <w:b/>
          <w:color w:val="282C34"/>
          <w:sz w:val="19"/>
        </w:rPr>
        <w:t xml:space="preserve">Descripción del Enfoque Escalativo: </w:t>
      </w:r>
      <w:r>
        <w:rPr>
          <w:rFonts w:ascii="Arial" w:hAnsi="Arial"/>
          <w:i w:val="0"/>
          <w:color w:val="282C34"/>
          <w:sz w:val="19"/>
        </w:rPr>
        <w:t>El proyecto adopta una Metodología Escalativa (Incremental / Evolutiva) adaptada a ciclos ágiles de trabajo en equipo. Este enfoque consiste en estructurar la solución en 'escalones de madurez' arquitectónica y funcional, donde cada fase entrega un incremento de software estable, testeado y auditable que sirve de cimiento firme para el escalón superior. La gestión operacional se apoya en tableros Kanban para el flujo continuo de tareas y reuniones semanales de sincronización técnica.</w:t>
      </w:r>
    </w:p>
    <w:p>
      <w:pPr>
        <w:spacing w:after="80" w:line="276" w:lineRule="auto"/>
        <w:jc w:val="both"/>
      </w:pPr>
      <w:r>
        <w:rPr>
          <w:rFonts w:ascii="Arial" w:hAnsi="Arial"/>
          <w:i w:val="0"/>
          <w:color w:val="282C34"/>
          <w:sz w:val="19"/>
        </w:rPr>
        <w:t>• Escalón 1 (Ingesta y Parametrización): Modelado de catálogos técnicos por SKU y desarrollo del parser dinámico de Excel para ingesta heterogénea.</w:t>
        <w:br/>
        <w:t>• Escalón 2 (Motor de Negocio y Clasificación REP): Construcción de algoritmos de cálculo de tonelaje, reglas logísticas y distribución porcentual DOM / NO DOM.</w:t>
        <w:br/>
        <w:t>• Escalón 3 (Integración y Exportación Quirúrgica): Implementación de inyección binaria con ExcelJS y resolución de desalineaciones verticales de plantillas.</w:t>
        <w:br/>
        <w:t>• Escalón 4 (Escalabilidad Enterprise y Cierre): Validación cruzada QA contra macros, rediseño de Dashboard corporativo y preparación de defensa de título.</w:t>
      </w:r>
    </w:p>
    <w:p>
      <w:pPr>
        <w:spacing w:after="80" w:line="276" w:lineRule="auto"/>
        <w:jc w:val="both"/>
      </w:pPr>
      <w:r>
        <w:rPr>
          <w:rFonts w:ascii="Arial" w:hAnsi="Arial"/>
          <w:b/>
          <w:color w:val="282C34"/>
          <w:sz w:val="19"/>
        </w:rPr>
        <w:t xml:space="preserve">Distribución de Funciones y Responsabilidades del Equipo: </w:t>
      </w:r>
      <w:r>
        <w:rPr>
          <w:rFonts w:ascii="Arial" w:hAnsi="Arial"/>
          <w:i w:val="0"/>
          <w:color w:val="282C34"/>
          <w:sz w:val="19"/>
        </w:rPr>
        <w:t>• Fernando (Líder Técnico &amp; Core Engine): Responsable de la arquitectura lógica, algoritmos de cálculo (`calculateTonnage.ts`), desarrollo del exportador binario ExcelJS, normalización taxonómica y compatibilidad de plantillas oficiales.</w:t>
        <w:br/>
        <w:t>• Integrante de Equipo (Frontend Engineer &amp; QA / Datos): Responsable de la construcción de interfaces modulares con Tailwind CSS, tablas interactivas con TanStack Table, diseño y ejecución de matrices de prueba de QA cruzado y carga de datasets corporativos de prueba.</w:t>
      </w:r>
    </w:p>
    <w:p>
      <w:pPr>
        <w:spacing w:after="80"/>
      </w:pPr>
    </w:p>
    <w:p>
      <w:pPr>
        <w:keepNext/>
        <w:spacing w:before="240" w:after="80"/>
      </w:pPr>
      <w:r>
        <w:rPr>
          <w:rFonts w:ascii="Arial" w:hAnsi="Arial"/>
          <w:b/>
          <w:color w:val="10955B"/>
          <w:sz w:val="22"/>
        </w:rPr>
        <w:t>6. Evidencias</w:t>
      </w:r>
    </w:p>
    <w:tbl>
      <w:tblPr>
        <w:tblW w:type="auto" w:w="0"/>
        <w:jc w:val="center"/>
        <w:tblLook w:firstColumn="1" w:firstRow="1" w:lastColumn="0" w:lastRow="0" w:noHBand="0" w:noVBand="1" w:val="04A0"/>
      </w:tblPr>
      <w:tblGrid>
        <w:gridCol w:w="2340"/>
        <w:gridCol w:w="2340"/>
        <w:gridCol w:w="2340"/>
        <w:gridCol w:w="2340"/>
      </w:tblGrid>
      <w:tr>
        <w:tc>
          <w:tcPr>
            <w:tcW w:type="dxa" w:w="2340"/>
            <w:shd w:fill="0F4C81"/>
            <w:tcMar>
              <w:top w:w="60" w:type="dxa"/>
              <w:bottom w:w="60" w:type="dxa"/>
              <w:left w:w="80" w:type="dxa"/>
              <w:right w:w="80" w:type="dxa"/>
            </w:tcMar>
          </w:tcPr>
          <w:p>
            <w:r>
              <w:rPr>
                <w:rFonts w:ascii="Arial" w:hAnsi="Arial"/>
                <w:b/>
                <w:color w:val="FFFFFF"/>
                <w:sz w:val="17"/>
              </w:rPr>
              <w:t>Tipo de evidencia</w:t>
            </w:r>
          </w:p>
        </w:tc>
        <w:tc>
          <w:tcPr>
            <w:tcW w:type="dxa" w:w="2340"/>
            <w:shd w:fill="0F4C81"/>
            <w:tcMar>
              <w:top w:w="60" w:type="dxa"/>
              <w:bottom w:w="60" w:type="dxa"/>
              <w:left w:w="80" w:type="dxa"/>
              <w:right w:w="80" w:type="dxa"/>
            </w:tcMar>
          </w:tcPr>
          <w:p>
            <w:r>
              <w:rPr>
                <w:rFonts w:ascii="Arial" w:hAnsi="Arial"/>
                <w:b/>
                <w:color w:val="FFFFFF"/>
                <w:sz w:val="17"/>
              </w:rPr>
              <w:t>Nombre de la evidencia</w:t>
            </w:r>
          </w:p>
        </w:tc>
        <w:tc>
          <w:tcPr>
            <w:tcW w:type="dxa" w:w="2340"/>
            <w:shd w:fill="0F4C81"/>
            <w:tcMar>
              <w:top w:w="60" w:type="dxa"/>
              <w:bottom w:w="60" w:type="dxa"/>
              <w:left w:w="80" w:type="dxa"/>
              <w:right w:w="80" w:type="dxa"/>
            </w:tcMar>
          </w:tcPr>
          <w:p>
            <w:r>
              <w:rPr>
                <w:rFonts w:ascii="Arial" w:hAnsi="Arial"/>
                <w:b/>
                <w:color w:val="FFFFFF"/>
                <w:sz w:val="17"/>
              </w:rPr>
              <w:t>Descripción</w:t>
            </w:r>
          </w:p>
        </w:tc>
        <w:tc>
          <w:tcPr>
            <w:tcW w:type="dxa" w:w="2340"/>
            <w:shd w:fill="0F4C81"/>
            <w:tcMar>
              <w:top w:w="60" w:type="dxa"/>
              <w:bottom w:w="60" w:type="dxa"/>
              <w:left w:w="80" w:type="dxa"/>
              <w:right w:w="80" w:type="dxa"/>
            </w:tcMar>
          </w:tcPr>
          <w:p>
            <w:r>
              <w:rPr>
                <w:rFonts w:ascii="Arial" w:hAnsi="Arial"/>
                <w:b/>
                <w:color w:val="FFFFFF"/>
                <w:sz w:val="17"/>
              </w:rPr>
              <w:t>Justificación</w:t>
            </w:r>
          </w:p>
        </w:tc>
      </w:tr>
      <w:tr>
        <w:tc>
          <w:tcPr>
            <w:tcW w:type="dxa" w:w="2340"/>
            <w:shd w:fill="F9FAFB"/>
            <w:tcMar>
              <w:top w:w="50" w:type="dxa"/>
              <w:bottom w:w="50" w:type="dxa"/>
              <w:left w:w="70" w:type="dxa"/>
              <w:right w:w="70" w:type="dxa"/>
            </w:tcMar>
          </w:tcPr>
          <w:p>
            <w:r>
              <w:rPr>
                <w:rFonts w:ascii="Arial" w:hAnsi="Arial"/>
                <w:sz w:val="16"/>
              </w:rPr>
              <w:t>Avance (Fase 1)</w:t>
            </w:r>
          </w:p>
        </w:tc>
        <w:tc>
          <w:tcPr>
            <w:tcW w:type="dxa" w:w="2340"/>
            <w:shd w:fill="F9FAFB"/>
            <w:tcMar>
              <w:top w:w="50" w:type="dxa"/>
              <w:bottom w:w="50" w:type="dxa"/>
              <w:left w:w="70" w:type="dxa"/>
              <w:right w:w="70" w:type="dxa"/>
            </w:tcMar>
          </w:tcPr>
          <w:p>
            <w:r>
              <w:rPr>
                <w:rFonts w:ascii="Arial" w:hAnsi="Arial"/>
                <w:sz w:val="16"/>
              </w:rPr>
              <w:t>Documento de Arquitectura y .cursorrules</w:t>
            </w:r>
          </w:p>
        </w:tc>
        <w:tc>
          <w:tcPr>
            <w:tcW w:type="dxa" w:w="2340"/>
            <w:shd w:fill="F9FAFB"/>
            <w:tcMar>
              <w:top w:w="50" w:type="dxa"/>
              <w:bottom w:w="50" w:type="dxa"/>
              <w:left w:w="70" w:type="dxa"/>
              <w:right w:w="70" w:type="dxa"/>
            </w:tcMar>
          </w:tcPr>
          <w:p>
            <w:r>
              <w:rPr>
                <w:rFonts w:ascii="Arial" w:hAnsi="Arial"/>
                <w:sz w:val="16"/>
              </w:rPr>
              <w:t>Especificación técnica de contratos TypeScript, reglas de inyección Excel y directrices de diseño.</w:t>
            </w:r>
          </w:p>
        </w:tc>
        <w:tc>
          <w:tcPr>
            <w:tcW w:type="dxa" w:w="2340"/>
            <w:shd w:fill="F9FAFB"/>
            <w:tcMar>
              <w:top w:w="50" w:type="dxa"/>
              <w:bottom w:w="50" w:type="dxa"/>
              <w:left w:w="70" w:type="dxa"/>
              <w:right w:w="70" w:type="dxa"/>
            </w:tcMar>
          </w:tcPr>
          <w:p>
            <w:r>
              <w:rPr>
                <w:rFonts w:ascii="Arial" w:hAnsi="Arial"/>
                <w:sz w:val="16"/>
              </w:rPr>
              <w:t>Demuestra la planificación formal y el estándar de ingeniería previo a la codificación masiva.</w:t>
            </w:r>
          </w:p>
        </w:tc>
      </w:tr>
      <w:tr>
        <w:tc>
          <w:tcPr>
            <w:tcW w:type="dxa" w:w="2340"/>
            <w:shd w:fill="FFFFFF"/>
            <w:tcMar>
              <w:top w:w="50" w:type="dxa"/>
              <w:bottom w:w="50" w:type="dxa"/>
              <w:left w:w="70" w:type="dxa"/>
              <w:right w:w="70" w:type="dxa"/>
            </w:tcMar>
          </w:tcPr>
          <w:p>
            <w:r>
              <w:rPr>
                <w:rFonts w:ascii="Arial" w:hAnsi="Arial"/>
                <w:sz w:val="16"/>
              </w:rPr>
              <w:t>Avance (Fase 2)</w:t>
            </w:r>
          </w:p>
        </w:tc>
        <w:tc>
          <w:tcPr>
            <w:tcW w:type="dxa" w:w="2340"/>
            <w:shd w:fill="FFFFFF"/>
            <w:tcMar>
              <w:top w:w="50" w:type="dxa"/>
              <w:bottom w:w="50" w:type="dxa"/>
              <w:left w:w="70" w:type="dxa"/>
              <w:right w:w="70" w:type="dxa"/>
            </w:tcMar>
          </w:tcPr>
          <w:p>
            <w:r>
              <w:rPr>
                <w:rFonts w:ascii="Arial" w:hAnsi="Arial"/>
                <w:sz w:val="16"/>
              </w:rPr>
              <w:t>Acta de Validación Cruzada (QA)</w:t>
            </w:r>
          </w:p>
        </w:tc>
        <w:tc>
          <w:tcPr>
            <w:tcW w:type="dxa" w:w="2340"/>
            <w:shd w:fill="FFFFFF"/>
            <w:tcMar>
              <w:top w:w="50" w:type="dxa"/>
              <w:bottom w:w="50" w:type="dxa"/>
              <w:left w:w="70" w:type="dxa"/>
              <w:right w:w="70" w:type="dxa"/>
            </w:tcMar>
          </w:tcPr>
          <w:p>
            <w:r>
              <w:rPr>
                <w:rFonts w:ascii="Arial" w:hAnsi="Arial"/>
                <w:sz w:val="16"/>
              </w:rPr>
              <w:t>Tabla comparativa entre los cálculos del software y la macro de auditoría interna de Mayo 2026.</w:t>
            </w:r>
          </w:p>
        </w:tc>
        <w:tc>
          <w:tcPr>
            <w:tcW w:type="dxa" w:w="2340"/>
            <w:shd w:fill="FFFFFF"/>
            <w:tcMar>
              <w:top w:w="50" w:type="dxa"/>
              <w:bottom w:w="50" w:type="dxa"/>
              <w:left w:w="70" w:type="dxa"/>
              <w:right w:w="70" w:type="dxa"/>
            </w:tcMar>
          </w:tcPr>
          <w:p>
            <w:r>
              <w:rPr>
                <w:rFonts w:ascii="Arial" w:hAnsi="Arial"/>
                <w:sz w:val="16"/>
              </w:rPr>
              <w:t>Certifica la concordancia matemática al 100% y la correcta inversión de ratios DOM/NO DOM.</w:t>
            </w:r>
          </w:p>
        </w:tc>
      </w:tr>
      <w:tr>
        <w:tc>
          <w:tcPr>
            <w:tcW w:type="dxa" w:w="2340"/>
            <w:shd w:fill="F9FAFB"/>
            <w:tcMar>
              <w:top w:w="50" w:type="dxa"/>
              <w:bottom w:w="50" w:type="dxa"/>
              <w:left w:w="70" w:type="dxa"/>
              <w:right w:w="70" w:type="dxa"/>
            </w:tcMar>
          </w:tcPr>
          <w:p>
            <w:r>
              <w:rPr>
                <w:rFonts w:ascii="Arial" w:hAnsi="Arial"/>
                <w:sz w:val="16"/>
              </w:rPr>
              <w:t>Final (Fase 3)</w:t>
            </w:r>
          </w:p>
        </w:tc>
        <w:tc>
          <w:tcPr>
            <w:tcW w:type="dxa" w:w="2340"/>
            <w:shd w:fill="F9FAFB"/>
            <w:tcMar>
              <w:top w:w="50" w:type="dxa"/>
              <w:bottom w:w="50" w:type="dxa"/>
              <w:left w:w="70" w:type="dxa"/>
              <w:right w:w="70" w:type="dxa"/>
            </w:tcMar>
          </w:tcPr>
          <w:p>
            <w:r>
              <w:rPr>
                <w:rFonts w:ascii="Arial" w:hAnsi="Arial"/>
                <w:sz w:val="16"/>
              </w:rPr>
              <w:t>Planilla Oficial Exportada (.xlsx)</w:t>
            </w:r>
          </w:p>
        </w:tc>
        <w:tc>
          <w:tcPr>
            <w:tcW w:type="dxa" w:w="2340"/>
            <w:shd w:fill="F9FAFB"/>
            <w:tcMar>
              <w:top w:w="50" w:type="dxa"/>
              <w:bottom w:w="50" w:type="dxa"/>
              <w:left w:w="70" w:type="dxa"/>
              <w:right w:w="70" w:type="dxa"/>
            </w:tcMar>
          </w:tcPr>
          <w:p>
            <w:r>
              <w:rPr>
                <w:rFonts w:ascii="Arial" w:hAnsi="Arial"/>
                <w:sz w:val="16"/>
              </w:rPr>
              <w:t>Archivo generado por ExcelJS inyectado con los datos del período sobre la plantilla de ReSimple.</w:t>
            </w:r>
          </w:p>
        </w:tc>
        <w:tc>
          <w:tcPr>
            <w:tcW w:type="dxa" w:w="2340"/>
            <w:shd w:fill="F9FAFB"/>
            <w:tcMar>
              <w:top w:w="50" w:type="dxa"/>
              <w:bottom w:w="50" w:type="dxa"/>
              <w:left w:w="70" w:type="dxa"/>
              <w:right w:w="70" w:type="dxa"/>
            </w:tcMar>
          </w:tcPr>
          <w:p>
            <w:r>
              <w:rPr>
                <w:rFonts w:ascii="Arial" w:hAnsi="Arial"/>
                <w:sz w:val="16"/>
              </w:rPr>
              <w:t>Comprueba la capacidad de integración no destructiva sin alterar el formato exigido por el regulador.</w:t>
            </w:r>
          </w:p>
        </w:tc>
      </w:tr>
      <w:tr>
        <w:tc>
          <w:tcPr>
            <w:tcW w:type="dxa" w:w="2340"/>
            <w:shd w:fill="FFFFFF"/>
            <w:tcMar>
              <w:top w:w="50" w:type="dxa"/>
              <w:bottom w:w="50" w:type="dxa"/>
              <w:left w:w="70" w:type="dxa"/>
              <w:right w:w="70" w:type="dxa"/>
            </w:tcMar>
          </w:tcPr>
          <w:p>
            <w:r>
              <w:rPr>
                <w:rFonts w:ascii="Arial" w:hAnsi="Arial"/>
                <w:sz w:val="16"/>
              </w:rPr>
              <w:t>Final (Fase 3)</w:t>
            </w:r>
          </w:p>
        </w:tc>
        <w:tc>
          <w:tcPr>
            <w:tcW w:type="dxa" w:w="2340"/>
            <w:shd w:fill="FFFFFF"/>
            <w:tcMar>
              <w:top w:w="50" w:type="dxa"/>
              <w:bottom w:w="50" w:type="dxa"/>
              <w:left w:w="70" w:type="dxa"/>
              <w:right w:w="70" w:type="dxa"/>
            </w:tcMar>
          </w:tcPr>
          <w:p>
            <w:r>
              <w:rPr>
                <w:rFonts w:ascii="Arial" w:hAnsi="Arial"/>
                <w:sz w:val="16"/>
              </w:rPr>
              <w:t>Repositorio Git y Software Funcional</w:t>
            </w:r>
          </w:p>
        </w:tc>
        <w:tc>
          <w:tcPr>
            <w:tcW w:type="dxa" w:w="2340"/>
            <w:shd w:fill="FFFFFF"/>
            <w:tcMar>
              <w:top w:w="50" w:type="dxa"/>
              <w:bottom w:w="50" w:type="dxa"/>
              <w:left w:w="70" w:type="dxa"/>
              <w:right w:w="70" w:type="dxa"/>
            </w:tcMar>
          </w:tcPr>
          <w:p>
            <w:r>
              <w:rPr>
                <w:rFonts w:ascii="Arial" w:hAnsi="Arial"/>
                <w:sz w:val="16"/>
              </w:rPr>
              <w:t>Historial de commits, control de ramas de trabajo y aplicación web SPA operativa.</w:t>
            </w:r>
          </w:p>
        </w:tc>
        <w:tc>
          <w:tcPr>
            <w:tcW w:type="dxa" w:w="2340"/>
            <w:shd w:fill="FFFFFF"/>
            <w:tcMar>
              <w:top w:w="50" w:type="dxa"/>
              <w:bottom w:w="50" w:type="dxa"/>
              <w:left w:w="70" w:type="dxa"/>
              <w:right w:w="70" w:type="dxa"/>
            </w:tcMar>
          </w:tcPr>
          <w:p>
            <w:r>
              <w:rPr>
                <w:rFonts w:ascii="Arial" w:hAnsi="Arial"/>
                <w:sz w:val="16"/>
              </w:rPr>
              <w:t>Acredita el trabajo colaborativo en equipo, la mantenibilidad del código y el cumplimiento de objetivos.</w:t>
            </w:r>
          </w:p>
        </w:tc>
      </w:tr>
    </w:tbl>
    <w:p>
      <w:pPr>
        <w:spacing w:after="120"/>
      </w:pPr>
    </w:p>
    <w:p>
      <w:pPr>
        <w:keepNext/>
        <w:spacing w:before="240" w:after="80"/>
      </w:pPr>
      <w:r>
        <w:rPr>
          <w:rFonts w:ascii="Arial" w:hAnsi="Arial"/>
          <w:b/>
          <w:color w:val="10955B"/>
          <w:sz w:val="22"/>
        </w:rPr>
        <w:t>7. Plan de Trabajo</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0955B"/>
            <w:tcMar>
              <w:top w:w="50" w:type="dxa"/>
              <w:bottom w:w="50" w:type="dxa"/>
              <w:left w:w="50" w:type="dxa"/>
              <w:right w:w="50" w:type="dxa"/>
            </w:tcMar>
          </w:tcPr>
          <w:p>
            <w:r>
              <w:rPr>
                <w:rFonts w:ascii="Arial" w:hAnsi="Arial"/>
                <w:b/>
                <w:color w:val="FFFFFF"/>
                <w:sz w:val="15"/>
              </w:rPr>
              <w:t>Competencia</w:t>
            </w:r>
          </w:p>
        </w:tc>
        <w:tc>
          <w:tcPr>
            <w:tcW w:type="dxa" w:w="1337"/>
            <w:shd w:fill="10955B"/>
            <w:tcMar>
              <w:top w:w="50" w:type="dxa"/>
              <w:bottom w:w="50" w:type="dxa"/>
              <w:left w:w="50" w:type="dxa"/>
              <w:right w:w="50" w:type="dxa"/>
            </w:tcMar>
          </w:tcPr>
          <w:p>
            <w:r>
              <w:rPr>
                <w:rFonts w:ascii="Arial" w:hAnsi="Arial"/>
                <w:b/>
                <w:color w:val="FFFFFF"/>
                <w:sz w:val="15"/>
              </w:rPr>
              <w:t>Actividad / Tarea</w:t>
            </w:r>
          </w:p>
        </w:tc>
        <w:tc>
          <w:tcPr>
            <w:tcW w:type="dxa" w:w="1337"/>
            <w:shd w:fill="10955B"/>
            <w:tcMar>
              <w:top w:w="50" w:type="dxa"/>
              <w:bottom w:w="50" w:type="dxa"/>
              <w:left w:w="50" w:type="dxa"/>
              <w:right w:w="50" w:type="dxa"/>
            </w:tcMar>
          </w:tcPr>
          <w:p>
            <w:r>
              <w:rPr>
                <w:rFonts w:ascii="Arial" w:hAnsi="Arial"/>
                <w:b/>
                <w:color w:val="FFFFFF"/>
                <w:sz w:val="15"/>
              </w:rPr>
              <w:t>Descripción</w:t>
            </w:r>
          </w:p>
        </w:tc>
        <w:tc>
          <w:tcPr>
            <w:tcW w:type="dxa" w:w="1337"/>
            <w:shd w:fill="10955B"/>
            <w:tcMar>
              <w:top w:w="50" w:type="dxa"/>
              <w:bottom w:w="50" w:type="dxa"/>
              <w:left w:w="50" w:type="dxa"/>
              <w:right w:w="50" w:type="dxa"/>
            </w:tcMar>
          </w:tcPr>
          <w:p>
            <w:r>
              <w:rPr>
                <w:rFonts w:ascii="Arial" w:hAnsi="Arial"/>
                <w:b/>
                <w:color w:val="FFFFFF"/>
                <w:sz w:val="15"/>
              </w:rPr>
              <w:t>Recursos</w:t>
            </w:r>
          </w:p>
        </w:tc>
        <w:tc>
          <w:tcPr>
            <w:tcW w:type="dxa" w:w="1337"/>
            <w:shd w:fill="10955B"/>
            <w:tcMar>
              <w:top w:w="50" w:type="dxa"/>
              <w:bottom w:w="50" w:type="dxa"/>
              <w:left w:w="50" w:type="dxa"/>
              <w:right w:w="50" w:type="dxa"/>
            </w:tcMar>
          </w:tcPr>
          <w:p>
            <w:r>
              <w:rPr>
                <w:rFonts w:ascii="Arial" w:hAnsi="Arial"/>
                <w:b/>
                <w:color w:val="FFFFFF"/>
                <w:sz w:val="15"/>
              </w:rPr>
              <w:t>Duración</w:t>
            </w:r>
          </w:p>
        </w:tc>
        <w:tc>
          <w:tcPr>
            <w:tcW w:type="dxa" w:w="1337"/>
            <w:shd w:fill="10955B"/>
            <w:tcMar>
              <w:top w:w="50" w:type="dxa"/>
              <w:bottom w:w="50" w:type="dxa"/>
              <w:left w:w="50" w:type="dxa"/>
              <w:right w:w="50" w:type="dxa"/>
            </w:tcMar>
          </w:tcPr>
          <w:p>
            <w:r>
              <w:rPr>
                <w:rFonts w:ascii="Arial" w:hAnsi="Arial"/>
                <w:b/>
                <w:color w:val="FFFFFF"/>
                <w:sz w:val="15"/>
              </w:rPr>
              <w:t>Responsable</w:t>
            </w:r>
          </w:p>
        </w:tc>
        <w:tc>
          <w:tcPr>
            <w:tcW w:type="dxa" w:w="1337"/>
            <w:shd w:fill="10955B"/>
            <w:tcMar>
              <w:top w:w="50" w:type="dxa"/>
              <w:bottom w:w="50" w:type="dxa"/>
              <w:left w:w="50" w:type="dxa"/>
              <w:right w:w="50" w:type="dxa"/>
            </w:tcMar>
          </w:tcPr>
          <w:p>
            <w:r>
              <w:rPr>
                <w:rFonts w:ascii="Arial" w:hAnsi="Arial"/>
                <w:b/>
                <w:color w:val="FFFFFF"/>
                <w:sz w:val="15"/>
              </w:rPr>
              <w:t>Observaciones</w:t>
            </w:r>
          </w:p>
        </w:tc>
      </w:tr>
      <w:tr>
        <w:tc>
          <w:tcPr>
            <w:tcW w:type="dxa" w:w="1337"/>
            <w:shd w:fill="F9FAFB"/>
            <w:tcMar>
              <w:top w:w="40" w:type="dxa"/>
              <w:bottom w:w="40" w:type="dxa"/>
              <w:left w:w="50" w:type="dxa"/>
              <w:right w:w="50" w:type="dxa"/>
            </w:tcMar>
          </w:tcPr>
          <w:p>
            <w:r>
              <w:rPr>
                <w:rFonts w:ascii="Arial" w:hAnsi="Arial"/>
                <w:sz w:val="14"/>
              </w:rPr>
              <w:t>Gestión de Proyectos</w:t>
            </w:r>
          </w:p>
        </w:tc>
        <w:tc>
          <w:tcPr>
            <w:tcW w:type="dxa" w:w="1337"/>
            <w:shd w:fill="F9FAFB"/>
            <w:tcMar>
              <w:top w:w="40" w:type="dxa"/>
              <w:bottom w:w="40" w:type="dxa"/>
              <w:left w:w="50" w:type="dxa"/>
              <w:right w:w="50" w:type="dxa"/>
            </w:tcMar>
          </w:tcPr>
          <w:p>
            <w:r>
              <w:rPr>
                <w:rFonts w:ascii="Arial" w:hAnsi="Arial"/>
                <w:sz w:val="14"/>
              </w:rPr>
              <w:t>Levantamiento y Definición</w:t>
            </w:r>
          </w:p>
        </w:tc>
        <w:tc>
          <w:tcPr>
            <w:tcW w:type="dxa" w:w="1337"/>
            <w:shd w:fill="F9FAFB"/>
            <w:tcMar>
              <w:top w:w="40" w:type="dxa"/>
              <w:bottom w:w="40" w:type="dxa"/>
              <w:left w:w="50" w:type="dxa"/>
              <w:right w:w="50" w:type="dxa"/>
            </w:tcMar>
          </w:tcPr>
          <w:p>
            <w:r>
              <w:rPr>
                <w:rFonts w:ascii="Arial" w:hAnsi="Arial"/>
                <w:sz w:val="14"/>
              </w:rPr>
              <w:t>Análisis normativo Ley REP, requisitos del sistema y redacción de Guía 1.</w:t>
            </w:r>
          </w:p>
        </w:tc>
        <w:tc>
          <w:tcPr>
            <w:tcW w:type="dxa" w:w="1337"/>
            <w:shd w:fill="F9FAFB"/>
            <w:tcMar>
              <w:top w:w="40" w:type="dxa"/>
              <w:bottom w:w="40" w:type="dxa"/>
              <w:left w:w="50" w:type="dxa"/>
              <w:right w:w="50" w:type="dxa"/>
            </w:tcMar>
          </w:tcPr>
          <w:p>
            <w:r>
              <w:rPr>
                <w:rFonts w:ascii="Arial" w:hAnsi="Arial"/>
                <w:sz w:val="14"/>
              </w:rPr>
              <w:t>Ley N° 20.920, pauta Capstone.</w:t>
            </w:r>
          </w:p>
        </w:tc>
        <w:tc>
          <w:tcPr>
            <w:tcW w:type="dxa" w:w="1337"/>
            <w:shd w:fill="F9FAFB"/>
            <w:tcMar>
              <w:top w:w="40" w:type="dxa"/>
              <w:bottom w:w="40" w:type="dxa"/>
              <w:left w:w="50" w:type="dxa"/>
              <w:right w:w="50" w:type="dxa"/>
            </w:tcMar>
          </w:tcPr>
          <w:p>
            <w:r>
              <w:rPr>
                <w:rFonts w:ascii="Arial" w:hAnsi="Arial"/>
                <w:sz w:val="14"/>
              </w:rPr>
              <w:t>Sem 1–3</w:t>
            </w:r>
          </w:p>
        </w:tc>
        <w:tc>
          <w:tcPr>
            <w:tcW w:type="dxa" w:w="1337"/>
            <w:shd w:fill="F9FAFB"/>
            <w:tcMar>
              <w:top w:w="40" w:type="dxa"/>
              <w:bottom w:w="40" w:type="dxa"/>
              <w:left w:w="50" w:type="dxa"/>
              <w:right w:w="50" w:type="dxa"/>
            </w:tcMar>
          </w:tcPr>
          <w:p>
            <w:r>
              <w:rPr>
                <w:rFonts w:ascii="Arial" w:hAnsi="Arial"/>
                <w:sz w:val="14"/>
              </w:rPr>
              <w:t>Dupla</w:t>
            </w:r>
          </w:p>
        </w:tc>
        <w:tc>
          <w:tcPr>
            <w:tcW w:type="dxa" w:w="1337"/>
            <w:shd w:fill="F9FAFB"/>
            <w:tcMar>
              <w:top w:w="40" w:type="dxa"/>
              <w:bottom w:w="40" w:type="dxa"/>
              <w:left w:w="50" w:type="dxa"/>
              <w:right w:w="50" w:type="dxa"/>
            </w:tcMar>
          </w:tcPr>
          <w:p>
            <w:r>
              <w:rPr>
                <w:rFonts w:ascii="Arial" w:hAnsi="Arial"/>
                <w:sz w:val="14"/>
              </w:rPr>
              <w:t>Facilitador: Documentación oficial clara.</w:t>
              <w:br/>
              <w:t>Obstáculo: Ambigüedad legal.</w:t>
            </w:r>
          </w:p>
        </w:tc>
      </w:tr>
      <w:tr>
        <w:tc>
          <w:tcPr>
            <w:tcW w:type="dxa" w:w="1337"/>
            <w:shd w:fill="FFFFFF"/>
            <w:tcMar>
              <w:top w:w="40" w:type="dxa"/>
              <w:bottom w:w="40" w:type="dxa"/>
              <w:left w:w="50" w:type="dxa"/>
              <w:right w:w="50" w:type="dxa"/>
            </w:tcMar>
          </w:tcPr>
          <w:p>
            <w:r>
              <w:rPr>
                <w:rFonts w:ascii="Arial" w:hAnsi="Arial"/>
                <w:sz w:val="14"/>
              </w:rPr>
              <w:t>Modelos de Datos</w:t>
            </w:r>
          </w:p>
        </w:tc>
        <w:tc>
          <w:tcPr>
            <w:tcW w:type="dxa" w:w="1337"/>
            <w:shd w:fill="FFFFFF"/>
            <w:tcMar>
              <w:top w:w="40" w:type="dxa"/>
              <w:bottom w:w="40" w:type="dxa"/>
              <w:left w:w="50" w:type="dxa"/>
              <w:right w:w="50" w:type="dxa"/>
            </w:tcMar>
          </w:tcPr>
          <w:p>
            <w:r>
              <w:rPr>
                <w:rFonts w:ascii="Arial" w:hAnsi="Arial"/>
                <w:sz w:val="14"/>
              </w:rPr>
              <w:t>Modelado de Datos y Tipado</w:t>
            </w:r>
          </w:p>
        </w:tc>
        <w:tc>
          <w:tcPr>
            <w:tcW w:type="dxa" w:w="1337"/>
            <w:shd w:fill="FFFFFF"/>
            <w:tcMar>
              <w:top w:w="40" w:type="dxa"/>
              <w:bottom w:w="40" w:type="dxa"/>
              <w:left w:w="50" w:type="dxa"/>
              <w:right w:w="50" w:type="dxa"/>
            </w:tcMar>
          </w:tcPr>
          <w:p>
            <w:r>
              <w:rPr>
                <w:rFonts w:ascii="Arial" w:hAnsi="Arial"/>
                <w:sz w:val="14"/>
              </w:rPr>
              <w:t>Definición de tipos TS (`ProductSku`, `RepMatrixEntry`) y arquitectura multi-tenant.</w:t>
            </w:r>
          </w:p>
        </w:tc>
        <w:tc>
          <w:tcPr>
            <w:tcW w:type="dxa" w:w="1337"/>
            <w:shd w:fill="FFFFFF"/>
            <w:tcMar>
              <w:top w:w="40" w:type="dxa"/>
              <w:bottom w:w="40" w:type="dxa"/>
              <w:left w:w="50" w:type="dxa"/>
              <w:right w:w="50" w:type="dxa"/>
            </w:tcMar>
          </w:tcPr>
          <w:p>
            <w:r>
              <w:rPr>
                <w:rFonts w:ascii="Arial" w:hAnsi="Arial"/>
                <w:sz w:val="14"/>
              </w:rPr>
              <w:t>TypeScript 5.9, VS Code / Cursor.</w:t>
            </w:r>
          </w:p>
        </w:tc>
        <w:tc>
          <w:tcPr>
            <w:tcW w:type="dxa" w:w="1337"/>
            <w:shd w:fill="FFFFFF"/>
            <w:tcMar>
              <w:top w:w="40" w:type="dxa"/>
              <w:bottom w:w="40" w:type="dxa"/>
              <w:left w:w="50" w:type="dxa"/>
              <w:right w:w="50" w:type="dxa"/>
            </w:tcMar>
          </w:tcPr>
          <w:p>
            <w:r>
              <w:rPr>
                <w:rFonts w:ascii="Arial" w:hAnsi="Arial"/>
                <w:sz w:val="14"/>
              </w:rPr>
              <w:t>Sem 4–6</w:t>
            </w:r>
          </w:p>
        </w:tc>
        <w:tc>
          <w:tcPr>
            <w:tcW w:type="dxa" w:w="1337"/>
            <w:shd w:fill="FFFFFF"/>
            <w:tcMar>
              <w:top w:w="40" w:type="dxa"/>
              <w:bottom w:w="40" w:type="dxa"/>
              <w:left w:w="50" w:type="dxa"/>
              <w:right w:w="50" w:type="dxa"/>
            </w:tcMar>
          </w:tcPr>
          <w:p>
            <w:r>
              <w:rPr>
                <w:rFonts w:ascii="Arial" w:hAnsi="Arial"/>
                <w:sz w:val="14"/>
              </w:rPr>
              <w:t>Fernando</w:t>
            </w:r>
          </w:p>
        </w:tc>
        <w:tc>
          <w:tcPr>
            <w:tcW w:type="dxa" w:w="1337"/>
            <w:shd w:fill="FFFFFF"/>
            <w:tcMar>
              <w:top w:w="40" w:type="dxa"/>
              <w:bottom w:w="40" w:type="dxa"/>
              <w:left w:w="50" w:type="dxa"/>
              <w:right w:w="50" w:type="dxa"/>
            </w:tcMar>
          </w:tcPr>
          <w:p>
            <w:r>
              <w:rPr>
                <w:rFonts w:ascii="Arial" w:hAnsi="Arial"/>
                <w:sz w:val="14"/>
              </w:rPr>
              <w:t>Facilitador: Tipado estricto.</w:t>
              <w:br/>
              <w:t>Obstáculo: Definir llaves snapshot.</w:t>
            </w:r>
          </w:p>
        </w:tc>
      </w:tr>
      <w:tr>
        <w:tc>
          <w:tcPr>
            <w:tcW w:type="dxa" w:w="1337"/>
            <w:shd w:fill="F9FAFB"/>
            <w:tcMar>
              <w:top w:w="40" w:type="dxa"/>
              <w:bottom w:w="40" w:type="dxa"/>
              <w:left w:w="50" w:type="dxa"/>
              <w:right w:w="50" w:type="dxa"/>
            </w:tcMar>
          </w:tcPr>
          <w:p>
            <w:r>
              <w:rPr>
                <w:rFonts w:ascii="Arial" w:hAnsi="Arial"/>
                <w:sz w:val="14"/>
              </w:rPr>
              <w:t>Solución de Software</w:t>
            </w:r>
          </w:p>
        </w:tc>
        <w:tc>
          <w:tcPr>
            <w:tcW w:type="dxa" w:w="1337"/>
            <w:shd w:fill="F9FAFB"/>
            <w:tcMar>
              <w:top w:w="40" w:type="dxa"/>
              <w:bottom w:w="40" w:type="dxa"/>
              <w:left w:w="50" w:type="dxa"/>
              <w:right w:w="50" w:type="dxa"/>
            </w:tcMar>
          </w:tcPr>
          <w:p>
            <w:r>
              <w:rPr>
                <w:rFonts w:ascii="Arial" w:hAnsi="Arial"/>
                <w:sz w:val="14"/>
              </w:rPr>
              <w:t>Desarrollo del Core Lógico</w:t>
            </w:r>
          </w:p>
        </w:tc>
        <w:tc>
          <w:tcPr>
            <w:tcW w:type="dxa" w:w="1337"/>
            <w:shd w:fill="F9FAFB"/>
            <w:tcMar>
              <w:top w:w="40" w:type="dxa"/>
              <w:bottom w:w="40" w:type="dxa"/>
              <w:left w:w="50" w:type="dxa"/>
              <w:right w:w="50" w:type="dxa"/>
            </w:tcMar>
          </w:tcPr>
          <w:p>
            <w:r>
              <w:rPr>
                <w:rFonts w:ascii="Arial" w:hAnsi="Arial"/>
                <w:sz w:val="14"/>
              </w:rPr>
              <w:t>Construcción de `calculateTonnage.ts`, matriz logística y parsing de ventas.</w:t>
            </w:r>
          </w:p>
        </w:tc>
        <w:tc>
          <w:tcPr>
            <w:tcW w:type="dxa" w:w="1337"/>
            <w:shd w:fill="F9FAFB"/>
            <w:tcMar>
              <w:top w:w="40" w:type="dxa"/>
              <w:bottom w:w="40" w:type="dxa"/>
              <w:left w:w="50" w:type="dxa"/>
              <w:right w:w="50" w:type="dxa"/>
            </w:tcMar>
          </w:tcPr>
          <w:p>
            <w:r>
              <w:rPr>
                <w:rFonts w:ascii="Arial" w:hAnsi="Arial"/>
                <w:sz w:val="14"/>
              </w:rPr>
              <w:t>React 19, Vite 8, SheetJS.</w:t>
            </w:r>
          </w:p>
        </w:tc>
        <w:tc>
          <w:tcPr>
            <w:tcW w:type="dxa" w:w="1337"/>
            <w:shd w:fill="F9FAFB"/>
            <w:tcMar>
              <w:top w:w="40" w:type="dxa"/>
              <w:bottom w:w="40" w:type="dxa"/>
              <w:left w:w="50" w:type="dxa"/>
              <w:right w:w="50" w:type="dxa"/>
            </w:tcMar>
          </w:tcPr>
          <w:p>
            <w:r>
              <w:rPr>
                <w:rFonts w:ascii="Arial" w:hAnsi="Arial"/>
                <w:sz w:val="14"/>
              </w:rPr>
              <w:t>Sem 7–10</w:t>
            </w:r>
          </w:p>
        </w:tc>
        <w:tc>
          <w:tcPr>
            <w:tcW w:type="dxa" w:w="1337"/>
            <w:shd w:fill="F9FAFB"/>
            <w:tcMar>
              <w:top w:w="40" w:type="dxa"/>
              <w:bottom w:w="40" w:type="dxa"/>
              <w:left w:w="50" w:type="dxa"/>
              <w:right w:w="50" w:type="dxa"/>
            </w:tcMar>
          </w:tcPr>
          <w:p>
            <w:r>
              <w:rPr>
                <w:rFonts w:ascii="Arial" w:hAnsi="Arial"/>
                <w:sz w:val="14"/>
              </w:rPr>
              <w:t>Fernando / Integrante</w:t>
            </w:r>
          </w:p>
        </w:tc>
        <w:tc>
          <w:tcPr>
            <w:tcW w:type="dxa" w:w="1337"/>
            <w:shd w:fill="F9FAFB"/>
            <w:tcMar>
              <w:top w:w="40" w:type="dxa"/>
              <w:bottom w:w="40" w:type="dxa"/>
              <w:left w:w="50" w:type="dxa"/>
              <w:right w:w="50" w:type="dxa"/>
            </w:tcMar>
          </w:tcPr>
          <w:p>
            <w:r>
              <w:rPr>
                <w:rFonts w:ascii="Arial" w:hAnsi="Arial"/>
                <w:sz w:val="14"/>
              </w:rPr>
              <w:t>Facilitador: Librerías especializadas.</w:t>
              <w:br/>
              <w:t>Obstáculo: Archivos de entrada sucios.</w:t>
            </w:r>
          </w:p>
        </w:tc>
      </w:tr>
      <w:tr>
        <w:tc>
          <w:tcPr>
            <w:tcW w:type="dxa" w:w="1337"/>
            <w:shd w:fill="FFFFFF"/>
            <w:tcMar>
              <w:top w:w="40" w:type="dxa"/>
              <w:bottom w:w="40" w:type="dxa"/>
              <w:left w:w="50" w:type="dxa"/>
              <w:right w:w="50" w:type="dxa"/>
            </w:tcMar>
          </w:tcPr>
          <w:p>
            <w:r>
              <w:rPr>
                <w:rFonts w:ascii="Arial" w:hAnsi="Arial"/>
                <w:sz w:val="14"/>
              </w:rPr>
              <w:t>Solución de Software</w:t>
            </w:r>
          </w:p>
        </w:tc>
        <w:tc>
          <w:tcPr>
            <w:tcW w:type="dxa" w:w="1337"/>
            <w:shd w:fill="FFFFFF"/>
            <w:tcMar>
              <w:top w:w="40" w:type="dxa"/>
              <w:bottom w:w="40" w:type="dxa"/>
              <w:left w:w="50" w:type="dxa"/>
              <w:right w:w="50" w:type="dxa"/>
            </w:tcMar>
          </w:tcPr>
          <w:p>
            <w:r>
              <w:rPr>
                <w:rFonts w:ascii="Arial" w:hAnsi="Arial"/>
                <w:sz w:val="14"/>
              </w:rPr>
              <w:t>Exportador Oficial ReSimple</w:t>
            </w:r>
          </w:p>
        </w:tc>
        <w:tc>
          <w:tcPr>
            <w:tcW w:type="dxa" w:w="1337"/>
            <w:shd w:fill="FFFFFF"/>
            <w:tcMar>
              <w:top w:w="40" w:type="dxa"/>
              <w:bottom w:w="40" w:type="dxa"/>
              <w:left w:w="50" w:type="dxa"/>
              <w:right w:w="50" w:type="dxa"/>
            </w:tcMar>
          </w:tcPr>
          <w:p>
            <w:r>
              <w:rPr>
                <w:rFonts w:ascii="Arial" w:hAnsi="Arial"/>
                <w:sz w:val="14"/>
              </w:rPr>
              <w:t>Desarrollo de inyección con ExcelJS y resolución de desalineaciones verticales.</w:t>
            </w:r>
          </w:p>
        </w:tc>
        <w:tc>
          <w:tcPr>
            <w:tcW w:type="dxa" w:w="1337"/>
            <w:shd w:fill="FFFFFF"/>
            <w:tcMar>
              <w:top w:w="40" w:type="dxa"/>
              <w:bottom w:w="40" w:type="dxa"/>
              <w:left w:w="50" w:type="dxa"/>
              <w:right w:w="50" w:type="dxa"/>
            </w:tcMar>
          </w:tcPr>
          <w:p>
            <w:r>
              <w:rPr>
                <w:rFonts w:ascii="Arial" w:hAnsi="Arial"/>
                <w:sz w:val="14"/>
              </w:rPr>
              <w:t>ExcelJS, plantilla ReSimple 2026.</w:t>
            </w:r>
          </w:p>
        </w:tc>
        <w:tc>
          <w:tcPr>
            <w:tcW w:type="dxa" w:w="1337"/>
            <w:shd w:fill="FFFFFF"/>
            <w:tcMar>
              <w:top w:w="40" w:type="dxa"/>
              <w:bottom w:w="40" w:type="dxa"/>
              <w:left w:w="50" w:type="dxa"/>
              <w:right w:w="50" w:type="dxa"/>
            </w:tcMar>
          </w:tcPr>
          <w:p>
            <w:r>
              <w:rPr>
                <w:rFonts w:ascii="Arial" w:hAnsi="Arial"/>
                <w:sz w:val="14"/>
              </w:rPr>
              <w:t>Sem 11–13</w:t>
            </w:r>
          </w:p>
        </w:tc>
        <w:tc>
          <w:tcPr>
            <w:tcW w:type="dxa" w:w="1337"/>
            <w:shd w:fill="FFFFFF"/>
            <w:tcMar>
              <w:top w:w="40" w:type="dxa"/>
              <w:bottom w:w="40" w:type="dxa"/>
              <w:left w:w="50" w:type="dxa"/>
              <w:right w:w="50" w:type="dxa"/>
            </w:tcMar>
          </w:tcPr>
          <w:p>
            <w:r>
              <w:rPr>
                <w:rFonts w:ascii="Arial" w:hAnsi="Arial"/>
                <w:sz w:val="14"/>
              </w:rPr>
              <w:t>Fernando</w:t>
            </w:r>
          </w:p>
        </w:tc>
        <w:tc>
          <w:tcPr>
            <w:tcW w:type="dxa" w:w="1337"/>
            <w:shd w:fill="FFFFFF"/>
            <w:tcMar>
              <w:top w:w="40" w:type="dxa"/>
              <w:bottom w:w="40" w:type="dxa"/>
              <w:left w:w="50" w:type="dxa"/>
              <w:right w:w="50" w:type="dxa"/>
            </w:tcMar>
          </w:tcPr>
          <w:p>
            <w:r>
              <w:rPr>
                <w:rFonts w:ascii="Arial" w:hAnsi="Arial"/>
                <w:sz w:val="14"/>
              </w:rPr>
              <w:t>Facilitador: Soporte de buffer binario.</w:t>
              <w:br/>
              <w:t>Obstáculo: Filas desfasadas en plantilla.</w:t>
            </w:r>
          </w:p>
        </w:tc>
      </w:tr>
      <w:tr>
        <w:tc>
          <w:tcPr>
            <w:tcW w:type="dxa" w:w="1337"/>
            <w:shd w:fill="F9FAFB"/>
            <w:tcMar>
              <w:top w:w="40" w:type="dxa"/>
              <w:bottom w:w="40" w:type="dxa"/>
              <w:left w:w="50" w:type="dxa"/>
              <w:right w:w="50" w:type="dxa"/>
            </w:tcMar>
          </w:tcPr>
          <w:p>
            <w:r>
              <w:rPr>
                <w:rFonts w:ascii="Arial" w:hAnsi="Arial"/>
                <w:sz w:val="14"/>
              </w:rPr>
              <w:t>Pruebas de Certificación</w:t>
            </w:r>
          </w:p>
        </w:tc>
        <w:tc>
          <w:tcPr>
            <w:tcW w:type="dxa" w:w="1337"/>
            <w:shd w:fill="F9FAFB"/>
            <w:tcMar>
              <w:top w:w="40" w:type="dxa"/>
              <w:bottom w:w="40" w:type="dxa"/>
              <w:left w:w="50" w:type="dxa"/>
              <w:right w:w="50" w:type="dxa"/>
            </w:tcMar>
          </w:tcPr>
          <w:p>
            <w:r>
              <w:rPr>
                <w:rFonts w:ascii="Arial" w:hAnsi="Arial"/>
                <w:sz w:val="14"/>
              </w:rPr>
              <w:t>Testing y QA Cruzado</w:t>
            </w:r>
          </w:p>
        </w:tc>
        <w:tc>
          <w:tcPr>
            <w:tcW w:type="dxa" w:w="1337"/>
            <w:shd w:fill="F9FAFB"/>
            <w:tcMar>
              <w:top w:w="40" w:type="dxa"/>
              <w:bottom w:w="40" w:type="dxa"/>
              <w:left w:w="50" w:type="dxa"/>
              <w:right w:w="50" w:type="dxa"/>
            </w:tcMar>
          </w:tcPr>
          <w:p>
            <w:r>
              <w:rPr>
                <w:rFonts w:ascii="Arial" w:hAnsi="Arial"/>
                <w:sz w:val="14"/>
              </w:rPr>
              <w:t>Ejecución de pruebas de consistencia contra macros corporativas y pulido de UI.</w:t>
            </w:r>
          </w:p>
        </w:tc>
        <w:tc>
          <w:tcPr>
            <w:tcW w:type="dxa" w:w="1337"/>
            <w:shd w:fill="F9FAFB"/>
            <w:tcMar>
              <w:top w:w="40" w:type="dxa"/>
              <w:bottom w:w="40" w:type="dxa"/>
              <w:left w:w="50" w:type="dxa"/>
              <w:right w:w="50" w:type="dxa"/>
            </w:tcMar>
          </w:tcPr>
          <w:p>
            <w:r>
              <w:rPr>
                <w:rFonts w:ascii="Arial" w:hAnsi="Arial"/>
                <w:sz w:val="14"/>
              </w:rPr>
              <w:t>Datasets de ventas reales (Prinorte).</w:t>
            </w:r>
          </w:p>
        </w:tc>
        <w:tc>
          <w:tcPr>
            <w:tcW w:type="dxa" w:w="1337"/>
            <w:shd w:fill="F9FAFB"/>
            <w:tcMar>
              <w:top w:w="40" w:type="dxa"/>
              <w:bottom w:w="40" w:type="dxa"/>
              <w:left w:w="50" w:type="dxa"/>
              <w:right w:w="50" w:type="dxa"/>
            </w:tcMar>
          </w:tcPr>
          <w:p>
            <w:r>
              <w:rPr>
                <w:rFonts w:ascii="Arial" w:hAnsi="Arial"/>
                <w:sz w:val="14"/>
              </w:rPr>
              <w:t>Sem 14–16</w:t>
            </w:r>
          </w:p>
        </w:tc>
        <w:tc>
          <w:tcPr>
            <w:tcW w:type="dxa" w:w="1337"/>
            <w:shd w:fill="F9FAFB"/>
            <w:tcMar>
              <w:top w:w="40" w:type="dxa"/>
              <w:bottom w:w="40" w:type="dxa"/>
              <w:left w:w="50" w:type="dxa"/>
              <w:right w:w="50" w:type="dxa"/>
            </w:tcMar>
          </w:tcPr>
          <w:p>
            <w:r>
              <w:rPr>
                <w:rFonts w:ascii="Arial" w:hAnsi="Arial"/>
                <w:sz w:val="14"/>
              </w:rPr>
              <w:t>Dupla</w:t>
            </w:r>
          </w:p>
        </w:tc>
        <w:tc>
          <w:tcPr>
            <w:tcW w:type="dxa" w:w="1337"/>
            <w:shd w:fill="F9FAFB"/>
            <w:tcMar>
              <w:top w:w="40" w:type="dxa"/>
              <w:bottom w:w="40" w:type="dxa"/>
              <w:left w:w="50" w:type="dxa"/>
              <w:right w:w="50" w:type="dxa"/>
            </w:tcMar>
          </w:tcPr>
          <w:p>
            <w:r>
              <w:rPr>
                <w:rFonts w:ascii="Arial" w:hAnsi="Arial"/>
                <w:sz w:val="14"/>
              </w:rPr>
              <w:t>Facilitador: Acceso a datos reales.</w:t>
              <w:br/>
              <w:t>Obstáculo: Detección de casos borde.</w:t>
            </w:r>
          </w:p>
        </w:tc>
      </w:tr>
    </w:tbl>
    <w:p>
      <w:pPr>
        <w:spacing w:after="120"/>
      </w:pPr>
    </w:p>
    <w:p>
      <w:pPr>
        <w:keepNext/>
        <w:spacing w:before="240" w:after="80"/>
      </w:pPr>
      <w:r>
        <w:rPr>
          <w:rFonts w:ascii="Arial" w:hAnsi="Arial"/>
          <w:b/>
          <w:color w:val="10955B"/>
          <w:sz w:val="22"/>
        </w:rPr>
        <w:t>8. Carta Gantt</w:t>
      </w:r>
    </w:p>
    <w:p>
      <w:pPr>
        <w:spacing w:after="80" w:line="276" w:lineRule="auto"/>
        <w:jc w:val="both"/>
      </w:pPr>
      <w:r>
        <w:rPr>
          <w:rFonts w:ascii="Arial" w:hAnsi="Arial"/>
          <w:i w:val="0"/>
          <w:color w:val="282C34"/>
          <w:sz w:val="19"/>
        </w:rPr>
        <w:t>Planificación cronológica distribuida a lo largo de las 18 semanas académicas del proceso Capstone:</w:t>
      </w:r>
    </w:p>
    <w:tbl>
      <w:tblPr>
        <w:tblW w:type="auto" w:w="0"/>
        <w:jc w:val="center"/>
        <w:tblLook w:firstColumn="1" w:firstRow="1" w:lastColumn="0" w:lastRow="0" w:noHBand="0" w:noVBand="1" w:val="04A0"/>
      </w:tblPr>
      <w:tblGrid>
        <w:gridCol w:w="493"/>
        <w:gridCol w:w="493"/>
        <w:gridCol w:w="493"/>
        <w:gridCol w:w="493"/>
        <w:gridCol w:w="493"/>
        <w:gridCol w:w="493"/>
        <w:gridCol w:w="493"/>
        <w:gridCol w:w="493"/>
        <w:gridCol w:w="493"/>
        <w:gridCol w:w="493"/>
        <w:gridCol w:w="493"/>
        <w:gridCol w:w="493"/>
        <w:gridCol w:w="493"/>
        <w:gridCol w:w="493"/>
        <w:gridCol w:w="493"/>
        <w:gridCol w:w="493"/>
        <w:gridCol w:w="493"/>
        <w:gridCol w:w="493"/>
        <w:gridCol w:w="493"/>
      </w:tblGrid>
      <w:tr>
        <w:tc>
          <w:tcPr>
            <w:tcW w:type="dxa" w:w="493"/>
            <w:shd w:fill="0F4C81"/>
            <w:tcMar>
              <w:top w:w="30" w:type="dxa"/>
              <w:bottom w:w="30" w:type="dxa"/>
              <w:left w:w="20" w:type="dxa"/>
              <w:right w:w="20" w:type="dxa"/>
            </w:tcMar>
          </w:tcPr>
          <w:p>
            <w:r>
              <w:rPr>
                <w:rFonts w:ascii="Arial" w:hAnsi="Arial"/>
                <w:b/>
                <w:color w:val="FFFFFF"/>
                <w:sz w:val="13"/>
              </w:rPr>
              <w:t>Actividad / Semana</w:t>
            </w:r>
          </w:p>
        </w:tc>
        <w:tc>
          <w:tcPr>
            <w:tcW w:type="dxa" w:w="493"/>
            <w:shd w:fill="0F4C81"/>
            <w:tcMar>
              <w:top w:w="30" w:type="dxa"/>
              <w:bottom w:w="30" w:type="dxa"/>
              <w:left w:w="20" w:type="dxa"/>
              <w:right w:w="20" w:type="dxa"/>
            </w:tcMar>
          </w:tcPr>
          <w:p>
            <w:r>
              <w:rPr>
                <w:rFonts w:ascii="Arial" w:hAnsi="Arial"/>
                <w:b/>
                <w:color w:val="FFFFFF"/>
                <w:sz w:val="13"/>
              </w:rPr>
              <w:t>S1</w:t>
            </w:r>
          </w:p>
        </w:tc>
        <w:tc>
          <w:tcPr>
            <w:tcW w:type="dxa" w:w="493"/>
            <w:shd w:fill="0F4C81"/>
            <w:tcMar>
              <w:top w:w="30" w:type="dxa"/>
              <w:bottom w:w="30" w:type="dxa"/>
              <w:left w:w="20" w:type="dxa"/>
              <w:right w:w="20" w:type="dxa"/>
            </w:tcMar>
          </w:tcPr>
          <w:p>
            <w:r>
              <w:rPr>
                <w:rFonts w:ascii="Arial" w:hAnsi="Arial"/>
                <w:b/>
                <w:color w:val="FFFFFF"/>
                <w:sz w:val="13"/>
              </w:rPr>
              <w:t>S2</w:t>
            </w:r>
          </w:p>
        </w:tc>
        <w:tc>
          <w:tcPr>
            <w:tcW w:type="dxa" w:w="493"/>
            <w:shd w:fill="0F4C81"/>
            <w:tcMar>
              <w:top w:w="30" w:type="dxa"/>
              <w:bottom w:w="30" w:type="dxa"/>
              <w:left w:w="20" w:type="dxa"/>
              <w:right w:w="20" w:type="dxa"/>
            </w:tcMar>
          </w:tcPr>
          <w:p>
            <w:r>
              <w:rPr>
                <w:rFonts w:ascii="Arial" w:hAnsi="Arial"/>
                <w:b/>
                <w:color w:val="FFFFFF"/>
                <w:sz w:val="13"/>
              </w:rPr>
              <w:t>S3</w:t>
            </w:r>
          </w:p>
        </w:tc>
        <w:tc>
          <w:tcPr>
            <w:tcW w:type="dxa" w:w="493"/>
            <w:shd w:fill="0F4C81"/>
            <w:tcMar>
              <w:top w:w="30" w:type="dxa"/>
              <w:bottom w:w="30" w:type="dxa"/>
              <w:left w:w="20" w:type="dxa"/>
              <w:right w:w="20" w:type="dxa"/>
            </w:tcMar>
          </w:tcPr>
          <w:p>
            <w:r>
              <w:rPr>
                <w:rFonts w:ascii="Arial" w:hAnsi="Arial"/>
                <w:b/>
                <w:color w:val="FFFFFF"/>
                <w:sz w:val="13"/>
              </w:rPr>
              <w:t>S4</w:t>
            </w:r>
          </w:p>
        </w:tc>
        <w:tc>
          <w:tcPr>
            <w:tcW w:type="dxa" w:w="493"/>
            <w:shd w:fill="0F4C81"/>
            <w:tcMar>
              <w:top w:w="30" w:type="dxa"/>
              <w:bottom w:w="30" w:type="dxa"/>
              <w:left w:w="20" w:type="dxa"/>
              <w:right w:w="20" w:type="dxa"/>
            </w:tcMar>
          </w:tcPr>
          <w:p>
            <w:r>
              <w:rPr>
                <w:rFonts w:ascii="Arial" w:hAnsi="Arial"/>
                <w:b/>
                <w:color w:val="FFFFFF"/>
                <w:sz w:val="13"/>
              </w:rPr>
              <w:t>S5</w:t>
            </w:r>
          </w:p>
        </w:tc>
        <w:tc>
          <w:tcPr>
            <w:tcW w:type="dxa" w:w="493"/>
            <w:shd w:fill="0F4C81"/>
            <w:tcMar>
              <w:top w:w="30" w:type="dxa"/>
              <w:bottom w:w="30" w:type="dxa"/>
              <w:left w:w="20" w:type="dxa"/>
              <w:right w:w="20" w:type="dxa"/>
            </w:tcMar>
          </w:tcPr>
          <w:p>
            <w:r>
              <w:rPr>
                <w:rFonts w:ascii="Arial" w:hAnsi="Arial"/>
                <w:b/>
                <w:color w:val="FFFFFF"/>
                <w:sz w:val="13"/>
              </w:rPr>
              <w:t>S6</w:t>
            </w:r>
          </w:p>
        </w:tc>
        <w:tc>
          <w:tcPr>
            <w:tcW w:type="dxa" w:w="493"/>
            <w:shd w:fill="0F4C81"/>
            <w:tcMar>
              <w:top w:w="30" w:type="dxa"/>
              <w:bottom w:w="30" w:type="dxa"/>
              <w:left w:w="20" w:type="dxa"/>
              <w:right w:w="20" w:type="dxa"/>
            </w:tcMar>
          </w:tcPr>
          <w:p>
            <w:r>
              <w:rPr>
                <w:rFonts w:ascii="Arial" w:hAnsi="Arial"/>
                <w:b/>
                <w:color w:val="FFFFFF"/>
                <w:sz w:val="13"/>
              </w:rPr>
              <w:t>S7</w:t>
            </w:r>
          </w:p>
        </w:tc>
        <w:tc>
          <w:tcPr>
            <w:tcW w:type="dxa" w:w="493"/>
            <w:shd w:fill="0F4C81"/>
            <w:tcMar>
              <w:top w:w="30" w:type="dxa"/>
              <w:bottom w:w="30" w:type="dxa"/>
              <w:left w:w="20" w:type="dxa"/>
              <w:right w:w="20" w:type="dxa"/>
            </w:tcMar>
          </w:tcPr>
          <w:p>
            <w:r>
              <w:rPr>
                <w:rFonts w:ascii="Arial" w:hAnsi="Arial"/>
                <w:b/>
                <w:color w:val="FFFFFF"/>
                <w:sz w:val="13"/>
              </w:rPr>
              <w:t>S8</w:t>
            </w:r>
          </w:p>
        </w:tc>
        <w:tc>
          <w:tcPr>
            <w:tcW w:type="dxa" w:w="493"/>
            <w:shd w:fill="0F4C81"/>
            <w:tcMar>
              <w:top w:w="30" w:type="dxa"/>
              <w:bottom w:w="30" w:type="dxa"/>
              <w:left w:w="20" w:type="dxa"/>
              <w:right w:w="20" w:type="dxa"/>
            </w:tcMar>
          </w:tcPr>
          <w:p>
            <w:r>
              <w:rPr>
                <w:rFonts w:ascii="Arial" w:hAnsi="Arial"/>
                <w:b/>
                <w:color w:val="FFFFFF"/>
                <w:sz w:val="13"/>
              </w:rPr>
              <w:t>S9</w:t>
            </w:r>
          </w:p>
        </w:tc>
        <w:tc>
          <w:tcPr>
            <w:tcW w:type="dxa" w:w="493"/>
            <w:shd w:fill="0F4C81"/>
            <w:tcMar>
              <w:top w:w="30" w:type="dxa"/>
              <w:bottom w:w="30" w:type="dxa"/>
              <w:left w:w="20" w:type="dxa"/>
              <w:right w:w="20" w:type="dxa"/>
            </w:tcMar>
          </w:tcPr>
          <w:p>
            <w:r>
              <w:rPr>
                <w:rFonts w:ascii="Arial" w:hAnsi="Arial"/>
                <w:b/>
                <w:color w:val="FFFFFF"/>
                <w:sz w:val="13"/>
              </w:rPr>
              <w:t>S10</w:t>
            </w:r>
          </w:p>
        </w:tc>
        <w:tc>
          <w:tcPr>
            <w:tcW w:type="dxa" w:w="493"/>
            <w:shd w:fill="0F4C81"/>
            <w:tcMar>
              <w:top w:w="30" w:type="dxa"/>
              <w:bottom w:w="30" w:type="dxa"/>
              <w:left w:w="20" w:type="dxa"/>
              <w:right w:w="20" w:type="dxa"/>
            </w:tcMar>
          </w:tcPr>
          <w:p>
            <w:r>
              <w:rPr>
                <w:rFonts w:ascii="Arial" w:hAnsi="Arial"/>
                <w:b/>
                <w:color w:val="FFFFFF"/>
                <w:sz w:val="13"/>
              </w:rPr>
              <w:t>S11</w:t>
            </w:r>
          </w:p>
        </w:tc>
        <w:tc>
          <w:tcPr>
            <w:tcW w:type="dxa" w:w="493"/>
            <w:shd w:fill="0F4C81"/>
            <w:tcMar>
              <w:top w:w="30" w:type="dxa"/>
              <w:bottom w:w="30" w:type="dxa"/>
              <w:left w:w="20" w:type="dxa"/>
              <w:right w:w="20" w:type="dxa"/>
            </w:tcMar>
          </w:tcPr>
          <w:p>
            <w:r>
              <w:rPr>
                <w:rFonts w:ascii="Arial" w:hAnsi="Arial"/>
                <w:b/>
                <w:color w:val="FFFFFF"/>
                <w:sz w:val="13"/>
              </w:rPr>
              <w:t>S12</w:t>
            </w:r>
          </w:p>
        </w:tc>
        <w:tc>
          <w:tcPr>
            <w:tcW w:type="dxa" w:w="493"/>
            <w:shd w:fill="0F4C81"/>
            <w:tcMar>
              <w:top w:w="30" w:type="dxa"/>
              <w:bottom w:w="30" w:type="dxa"/>
              <w:left w:w="20" w:type="dxa"/>
              <w:right w:w="20" w:type="dxa"/>
            </w:tcMar>
          </w:tcPr>
          <w:p>
            <w:r>
              <w:rPr>
                <w:rFonts w:ascii="Arial" w:hAnsi="Arial"/>
                <w:b/>
                <w:color w:val="FFFFFF"/>
                <w:sz w:val="13"/>
              </w:rPr>
              <w:t>S13</w:t>
            </w:r>
          </w:p>
        </w:tc>
        <w:tc>
          <w:tcPr>
            <w:tcW w:type="dxa" w:w="493"/>
            <w:shd w:fill="0F4C81"/>
            <w:tcMar>
              <w:top w:w="30" w:type="dxa"/>
              <w:bottom w:w="30" w:type="dxa"/>
              <w:left w:w="20" w:type="dxa"/>
              <w:right w:w="20" w:type="dxa"/>
            </w:tcMar>
          </w:tcPr>
          <w:p>
            <w:r>
              <w:rPr>
                <w:rFonts w:ascii="Arial" w:hAnsi="Arial"/>
                <w:b/>
                <w:color w:val="FFFFFF"/>
                <w:sz w:val="13"/>
              </w:rPr>
              <w:t>S14</w:t>
            </w:r>
          </w:p>
        </w:tc>
        <w:tc>
          <w:tcPr>
            <w:tcW w:type="dxa" w:w="493"/>
            <w:shd w:fill="0F4C81"/>
            <w:tcMar>
              <w:top w:w="30" w:type="dxa"/>
              <w:bottom w:w="30" w:type="dxa"/>
              <w:left w:w="20" w:type="dxa"/>
              <w:right w:w="20" w:type="dxa"/>
            </w:tcMar>
          </w:tcPr>
          <w:p>
            <w:r>
              <w:rPr>
                <w:rFonts w:ascii="Arial" w:hAnsi="Arial"/>
                <w:b/>
                <w:color w:val="FFFFFF"/>
                <w:sz w:val="13"/>
              </w:rPr>
              <w:t>S15</w:t>
            </w:r>
          </w:p>
        </w:tc>
        <w:tc>
          <w:tcPr>
            <w:tcW w:type="dxa" w:w="493"/>
            <w:shd w:fill="0F4C81"/>
            <w:tcMar>
              <w:top w:w="30" w:type="dxa"/>
              <w:bottom w:w="30" w:type="dxa"/>
              <w:left w:w="20" w:type="dxa"/>
              <w:right w:w="20" w:type="dxa"/>
            </w:tcMar>
          </w:tcPr>
          <w:p>
            <w:r>
              <w:rPr>
                <w:rFonts w:ascii="Arial" w:hAnsi="Arial"/>
                <w:b/>
                <w:color w:val="FFFFFF"/>
                <w:sz w:val="13"/>
              </w:rPr>
              <w:t>S16</w:t>
            </w:r>
          </w:p>
        </w:tc>
        <w:tc>
          <w:tcPr>
            <w:tcW w:type="dxa" w:w="493"/>
            <w:shd w:fill="0F4C81"/>
            <w:tcMar>
              <w:top w:w="30" w:type="dxa"/>
              <w:bottom w:w="30" w:type="dxa"/>
              <w:left w:w="20" w:type="dxa"/>
              <w:right w:w="20" w:type="dxa"/>
            </w:tcMar>
          </w:tcPr>
          <w:p>
            <w:r>
              <w:rPr>
                <w:rFonts w:ascii="Arial" w:hAnsi="Arial"/>
                <w:b/>
                <w:color w:val="FFFFFF"/>
                <w:sz w:val="13"/>
              </w:rPr>
              <w:t>S17</w:t>
            </w:r>
          </w:p>
        </w:tc>
        <w:tc>
          <w:tcPr>
            <w:tcW w:type="dxa" w:w="493"/>
            <w:shd w:fill="0F4C81"/>
            <w:tcMar>
              <w:top w:w="30" w:type="dxa"/>
              <w:bottom w:w="30" w:type="dxa"/>
              <w:left w:w="20" w:type="dxa"/>
              <w:right w:w="20" w:type="dxa"/>
            </w:tcMar>
          </w:tcPr>
          <w:p>
            <w:r>
              <w:rPr>
                <w:rFonts w:ascii="Arial" w:hAnsi="Arial"/>
                <w:b/>
                <w:color w:val="FFFFFF"/>
                <w:sz w:val="13"/>
              </w:rPr>
              <w:t>S18</w:t>
            </w:r>
          </w:p>
        </w:tc>
      </w:tr>
      <w:tr>
        <w:tc>
          <w:tcPr>
            <w:tcW w:type="dxa" w:w="3168"/>
            <w:shd w:fill="F4F6F9"/>
            <w:tcMar>
              <w:top w:w="30" w:type="dxa"/>
              <w:bottom w:w="30" w:type="dxa"/>
              <w:left w:w="40" w:type="dxa"/>
              <w:right w:w="40" w:type="dxa"/>
            </w:tcMar>
          </w:tcPr>
          <w:p>
            <w:r>
              <w:rPr>
                <w:rFonts w:ascii="Arial" w:hAnsi="Arial"/>
                <w:b/>
                <w:sz w:val="14"/>
              </w:rPr>
              <w:t>1. Levantamiento y Definición APT</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r>
      <w:tr>
        <w:tc>
          <w:tcPr>
            <w:tcW w:type="dxa" w:w="3168"/>
            <w:shd w:fill="F4F6F9"/>
            <w:tcMar>
              <w:top w:w="30" w:type="dxa"/>
              <w:bottom w:w="30" w:type="dxa"/>
              <w:left w:w="40" w:type="dxa"/>
              <w:right w:w="40" w:type="dxa"/>
            </w:tcMar>
          </w:tcPr>
          <w:p>
            <w:r>
              <w:rPr>
                <w:rFonts w:ascii="Arial" w:hAnsi="Arial"/>
                <w:b/>
                <w:sz w:val="14"/>
              </w:rPr>
              <w:t>2. Modelado de Datos y Setup Arquitectura</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r>
      <w:tr>
        <w:tc>
          <w:tcPr>
            <w:tcW w:type="dxa" w:w="3168"/>
            <w:shd w:fill="F4F6F9"/>
            <w:tcMar>
              <w:top w:w="30" w:type="dxa"/>
              <w:bottom w:w="30" w:type="dxa"/>
              <w:left w:w="40" w:type="dxa"/>
              <w:right w:w="40" w:type="dxa"/>
            </w:tcMar>
          </w:tcPr>
          <w:p>
            <w:r>
              <w:rPr>
                <w:rFonts w:ascii="Arial" w:hAnsi="Arial"/>
                <w:b/>
                <w:sz w:val="14"/>
              </w:rPr>
              <w:t>3. Ingesta Dinámica de Ventas y Catálogo</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r>
      <w:tr>
        <w:tc>
          <w:tcPr>
            <w:tcW w:type="dxa" w:w="3168"/>
            <w:shd w:fill="F4F6F9"/>
            <w:tcMar>
              <w:top w:w="30" w:type="dxa"/>
              <w:bottom w:w="30" w:type="dxa"/>
              <w:left w:w="40" w:type="dxa"/>
              <w:right w:w="40" w:type="dxa"/>
            </w:tcMar>
          </w:tcPr>
          <w:p>
            <w:r>
              <w:rPr>
                <w:rFonts w:ascii="Arial" w:hAnsi="Arial"/>
                <w:b/>
                <w:sz w:val="14"/>
              </w:rPr>
              <w:t>4. Motor de Cálculo y Prorrateo DOM/NO DOM</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r>
      <w:tr>
        <w:tc>
          <w:tcPr>
            <w:tcW w:type="dxa" w:w="3168"/>
            <w:shd w:fill="F4F6F9"/>
            <w:tcMar>
              <w:top w:w="30" w:type="dxa"/>
              <w:bottom w:w="30" w:type="dxa"/>
              <w:left w:w="40" w:type="dxa"/>
              <w:right w:w="40" w:type="dxa"/>
            </w:tcMar>
          </w:tcPr>
          <w:p>
            <w:r>
              <w:rPr>
                <w:rFonts w:ascii="Arial" w:hAnsi="Arial"/>
                <w:b/>
                <w:sz w:val="14"/>
              </w:rPr>
              <w:t>5. Exportador Oficial ExcelJS ReSimple</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r>
      <w:tr>
        <w:tc>
          <w:tcPr>
            <w:tcW w:type="dxa" w:w="3168"/>
            <w:shd w:fill="F4F6F9"/>
            <w:tcMar>
              <w:top w:w="30" w:type="dxa"/>
              <w:bottom w:w="30" w:type="dxa"/>
              <w:left w:w="40" w:type="dxa"/>
              <w:right w:w="40" w:type="dxa"/>
            </w:tcMar>
          </w:tcPr>
          <w:p>
            <w:r>
              <w:rPr>
                <w:rFonts w:ascii="Arial" w:hAnsi="Arial"/>
                <w:b/>
                <w:sz w:val="14"/>
              </w:rPr>
              <w:t>6. QA Cruzado, Dashboard y Cierre Titulación</w:t>
            </w: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FFFFFF"/>
            <w:tcMar>
              <w:top w:w="30" w:type="dxa"/>
              <w:bottom w:w="30" w:type="dxa"/>
              <w:left w:w="10" w:type="dxa"/>
              <w:right w:w="10" w:type="dxa"/>
            </w:tcMar>
          </w:tcP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c>
          <w:tcPr>
            <w:tcW w:type="dxa" w:w="346"/>
            <w:shd w:fill="10955B"/>
            <w:tcMar>
              <w:top w:w="30" w:type="dxa"/>
              <w:bottom w:w="30" w:type="dxa"/>
              <w:left w:w="10" w:type="dxa"/>
              <w:right w:w="10" w:type="dxa"/>
            </w:tcMar>
          </w:tcPr>
          <w:p>
            <w:pPr>
              <w:jc w:val="center"/>
            </w:pPr>
            <w:r>
              <w:rPr>
                <w:b/>
                <w:color w:val="FFFFFF"/>
                <w:sz w:val="12"/>
              </w:rPr>
              <w:t>X</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