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46E78"/>
          <w:sz w:val="21"/>
        </w:rPr>
        <w:t>ESCUELA DE INFORMÁTICA Y TELECOMUNICACIONES — DUOC UC</w:t>
        <w:br/>
        <w:t>ASIGNATURA: CAPSTONE (PTY4614) — FASE 2</w:t>
      </w:r>
    </w:p>
    <w:p>
      <w:pPr>
        <w:spacing w:before="160" w:after="240"/>
        <w:jc w:val="center"/>
      </w:pPr>
      <w:r>
        <w:rPr>
          <w:rFonts w:ascii="Calibri" w:hAnsi="Calibri"/>
          <w:b/>
          <w:color w:val="1F3864"/>
          <w:sz w:val="30"/>
        </w:rPr>
        <w:t>DIARIO DE REFLEXIÓN INDIVIDUAL Y AUTOEVALUACIÓN — FASE 2</w:t>
        <w:br/>
        <w:t>(Documentos 2.1 y 2.2 APT122)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Estudiante: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Fernando Sergio Casonis Ancavil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Rol en el Equipo: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Líder Técnico &amp; Arquitecto de Core Engine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Compañero de Equipo: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Matías Machuca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Docente Guía: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Profesor Luis Bravo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Proyecto APT: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Plataforma SaaS B2B para la Gestión Logística y Declaración Oficial de la Ley REP (Chile)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Metodología Aplicada: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Metodología Escalativa (Incremental / Evolutiva en 4 Escalones)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27"/>
        </w:rPr>
        <w:t>1. Reflexión sobre el Proceso de Desarrollo en Fase 2</w:t>
      </w:r>
    </w:p>
    <w:p>
      <w:pPr>
        <w:spacing w:after="100" w:line="276" w:lineRule="auto"/>
        <w:jc w:val="both"/>
      </w:pPr>
      <w:r>
        <w:rPr>
          <w:rFonts w:ascii="Calibri" w:hAnsi="Calibri"/>
          <w:b/>
          <w:color w:val="1F3864"/>
          <w:sz w:val="21"/>
        </w:rPr>
        <w:t xml:space="preserve">Síntesis de Participación y Aporte Individual: </w:t>
      </w:r>
      <w:r>
        <w:rPr>
          <w:rFonts w:ascii="Calibri" w:hAnsi="Calibri"/>
          <w:color w:val="282C34"/>
          <w:sz w:val="21"/>
        </w:rPr>
        <w:t>Durante la Fase 2 asumí la responsabilidad principal sobre la arquitectura lógica del sistema, el modelado de datos Multi-Tenant ('razonSocialId'), la implementación del motor matemático de tonelaje ('src/lib/calculateTonnage.ts'), la matriz de clasificación REP ('repClassificationMatrix.ts') y el módulo de exportación binaria no destructiva en ExcelJS ('resimpleDeclarationExport.ts' y 'resimpleTemplateMatching.ts'). Asimismo, estructuré las directrices técnicas del proyecto en el archivo '.cursorrules' para garantizar código limpio y libre de tipos 'any'.</w:t>
      </w:r>
    </w:p>
    <w:p>
      <w:pPr>
        <w:spacing w:after="100" w:line="276" w:lineRule="auto"/>
        <w:jc w:val="both"/>
      </w:pPr>
      <w:r>
        <w:rPr>
          <w:rFonts w:ascii="Calibri" w:hAnsi="Calibri"/>
          <w:b/>
          <w:color w:val="1F3864"/>
          <w:sz w:val="21"/>
        </w:rPr>
        <w:t xml:space="preserve">Análisis de Dificultades Técnicas, Facilitadores y Toma de Decisiones: </w:t>
      </w:r>
      <w:r>
        <w:rPr>
          <w:rFonts w:ascii="Calibri" w:hAnsi="Calibri"/>
          <w:color w:val="282C34"/>
          <w:sz w:val="21"/>
        </w:rPr>
        <w:t>El desafío técnico más complejo consistió en descubrir que la plantilla oficial 2025/2026 de ReSimple presenta una desalineación vertical entre los bloques Domiciliario (columnas B–F) y No Domiciliario (columnas H–L), además de que librerías estándar como SheetJS destruían los estilos y celdas combinadas al guardar. Para resolverlo, diseñé una arquitectura de doble librería (SheetJS para lectura flexible y ExcelJS para mutar exclusivamente '.value' a nivel de celda) e implementé dos registros de búsqueda independientes ('domIndexRegistry' y 'noDomIndexRegistry') con normalización taxonómica difusa. También incorporé la inversión matemática ('1 - pct') para columnas '% No Domiciliario'.</w:t>
      </w:r>
    </w:p>
    <w:p>
      <w:pPr>
        <w:spacing w:after="100" w:line="276" w:lineRule="auto"/>
        <w:jc w:val="both"/>
      </w:pPr>
      <w:r>
        <w:rPr>
          <w:rFonts w:ascii="Calibri" w:hAnsi="Calibri"/>
          <w:b/>
          <w:color w:val="1F3864"/>
          <w:sz w:val="21"/>
        </w:rPr>
        <w:t xml:space="preserve">Aprendizajes Adquiridos, Trabajo en Equipo y Proyección Profesional: </w:t>
      </w:r>
      <w:r>
        <w:rPr>
          <w:rFonts w:ascii="Calibri" w:hAnsi="Calibri"/>
          <w:color w:val="282C34"/>
          <w:sz w:val="21"/>
        </w:rPr>
        <w:t>Trabajar en dupla con Matías Machuca bajo la guía del profesor Luis Bravo fortaleció mi capacidad para liderar decisiones de arquitectura, coordinar revisiones de código en Git y comunicar soluciones complejas de forma estructurada. Este proyecto consolida directamente mi proyección profesional hacia roles de Ingeniería de Software Full-Stack y Arquitectura de Sistemas B2B.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7"/>
        </w:rPr>
        <w:t>2. Matriz de Autoevaluación Formativa de Fase 2 (Documento 2.2 APT122)</w:t>
      </w:r>
    </w:p>
    <w:p>
      <w:pPr>
        <w:spacing w:after="100" w:line="276" w:lineRule="auto"/>
        <w:jc w:val="both"/>
      </w:pPr>
      <w:r>
        <w:rPr>
          <w:rFonts w:ascii="Calibri" w:hAnsi="Calibri"/>
          <w:color w:val="282C34"/>
          <w:sz w:val="21"/>
        </w:rPr>
        <w:t>A continuación, se registra la autoevaluación individual del cumplimiento de los indicadores de evaluación definidos para la Fase 2 del Proyecto APT: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 de Evaluación (Pauta 2.2)</w:t>
            </w:r>
          </w:p>
        </w:tc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Ponderación</w:t>
            </w:r>
          </w:p>
        </w:tc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Nivel Alcanzado</w:t>
            </w:r>
          </w:p>
        </w:tc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Fundamentación de Evidencia Personal y Grupal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1. Propone ajustes al Proyecto APT considerando dificultades, facilitadores y retroalimentación.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20%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documentaron y aplicaron ajustes clave tras las revisiones con el Prof. Luis Bravo: inversión de '% No DOM', registros independientes DOM/NO DOM y snapshots inmutables.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2. Aplica una metodología que permite el logro de los objetivos propuestos según estándares.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20%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aplicó rigurosamente la Metodología Escalativa en 4 escalones de madurez, asegurando que cada capa (ingesta, cálculo, exportación) se validara antes de avanzar.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3. Genera evidencias que dan cuenta del avance del Proyecto APT según estándares.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25%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generaron evidencias verificables en programación TypeScript/React, almacenamiento multi-tenant, planillas oficiales exportadas y commits equitativos en Git.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4. Utiliza de manera precisa el lenguaje técnico de acuerdo con la disciplina.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Uso preciso de terminología de ingeniería de software (SPA, tipado estricto, mutación binaria OOXML, normalización taxonómica, snapshots inmutables).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5. Utiliza reglas de redacción, ortografía y normas para citas y referencias.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Redacción formal revisada y referencias bajo estándar APA 7° Edición.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6. Cumple con el formato del informe de avance establecido por la disciplina.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Uso íntegro de las plantillas y estructuras oficiales de la asignatura Capstone.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7. Cumple con el 100% de los indicadores de calidad disciplinarios del Perfil de Egreso.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20%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cubren los 10 indicadores de calidad (1.1 a 1.3 en Pruebas/QA, 2.1 a 2.2 en Gestión, 3.1 a 3.2 en Modelos de Datos y 4.1 a 4.3 en Solución de Software).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