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646E78"/>
          <w:sz w:val="21"/>
        </w:rPr>
        <w:t>ESCUELA DE INFORMÁTICA Y TELECOMUNICACIONES — DUOC UC</w:t>
        <w:br/>
        <w:t>ASIGNATURA: CAPSTONE (PTY4614) — FASE 2</w:t>
      </w:r>
    </w:p>
    <w:p>
      <w:pPr>
        <w:spacing w:before="160" w:after="240"/>
        <w:jc w:val="center"/>
      </w:pPr>
      <w:r>
        <w:rPr>
          <w:rFonts w:ascii="Calibri" w:hAnsi="Calibri"/>
          <w:b/>
          <w:color w:val="1F3864"/>
          <w:sz w:val="30"/>
        </w:rPr>
        <w:t>DIARIO DE REFLEXIÓN INDIVIDUAL Y AUTOEVALUACIÓN — FASE 2</w:t>
        <w:br/>
        <w:t>(Documentos 2.1 y 2.2 APT122)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Estudiante: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Matías Machuca</w:t>
            </w:r>
          </w:p>
        </w:tc>
      </w:tr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Rol en el Equipo: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Frontend Engineer &amp; Responsable de Aseguramiento de Calidad (QA)</w:t>
            </w:r>
          </w:p>
        </w:tc>
      </w:tr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Compañero de Equipo: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Fernando Casonis</w:t>
            </w:r>
          </w:p>
        </w:tc>
      </w:tr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Docente Guía: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Profesor Luis Bravo</w:t>
            </w:r>
          </w:p>
        </w:tc>
      </w:tr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Proyecto APT: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Plataforma SaaS B2B para la Gestión Logística y Declaración Oficial de la Ley REP (Chile)</w:t>
            </w:r>
          </w:p>
        </w:tc>
      </w:tr>
      <w:tr>
        <w:tc>
          <w:tcPr>
            <w:tcW w:type="dxa" w:w="3168"/>
            <w:shd w:fill="D9E2F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Metodología Aplicada: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9"/>
              </w:rPr>
              <w:t>Metodología Escalativa (Incremental / Evolutiva en 4 Escalones)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27"/>
        </w:rPr>
        <w:t>1. Reflexión sobre el Proceso de Desarrollo en Fase 2</w:t>
      </w:r>
    </w:p>
    <w:p>
      <w:pPr>
        <w:spacing w:after="100" w:line="276" w:lineRule="auto"/>
        <w:jc w:val="both"/>
      </w:pPr>
      <w:r>
        <w:rPr>
          <w:rFonts w:ascii="Calibri" w:hAnsi="Calibri"/>
          <w:b/>
          <w:color w:val="1F3864"/>
          <w:sz w:val="21"/>
        </w:rPr>
        <w:t xml:space="preserve">Síntesis de Participación y Aporte Individual: </w:t>
      </w:r>
      <w:r>
        <w:rPr>
          <w:rFonts w:ascii="Calibri" w:hAnsi="Calibri"/>
          <w:color w:val="282C34"/>
          <w:sz w:val="21"/>
        </w:rPr>
        <w:t>En el desarrollo de la Fase 2 lideré la construcción de la interfaz de usuario corporativa bajo el estándar Light Theme en React 19 y Tailwind CSS 4, incluyendo los componentes de gestión de catálogo ('FichasEnvases.tsx'), mapeo dinámico de columnas ('ExcelDynamicMapper.tsx'), calculadora de ventas ('SalesCalculator.tsx') y visualización analítica ('RepReportes.tsx' con Recharts y TanStack Table). Paralelamente, diseñé y ejecuté el Plan de Pruebas y la validación cruzada contra las macros certificadas de auditoría.</w:t>
      </w:r>
    </w:p>
    <w:p>
      <w:pPr>
        <w:spacing w:after="100" w:line="276" w:lineRule="auto"/>
        <w:jc w:val="both"/>
      </w:pPr>
      <w:r>
        <w:rPr>
          <w:rFonts w:ascii="Calibri" w:hAnsi="Calibri"/>
          <w:b/>
          <w:color w:val="1F3864"/>
          <w:sz w:val="21"/>
        </w:rPr>
        <w:t xml:space="preserve">Análisis de Dificultades Técnicas, Facilitadores y Toma de Decisiones: </w:t>
      </w:r>
      <w:r>
        <w:rPr>
          <w:rFonts w:ascii="Calibri" w:hAnsi="Calibri"/>
          <w:color w:val="282C34"/>
          <w:sz w:val="21"/>
        </w:rPr>
        <w:t>Uno de los principales retos fue diseñar una interfaz capaz de guiar al usuario a través de un flujo normativo sumamente denso (múltiples capas de material por SKU, reglas logísticas de cajas/pallets y prorrateo DOM/NO DOM) sin saturar la pantalla. Aplicando el principio de divulgación progresiva y junto a la retroalimentación del profesor Luis Bravo, transformamos el Dashboard en un Centro de Comando B2B limpio y funcional. En el ámbito de QA, al cruzar los datos reales de Mayo 2026 de la empresa Prinorte, detectamos las diferencias de interpretación en columnas '% No DOM', lo que nos permitió ajustar el motor hasta lograr un 100% de exactitud aritmética.</w:t>
      </w:r>
    </w:p>
    <w:p>
      <w:pPr>
        <w:spacing w:after="100" w:line="276" w:lineRule="auto"/>
        <w:jc w:val="both"/>
      </w:pPr>
      <w:r>
        <w:rPr>
          <w:rFonts w:ascii="Calibri" w:hAnsi="Calibri"/>
          <w:b/>
          <w:color w:val="1F3864"/>
          <w:sz w:val="21"/>
        </w:rPr>
        <w:t xml:space="preserve">Aprendizajes Adquiridos, Trabajo en Equipo y Proyección Profesional: </w:t>
      </w:r>
      <w:r>
        <w:rPr>
          <w:rFonts w:ascii="Calibri" w:hAnsi="Calibri"/>
          <w:color w:val="282C34"/>
          <w:sz w:val="21"/>
        </w:rPr>
        <w:t>La coordinación constante con Fernando Casonis mediante nuestra Metodología Escalativa y el uso disciplinado de ramas en Git permitieron una integración fluida entre el motor matemático y las vistas de usuario. Esta experiencia práctica afianza mi vocación y proyección laboral en el desarrollo Frontend moderno y la ingeniería de calidad de software empresarial.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7"/>
        </w:rPr>
        <w:t>2. Matriz de Autoevaluación Formativa de Fase 2 (Documento 2.2 APT122)</w:t>
      </w:r>
    </w:p>
    <w:p>
      <w:pPr>
        <w:spacing w:after="100" w:line="276" w:lineRule="auto"/>
        <w:jc w:val="both"/>
      </w:pPr>
      <w:r>
        <w:rPr>
          <w:rFonts w:ascii="Calibri" w:hAnsi="Calibri"/>
          <w:color w:val="282C34"/>
          <w:sz w:val="21"/>
        </w:rPr>
        <w:t>A continuación, se registra la autoevaluación individual del cumplimiento de los indicadores de evaluación definidos para la Fase 2 del Proyecto APT: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Indicador de Evaluación (Pauta 2.2)</w:t>
            </w:r>
          </w:p>
        </w:tc>
        <w:tc>
          <w:tcPr>
            <w:tcW w:type="dxa" w:w="2340"/>
            <w:shd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Ponderación</w:t>
            </w:r>
          </w:p>
        </w:tc>
        <w:tc>
          <w:tcPr>
            <w:tcW w:type="dxa" w:w="2340"/>
            <w:shd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Nivel Alcanzado</w:t>
            </w:r>
          </w:p>
        </w:tc>
        <w:tc>
          <w:tcPr>
            <w:tcW w:type="dxa" w:w="2340"/>
            <w:shd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Fundamentación de Evidencia Personal y Grupal</w:t>
            </w:r>
          </w:p>
        </w:tc>
      </w:tr>
      <w:tr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1. Propone ajustes al Proyecto APT considerando dificultades, facilitadores y retroalimentación.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20%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Se documentaron y aplicaron ajustes clave tras las revisiones con el Prof. Luis Bravo: inversión de '% No DOM', registros independientes DOM/NO DOM y snapshots inmutables.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2. Aplica una metodología que permite el logro de los objetivos propuestos según estándares.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20%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Se aplicó rigurosamente la Metodología Escalativa en 4 escalones de madurez, asegurando que cada capa (ingesta, cálculo, exportación) se validara antes de avanzar.</w:t>
            </w:r>
          </w:p>
        </w:tc>
      </w:tr>
      <w:tr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3. Genera evidencias que dan cuenta del avance del Proyecto APT según estándares.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25%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Se generaron evidencias verificables en programación TypeScript/React, almacenamiento multi-tenant, planillas oficiales exportadas y commits equitativos en Git.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4. Utiliza de manera precisa el lenguaje técnico de acuerdo con la disciplina.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5%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Uso preciso de terminología de ingeniería de software (SPA, tipado estricto, mutación binaria OOXML, normalización taxonómica, snapshots inmutables).</w:t>
            </w:r>
          </w:p>
        </w:tc>
      </w:tr>
      <w:tr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5. Utiliza reglas de redacción, ortografía y normas para citas y referencias.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5%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Redacción formal revisada y referencias bajo estándar APA 7° Edición.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6. Cumple con el formato del informe de avance establecido por la disciplina.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5%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Uso íntegro de las plantillas y estructuras oficiales de la asignatura Capstone.</w:t>
            </w:r>
          </w:p>
        </w:tc>
      </w:tr>
      <w:tr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7. Cumple con el 100% de los indicadores de calidad disciplinarios del Perfil de Egreso.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20%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/>
                <w:color w:val="282C34"/>
                <w:sz w:val="17"/>
              </w:rPr>
              <w:t>Completamente Logrado (100%)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60" w:line="276" w:lineRule="auto"/>
            </w:pPr>
            <w:r/>
            <w:r>
              <w:rPr>
                <w:rFonts w:ascii="Calibri" w:hAnsi="Calibri"/>
                <w:b w:val="0"/>
                <w:color w:val="282C34"/>
                <w:sz w:val="17"/>
              </w:rPr>
              <w:t>Se cubren los 10 indicadores de calidad (1.1 a 1.3 en Pruebas/QA, 2.1 a 2.2 en Gestión, 3.1 a 3.2 en Modelos de Datos y 4.1 a 4.3 en Solución de Software).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