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646E78"/>
          <w:sz w:val="20"/>
        </w:rPr>
        <w:t>ESCUELA DE INFORMÁTICA Y TELECOMUNICACIONES</w:t>
        <w:br/>
        <w:t>ASIGNATURA: CAPSTONE (PTY4614)</w:t>
      </w:r>
    </w:p>
    <w:p>
      <w:pPr>
        <w:spacing w:before="240" w:after="120"/>
        <w:jc w:val="center"/>
      </w:pPr>
      <w:r>
        <w:rPr>
          <w:rFonts w:ascii="Arial" w:hAnsi="Arial"/>
          <w:b/>
          <w:color w:val="0F4C81"/>
          <w:sz w:val="36"/>
        </w:rPr>
        <w:t>BACKLOG Y HISTORIAS DE USUARIO (US)</w:t>
      </w:r>
    </w:p>
    <w:p>
      <w:pPr>
        <w:spacing w:after="320"/>
        <w:jc w:val="center"/>
      </w:pPr>
      <w:r>
        <w:rPr>
          <w:rFonts w:ascii="Arial" w:hAnsi="Arial"/>
          <w:b/>
          <w:i/>
          <w:color w:val="10955B"/>
          <w:sz w:val="22"/>
        </w:rPr>
        <w:t>Plataforma SaaS B2B para la Gestión y Declaración Oficial de la Ley REP (Chile)</w:t>
      </w:r>
    </w:p>
    <w:p>
      <w:pPr>
        <w:spacing w:after="80" w:line="276" w:lineRule="auto"/>
        <w:jc w:val="both"/>
      </w:pPr>
      <w:r>
        <w:rPr>
          <w:rFonts w:ascii="Arial" w:hAnsi="Arial"/>
          <w:i w:val="0"/>
          <w:color w:val="282C34"/>
          <w:sz w:val="20"/>
        </w:rPr>
        <w:t>El siguiente documento detalla el Product Backlog estructurado en Historias de Usuario (User Stories) para el desarrollo de la plataforma SaaS B2B de la Ley REP. Están divididas por Módulos (Épicas) y redactadas bajo el estándar ágil, incluyendo Criterios de Aceptación (DoD) directamente alineados a las reglas de negocio y arquitectura del proyecto.</w:t>
      </w:r>
    </w:p>
    <w:p>
      <w:pPr>
        <w:keepNext/>
        <w:spacing w:before="280" w:after="80"/>
      </w:pPr>
      <w:r>
        <w:rPr>
          <w:rFonts w:ascii="Arial" w:hAnsi="Arial"/>
          <w:b/>
          <w:color w:val="10955B"/>
          <w:sz w:val="24"/>
        </w:rPr>
        <w:t>ÉPICA 1: Arquitectura Multi-Empresa (Multi-Tenant)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ID: US-01</w:t>
            </w:r>
          </w:p>
        </w:tc>
        <w:tc>
          <w:tcPr>
            <w:tcW w:type="dxa" w:w="720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Título: Gestión de Razones Sociales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Narrativa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Como </w:t>
            </w:r>
            <w:r>
              <w:t xml:space="preserve">Usuario Administrador </w:t>
            </w:r>
            <w:r>
              <w:rPr>
                <w:b/>
              </w:rPr>
              <w:t xml:space="preserve">quiero </w:t>
            </w:r>
            <w:r>
              <w:t xml:space="preserve">registrar y alternar entre diferentes Razones Sociales (Empresas) </w:t>
            </w:r>
            <w:r>
              <w:rPr>
                <w:b/>
              </w:rPr>
              <w:t xml:space="preserve">para </w:t>
            </w:r>
            <w:r>
              <w:t>gestionar de forma aislada los catálogos y ventas de cada cliente sin cruzar información confidencial.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Criterios de Aceptación (DoD)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ListBullet"/>
            </w:pPr>
            <w:r>
              <w:rPr>
                <w:sz w:val="19"/>
              </w:rPr>
              <w:t>El sistema debe permitir registrar una nueva empresa ingresando RUT, Razón Social y Sistema de Gestión asociado (ReSimple, GIRO, etc.).</w:t>
            </w:r>
          </w:p>
          <w:p>
            <w:pPr>
              <w:pStyle w:val="ListBullet"/>
            </w:pPr>
            <w:r>
              <w:rPr>
                <w:sz w:val="19"/>
              </w:rPr>
              <w:t>Debe existir un selector global en la UI que permita cambiar la 'Empresa Activa' en cualquier momento.</w:t>
            </w:r>
          </w:p>
          <w:p>
            <w:pPr>
              <w:pStyle w:val="ListBullet"/>
            </w:pPr>
            <w:r>
              <w:rPr>
                <w:sz w:val="19"/>
              </w:rPr>
              <w:t>Al cambiar de empresa, el catálogo de SKUs y el historial de ventas deben filtrarse automáticamente por el `razonSocialId` activo.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Alta / Core Business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ID: US-02</w:t>
            </w:r>
          </w:p>
        </w:tc>
        <w:tc>
          <w:tcPr>
            <w:tcW w:type="dxa" w:w="720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Título: Panel de Comando (Dashboard Corporativo)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Narrativa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Como </w:t>
            </w:r>
            <w:r>
              <w:t xml:space="preserve">Usuario Analista </w:t>
            </w:r>
            <w:r>
              <w:rPr>
                <w:b/>
              </w:rPr>
              <w:t xml:space="preserve">quiero </w:t>
            </w:r>
            <w:r>
              <w:t xml:space="preserve">visualizar un resumen rápido con el estado de la empresa activa, cantidad de SKUs y la fecha del último cálculo </w:t>
            </w:r>
            <w:r>
              <w:rPr>
                <w:b/>
              </w:rPr>
              <w:t xml:space="preserve">para </w:t>
            </w:r>
            <w:r>
              <w:t>tener contexto inmediato del estado de avance operativo al iniciar sesión.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Criterios de Aceptación (DoD)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ListBullet"/>
            </w:pPr>
            <w:r>
              <w:rPr>
                <w:sz w:val="19"/>
              </w:rPr>
              <w:t>El Dashboard debe mostrar 3 tarjetas informativas (Quick Stats) con métricas reales leídas desde el estado global.</w:t>
            </w:r>
          </w:p>
          <w:p>
            <w:pPr>
              <w:pStyle w:val="ListBullet"/>
            </w:pPr>
            <w:r>
              <w:rPr>
                <w:sz w:val="19"/>
              </w:rPr>
              <w:t>El diseño debe prescindir de imágenes o placeholders irrelevantes, adoptando un diseño estrictamente tipográfico y corporativo (Light Theme).</w:t>
            </w:r>
          </w:p>
          <w:p>
            <w:pPr>
              <w:pStyle w:val="ListBullet"/>
            </w:pPr>
            <w:r>
              <w:rPr>
                <w:sz w:val="19"/>
              </w:rPr>
              <w:t>Se deben incluir tarjetas de navegación (Action Cards) con efectos visuales ('hover') para acceder rápidamente a los submódulos.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Alta / Core Business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10955B"/>
          <w:sz w:val="24"/>
        </w:rPr>
        <w:t>ÉPICA 2: Catálogo Técnico y Parametrización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ID: US-03</w:t>
            </w:r>
          </w:p>
        </w:tc>
        <w:tc>
          <w:tcPr>
            <w:tcW w:type="dxa" w:w="720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Título: Fichas Técnicas por Capas de Material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Narrativa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Como </w:t>
            </w:r>
            <w:r>
              <w:t xml:space="preserve">Operador de Catálogo </w:t>
            </w:r>
            <w:r>
              <w:rPr>
                <w:b/>
              </w:rPr>
              <w:t xml:space="preserve">quiero </w:t>
            </w:r>
            <w:r>
              <w:t xml:space="preserve">crear fichas de productos (SKUs) detallando múltiples capas de materiales (ej. botella, tapa, etiqueta) </w:t>
            </w:r>
            <w:r>
              <w:rPr>
                <w:b/>
              </w:rPr>
              <w:t xml:space="preserve">para </w:t>
            </w:r>
            <w:r>
              <w:t>reflejar la composición exacta de los envases requerida por el Ministerio del Medio Ambiente.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Criterios de Aceptación (DoD)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ListBullet"/>
            </w:pPr>
            <w:r>
              <w:rPr>
                <w:sz w:val="19"/>
              </w:rPr>
              <w:t>Cada SKU debe permitir agregar de 1 a N capas de material.</w:t>
            </w:r>
          </w:p>
          <w:p>
            <w:pPr>
              <w:pStyle w:val="ListBullet"/>
            </w:pPr>
            <w:r>
              <w:rPr>
                <w:sz w:val="19"/>
              </w:rPr>
              <w:t>Por cada capa se debe ingresar: Categoría (Plástico, Metal, Cartón, etc.), Sub-material (PET, Aluminio), Ductilidad (Rígido/Flexible) y Peso en gramos.</w:t>
            </w:r>
          </w:p>
          <w:p>
            <w:pPr>
              <w:pStyle w:val="ListBullet"/>
            </w:pPr>
            <w:r>
              <w:rPr>
                <w:sz w:val="19"/>
              </w:rPr>
              <w:t>El peso total del envase debe calcularse automáticamente sumando las capas.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Alta / Core Business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ID: US-04</w:t>
            </w:r>
          </w:p>
        </w:tc>
        <w:tc>
          <w:tcPr>
            <w:tcW w:type="dxa" w:w="720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Título: Distribución Domiciliaria (DOM / NO DOM)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Narrativa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Como </w:t>
            </w:r>
            <w:r>
              <w:t xml:space="preserve">Operador Logístico </w:t>
            </w:r>
            <w:r>
              <w:rPr>
                <w:b/>
              </w:rPr>
              <w:t xml:space="preserve">quiero </w:t>
            </w:r>
            <w:r>
              <w:t xml:space="preserve">configurar el porcentaje de distribución domiciliaria de un envase o embalaje </w:t>
            </w:r>
            <w:r>
              <w:rPr>
                <w:b/>
              </w:rPr>
              <w:t xml:space="preserve">para </w:t>
            </w:r>
            <w:r>
              <w:t>prorratear correctamente si el residuo terminará en la casa del consumidor final o en un patio industrial.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Criterios de Aceptación (DoD)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ListBullet"/>
            </w:pPr>
            <w:r>
              <w:rPr>
                <w:sz w:val="19"/>
              </w:rPr>
              <w:t>El sistema debe permitir asignar ratios de 0% a 100% domiciliario.</w:t>
            </w:r>
          </w:p>
          <w:p>
            <w:pPr>
              <w:pStyle w:val="ListBullet"/>
            </w:pPr>
            <w:r>
              <w:rPr>
                <w:sz w:val="19"/>
              </w:rPr>
              <w:t>Se debe incluir una lógica que invierta automáticamente porcentajes si el usuario carga el dato como '% No Domiciliario' (1 - pct).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Alta / Core Business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10955B"/>
          <w:sz w:val="24"/>
        </w:rPr>
        <w:t>ÉPICA 3: Motor de Ingesta Inteligente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ID: US-05</w:t>
            </w:r>
          </w:p>
        </w:tc>
        <w:tc>
          <w:tcPr>
            <w:tcW w:type="dxa" w:w="720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Título: Importación Dinámica de Ventas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Narrativa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Como </w:t>
            </w:r>
            <w:r>
              <w:t xml:space="preserve">Analista de Datos </w:t>
            </w:r>
            <w:r>
              <w:rPr>
                <w:b/>
              </w:rPr>
              <w:t xml:space="preserve">quiero </w:t>
            </w:r>
            <w:r>
              <w:t xml:space="preserve">subir archivos Excel (.xlsx/.csv) de ventas con estructuras heterogéneas </w:t>
            </w:r>
            <w:r>
              <w:rPr>
                <w:b/>
              </w:rPr>
              <w:t xml:space="preserve">para </w:t>
            </w:r>
            <w:r>
              <w:t>procesar la información del cliente sin tener que obligarlo a llenar una plantilla estricta.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Criterios de Aceptación (DoD)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ListBullet"/>
            </w:pPr>
            <w:r>
              <w:rPr>
                <w:sz w:val="19"/>
              </w:rPr>
              <w:t>El sistema (usando SheetJS) debe escanear las primeras 20 filas para detectar automáticamente la cabecera real de los datos, ignorando logos o títulos institucionales.</w:t>
            </w:r>
          </w:p>
          <w:p>
            <w:pPr>
              <w:pStyle w:val="ListBullet"/>
            </w:pPr>
            <w:r>
              <w:rPr>
                <w:sz w:val="19"/>
              </w:rPr>
              <w:t>Debe existir una interfaz de mapeo donde el usuario asocie la columna de su Excel con las variables del sistema (Ej: Columna 'Código Ítem' = 'SKU').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Alta / Core Business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ID: US-06</w:t>
            </w:r>
          </w:p>
        </w:tc>
        <w:tc>
          <w:tcPr>
            <w:tcW w:type="dxa" w:w="720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Título: Validación de SKUs Huérfanos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Narrativa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Como </w:t>
            </w:r>
            <w:r>
              <w:t xml:space="preserve">Auditor Interno </w:t>
            </w:r>
            <w:r>
              <w:rPr>
                <w:b/>
              </w:rPr>
              <w:t xml:space="preserve">quiero </w:t>
            </w:r>
            <w:r>
              <w:t xml:space="preserve">identificar qué SKUs del archivo de ventas no existen en el catálogo maestro </w:t>
            </w:r>
            <w:r>
              <w:rPr>
                <w:b/>
              </w:rPr>
              <w:t xml:space="preserve">para </w:t>
            </w:r>
            <w:r>
              <w:t>evitar cálculos incompletos y tener la oportunidad de registrar los productos faltantes antes de calcular.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Criterios de Aceptación (DoD)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ListBullet"/>
            </w:pPr>
            <w:r>
              <w:rPr>
                <w:sz w:val="19"/>
              </w:rPr>
              <w:t>El sistema debe cruzar las líneas de venta contra la base de datos de productos.</w:t>
            </w:r>
          </w:p>
          <w:p>
            <w:pPr>
              <w:pStyle w:val="ListBullet"/>
            </w:pPr>
            <w:r>
              <w:rPr>
                <w:sz w:val="19"/>
              </w:rPr>
              <w:t>Si hay SKUs no encontrados, se deben listar en una tabla de advertencias ('SKUs Huérfanos').</w:t>
            </w:r>
          </w:p>
          <w:p>
            <w:pPr>
              <w:pStyle w:val="ListBullet"/>
            </w:pPr>
            <w:r>
              <w:rPr>
                <w:sz w:val="19"/>
              </w:rPr>
              <w:t>Debe haber un botón de acción rápida para agregar la ficha técnica de esos productos faltantes sin perder el progreso.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Alta / Core Business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10955B"/>
          <w:sz w:val="24"/>
        </w:rPr>
        <w:t>ÉPICA 4: Motor de Cálculo Ley REP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ID: US-07</w:t>
            </w:r>
          </w:p>
        </w:tc>
        <w:tc>
          <w:tcPr>
            <w:tcW w:type="dxa" w:w="720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Título: Cálculo Matemático de Materialidades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Narrativa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Como </w:t>
            </w:r>
            <w:r>
              <w:t xml:space="preserve">Analista de Cumplimiento </w:t>
            </w:r>
            <w:r>
              <w:rPr>
                <w:b/>
              </w:rPr>
              <w:t xml:space="preserve">quiero </w:t>
            </w:r>
            <w:r>
              <w:t xml:space="preserve">ejecutar el cálculo que multiplica las unidades vendidas por los pesos de cada capa de material </w:t>
            </w:r>
            <w:r>
              <w:rPr>
                <w:b/>
              </w:rPr>
              <w:t xml:space="preserve">para </w:t>
            </w:r>
            <w:r>
              <w:t>obtener el tonelaje total exacto para la declaración mensual.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Criterios de Aceptación (DoD)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ListBullet"/>
            </w:pPr>
            <w:r>
              <w:rPr>
                <w:sz w:val="19"/>
              </w:rPr>
              <w:t>El algoritmo (`calculateTonnage.ts`) debe multiplicar unidades x peso_en_gramos y convertir a Toneladas.</w:t>
            </w:r>
          </w:p>
          <w:p>
            <w:pPr>
              <w:pStyle w:val="ListBullet"/>
            </w:pPr>
            <w:r>
              <w:rPr>
                <w:sz w:val="19"/>
              </w:rPr>
              <w:t>El cálculo debe retener una precisión estricta de 6 decimales para evitar problemas de redondeo fiscal.</w:t>
            </w:r>
          </w:p>
          <w:p>
            <w:pPr>
              <w:pStyle w:val="ListBullet"/>
            </w:pPr>
            <w:r>
              <w:rPr>
                <w:sz w:val="19"/>
              </w:rPr>
              <w:t>Se deben generar entradas para la Matriz REP clasificando estrictamente por: Material, Sub-Material, Peligrosidad y Canal (DOM/NO DOM).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Alta / Core Business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ID: US-08</w:t>
            </w:r>
          </w:p>
        </w:tc>
        <w:tc>
          <w:tcPr>
            <w:tcW w:type="dxa" w:w="720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Título: Snapshots Temporales Inmutables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Narrativa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Como </w:t>
            </w:r>
            <w:r>
              <w:t xml:space="preserve">Auditor Ambiental </w:t>
            </w:r>
            <w:r>
              <w:rPr>
                <w:b/>
              </w:rPr>
              <w:t xml:space="preserve">quiero </w:t>
            </w:r>
            <w:r>
              <w:t xml:space="preserve">guardar el resultado del cálculo en un historial ligado al Mes y Año (Ej: Mayo 2026) </w:t>
            </w:r>
            <w:r>
              <w:rPr>
                <w:b/>
              </w:rPr>
              <w:t xml:space="preserve">para </w:t>
            </w:r>
            <w:r>
              <w:t>mantener un registro auditable e inmutable que no se modifique si el catálogo cambia en el futuro.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Criterios de Aceptación (DoD)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ListBullet"/>
            </w:pPr>
            <w:r>
              <w:rPr>
                <w:sz w:val="19"/>
              </w:rPr>
              <w:t>Los cálculos finalizados deben guardarse en la memoria (`localStorage` / DB) bajo la llave compuesta `razonSocialId::year::month`.</w:t>
            </w:r>
          </w:p>
          <w:p>
            <w:pPr>
              <w:pStyle w:val="ListBullet"/>
            </w:pPr>
            <w:r>
              <w:rPr>
                <w:sz w:val="19"/>
              </w:rPr>
              <w:t>Al revisar reportes pasados, se deben cargar los datos congelados del Snapshot, ignorando ediciones recientes del catálogo.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Alta / Core Business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10955B"/>
          <w:sz w:val="24"/>
        </w:rPr>
        <w:t>ÉPICA 5: Integración Institucional (ReSimple)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ID: US-09</w:t>
            </w:r>
          </w:p>
        </w:tc>
        <w:tc>
          <w:tcPr>
            <w:tcW w:type="dxa" w:w="720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Título: Traducción y Normalización Taxonómica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Narrativa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Como </w:t>
            </w:r>
            <w:r>
              <w:t xml:space="preserve">Motor de Software </w:t>
            </w:r>
            <w:r>
              <w:rPr>
                <w:b/>
              </w:rPr>
              <w:t xml:space="preserve">quiero </w:t>
            </w:r>
            <w:r>
              <w:t xml:space="preserve">traducir la nomenclatura interna de materiales a la nomenclatura oficial exigida por ReSimple </w:t>
            </w:r>
            <w:r>
              <w:rPr>
                <w:b/>
              </w:rPr>
              <w:t xml:space="preserve">para </w:t>
            </w:r>
            <w:r>
              <w:t>garantizar que los datos encajen en el formulario de gobierno independientemente de cómo se nombraron internamente.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Criterios de Aceptación (DoD)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ListBullet"/>
            </w:pPr>
            <w:r>
              <w:rPr>
                <w:sz w:val="19"/>
              </w:rPr>
              <w:t>El sistema debe remover tildes, mayúsculas y espacios invisibles antes de hacer matching (`normalizeMatchKey`).</w:t>
            </w:r>
          </w:p>
          <w:p>
            <w:pPr>
              <w:pStyle w:val="ListBullet"/>
            </w:pPr>
            <w:r>
              <w:rPr>
                <w:sz w:val="19"/>
              </w:rPr>
              <w:t>Debe existir un diccionario de traducción (ej: 'Madera' interna -&gt; Categoría 'OTROS', sub-material 'Madera').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Alta / Core Business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ID: US-10</w:t>
            </w:r>
          </w:p>
        </w:tc>
        <w:tc>
          <w:tcPr>
            <w:tcW w:type="dxa" w:w="7200"/>
            <w:shd w:fill="0F4C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Título: Inyección Binaria en Plantilla Oficial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Narrativa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Como </w:t>
            </w:r>
            <w:r>
              <w:t xml:space="preserve">Analista de Cumplimiento </w:t>
            </w:r>
            <w:r>
              <w:rPr>
                <w:b/>
              </w:rPr>
              <w:t xml:space="preserve">quiero </w:t>
            </w:r>
            <w:r>
              <w:t xml:space="preserve">descargar la declaración directamente en el archivo Excel oficial de ReSimple </w:t>
            </w:r>
            <w:r>
              <w:rPr>
                <w:b/>
              </w:rPr>
              <w:t xml:space="preserve">para </w:t>
            </w:r>
            <w:r>
              <w:t>evitar el llenado manual, ahorrando tiempo y eliminando errores de tipeo.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Criterios de Aceptación (DoD)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ListBullet"/>
            </w:pPr>
            <w:r>
              <w:rPr>
                <w:sz w:val="19"/>
              </w:rPr>
              <w:t>El sistema debe utilizar `exceljs` para abrir el archivo base sin destruir su estructura (XML original).</w:t>
            </w:r>
          </w:p>
          <w:p>
            <w:pPr>
              <w:pStyle w:val="ListBullet"/>
            </w:pPr>
            <w:r>
              <w:rPr>
                <w:sz w:val="19"/>
              </w:rPr>
              <w:t>Se deben utilizar registros de índices separados (`domIndexRegistry` y `noDomIndexRegistry`) para sortear el problema de las filas desalineadas en la plantilla.</w:t>
            </w:r>
          </w:p>
          <w:p>
            <w:pPr>
              <w:pStyle w:val="ListBullet"/>
            </w:pPr>
            <w:r>
              <w:rPr>
                <w:sz w:val="19"/>
              </w:rPr>
              <w:t>La inyección de valores debe realizarse exclusivamente actualizando la propiedad `.value` de la celda específica, preservando los estilos visuales y fórmulas preexistentes.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Alta / Core Business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