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rPr>
      </w:pPr>
      <w:r w:rsidDel="00000000" w:rsidR="00000000" w:rsidRPr="00000000">
        <w:rPr>
          <w:rtl w:val="0"/>
        </w:rPr>
      </w:r>
    </w:p>
    <w:p w:rsidR="00000000" w:rsidDel="00000000" w:rsidP="00000000" w:rsidRDefault="00000000" w:rsidRPr="00000000" w14:paraId="00000002">
      <w:pPr>
        <w:jc w:val="both"/>
        <w:rPr>
          <w:rFonts w:ascii="Arial" w:cs="Arial" w:eastAsia="Arial" w:hAnsi="Arial"/>
        </w:rPr>
      </w:pPr>
      <w:r w:rsidDel="00000000" w:rsidR="00000000" w:rsidRPr="00000000">
        <w:rPr>
          <w:rtl w:val="0"/>
        </w:rPr>
      </w:r>
    </w:p>
    <w:p w:rsidR="00000000" w:rsidDel="00000000" w:rsidP="00000000" w:rsidRDefault="00000000" w:rsidRPr="00000000" w14:paraId="00000003">
      <w:pPr>
        <w:jc w:val="both"/>
        <w:rPr>
          <w:rFonts w:ascii="Arial" w:cs="Arial" w:eastAsia="Arial" w:hAnsi="Arial"/>
        </w:rPr>
      </w:pPr>
      <w:r w:rsidDel="00000000" w:rsidR="00000000" w:rsidRPr="00000000">
        <w:rPr>
          <w:rtl w:val="0"/>
        </w:rPr>
      </w:r>
    </w:p>
    <w:p w:rsidR="00000000" w:rsidDel="00000000" w:rsidP="00000000" w:rsidRDefault="00000000" w:rsidRPr="00000000" w14:paraId="00000004">
      <w:pPr>
        <w:jc w:val="both"/>
        <w:rPr>
          <w:rFonts w:ascii="Arial" w:cs="Arial" w:eastAsia="Arial" w:hAnsi="Arial"/>
        </w:rPr>
      </w:pPr>
      <w:r w:rsidDel="00000000" w:rsidR="00000000" w:rsidRPr="00000000">
        <w:rPr>
          <w:rtl w:val="0"/>
        </w:rPr>
      </w:r>
    </w:p>
    <w:p w:rsidR="00000000" w:rsidDel="00000000" w:rsidP="00000000" w:rsidRDefault="00000000" w:rsidRPr="00000000" w14:paraId="00000005">
      <w:pPr>
        <w:jc w:val="both"/>
        <w:rPr>
          <w:rFonts w:ascii="Arial" w:cs="Arial" w:eastAsia="Arial" w:hAnsi="Arial"/>
        </w:rPr>
      </w:pPr>
      <w:r w:rsidDel="00000000" w:rsidR="00000000" w:rsidRPr="00000000">
        <w:rPr>
          <w:rtl w:val="0"/>
        </w:rPr>
      </w:r>
    </w:p>
    <w:p w:rsidR="00000000" w:rsidDel="00000000" w:rsidP="00000000" w:rsidRDefault="00000000" w:rsidRPr="00000000" w14:paraId="00000006">
      <w:pPr>
        <w:jc w:val="both"/>
        <w:rPr>
          <w:rFonts w:ascii="Arial" w:cs="Arial" w:eastAsia="Arial" w:hAnsi="Arial"/>
        </w:rPr>
      </w:pPr>
      <w:r w:rsidDel="00000000" w:rsidR="00000000" w:rsidRPr="00000000">
        <w:rPr>
          <w:rtl w:val="0"/>
        </w:rPr>
      </w:r>
    </w:p>
    <w:p w:rsidR="00000000" w:rsidDel="00000000" w:rsidP="00000000" w:rsidRDefault="00000000" w:rsidRPr="00000000" w14:paraId="00000007">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8">
      <w:pPr>
        <w:pStyle w:val="Title"/>
        <w:jc w:val="both"/>
        <w:rPr>
          <w:rFonts w:ascii="Arial" w:cs="Arial" w:eastAsia="Arial" w:hAnsi="Arial"/>
          <w:sz w:val="50"/>
          <w:szCs w:val="50"/>
        </w:rPr>
      </w:pPr>
      <w:bookmarkStart w:colFirst="0" w:colLast="0" w:name="_heading=h.z8uzen3xyqyu" w:id="0"/>
      <w:bookmarkEnd w:id="0"/>
      <w:r w:rsidDel="00000000" w:rsidR="00000000" w:rsidRPr="00000000">
        <w:rPr>
          <w:rFonts w:ascii="Arial" w:cs="Arial" w:eastAsia="Arial" w:hAnsi="Arial"/>
          <w:sz w:val="50"/>
          <w:szCs w:val="50"/>
          <w:rtl w:val="0"/>
        </w:rPr>
        <w:t xml:space="preserve">PLAN DE PROYECTO: PLATAFORMA SAAS B2B LEY REP </w:t>
      </w:r>
    </w:p>
    <w:p w:rsidR="00000000" w:rsidDel="00000000" w:rsidP="00000000" w:rsidRDefault="00000000" w:rsidRPr="00000000" w14:paraId="00000009">
      <w:pPr>
        <w:jc w:val="both"/>
        <w:rPr>
          <w:rFonts w:ascii="Arial" w:cs="Arial" w:eastAsia="Arial" w:hAnsi="Arial"/>
        </w:rPr>
      </w:pPr>
      <w:r w:rsidDel="00000000" w:rsidR="00000000" w:rsidRPr="00000000">
        <w:rPr>
          <w:rtl w:val="0"/>
        </w:rPr>
      </w:r>
    </w:p>
    <w:p w:rsidR="00000000" w:rsidDel="00000000" w:rsidP="00000000" w:rsidRDefault="00000000" w:rsidRPr="00000000" w14:paraId="0000000A">
      <w:pPr>
        <w:jc w:val="both"/>
        <w:rPr>
          <w:rFonts w:ascii="Arial" w:cs="Arial" w:eastAsia="Arial" w:hAnsi="Arial"/>
        </w:rPr>
      </w:pPr>
      <w:r w:rsidDel="00000000" w:rsidR="00000000" w:rsidRPr="00000000">
        <w:rPr>
          <w:rtl w:val="0"/>
        </w:rPr>
      </w:r>
    </w:p>
    <w:p w:rsidR="00000000" w:rsidDel="00000000" w:rsidP="00000000" w:rsidRDefault="00000000" w:rsidRPr="00000000" w14:paraId="0000000B">
      <w:pPr>
        <w:jc w:val="both"/>
        <w:rPr>
          <w:rFonts w:ascii="Arial" w:cs="Arial" w:eastAsia="Arial" w:hAnsi="Arial"/>
        </w:rPr>
      </w:pPr>
      <w:r w:rsidDel="00000000" w:rsidR="00000000" w:rsidRPr="00000000">
        <w:rPr>
          <w:rtl w:val="0"/>
        </w:rPr>
      </w:r>
    </w:p>
    <w:p w:rsidR="00000000" w:rsidDel="00000000" w:rsidP="00000000" w:rsidRDefault="00000000" w:rsidRPr="00000000" w14:paraId="0000000C">
      <w:pPr>
        <w:jc w:val="both"/>
        <w:rPr>
          <w:rFonts w:ascii="Arial" w:cs="Arial" w:eastAsia="Arial" w:hAnsi="Arial"/>
        </w:rPr>
      </w:pPr>
      <w:r w:rsidDel="00000000" w:rsidR="00000000" w:rsidRPr="00000000">
        <w:rPr>
          <w:rtl w:val="0"/>
        </w:rPr>
      </w:r>
    </w:p>
    <w:p w:rsidR="00000000" w:rsidDel="00000000" w:rsidP="00000000" w:rsidRDefault="00000000" w:rsidRPr="00000000" w14:paraId="0000000D">
      <w:pPr>
        <w:jc w:val="both"/>
        <w:rPr>
          <w:rFonts w:ascii="Arial" w:cs="Arial" w:eastAsia="Arial" w:hAnsi="Arial"/>
        </w:rPr>
      </w:pPr>
      <w:r w:rsidDel="00000000" w:rsidR="00000000" w:rsidRPr="00000000">
        <w:rPr>
          <w:rtl w:val="0"/>
        </w:rPr>
      </w:r>
    </w:p>
    <w:p w:rsidR="00000000" w:rsidDel="00000000" w:rsidP="00000000" w:rsidRDefault="00000000" w:rsidRPr="00000000" w14:paraId="0000000E">
      <w:pPr>
        <w:jc w:val="both"/>
        <w:rPr>
          <w:rFonts w:ascii="Arial" w:cs="Arial" w:eastAsia="Arial" w:hAnsi="Arial"/>
        </w:rPr>
      </w:pPr>
      <w:r w:rsidDel="00000000" w:rsidR="00000000" w:rsidRPr="00000000">
        <w:rPr>
          <w:rtl w:val="0"/>
        </w:rPr>
      </w:r>
    </w:p>
    <w:p w:rsidR="00000000" w:rsidDel="00000000" w:rsidP="00000000" w:rsidRDefault="00000000" w:rsidRPr="00000000" w14:paraId="0000000F">
      <w:pPr>
        <w:jc w:val="both"/>
        <w:rPr>
          <w:rFonts w:ascii="Arial" w:cs="Arial" w:eastAsia="Arial" w:hAnsi="Arial"/>
        </w:rPr>
      </w:pPr>
      <w:r w:rsidDel="00000000" w:rsidR="00000000" w:rsidRPr="00000000">
        <w:rPr>
          <w:rtl w:val="0"/>
        </w:rPr>
      </w:r>
    </w:p>
    <w:p w:rsidR="00000000" w:rsidDel="00000000" w:rsidP="00000000" w:rsidRDefault="00000000" w:rsidRPr="00000000" w14:paraId="00000010">
      <w:pPr>
        <w:pStyle w:val="Heading1"/>
        <w:rPr>
          <w:rFonts w:ascii="Arial" w:cs="Arial" w:eastAsia="Arial" w:hAnsi="Arial"/>
        </w:rPr>
      </w:pPr>
      <w:r w:rsidDel="00000000" w:rsidR="00000000" w:rsidRPr="00000000">
        <w:br w:type="page"/>
      </w:r>
      <w:r w:rsidDel="00000000" w:rsidR="00000000" w:rsidRPr="00000000">
        <w:rPr>
          <w:rFonts w:ascii="Arial" w:cs="Arial" w:eastAsia="Arial" w:hAnsi="Arial"/>
          <w:rtl w:val="0"/>
        </w:rPr>
        <w:br w:type="textWrapping"/>
        <w:t xml:space="preserve">Índice</w:t>
      </w:r>
    </w:p>
    <w:p w:rsidR="00000000" w:rsidDel="00000000" w:rsidP="00000000" w:rsidRDefault="00000000" w:rsidRPr="00000000" w14:paraId="00000011">
      <w:pPr>
        <w:rPr>
          <w:rFonts w:ascii="Arial" w:cs="Arial" w:eastAsia="Arial" w:hAnsi="Arial"/>
        </w:rPr>
      </w:pPr>
      <w:r w:rsidDel="00000000" w:rsidR="00000000" w:rsidRPr="00000000">
        <w:rPr>
          <w:rtl w:val="0"/>
        </w:rPr>
      </w:r>
    </w:p>
    <w:sdt>
      <w:sdtPr>
        <w:id w:val="-1719260775"/>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b w:val="1"/>
              <w:bCs w:val="1"/>
              <w:color w:val="000000"/>
              <w:u w:val="none"/>
            </w:rPr>
          </w:pPr>
          <w:hyperlink w:anchor="_heading=h.489b8sn0kj11">
            <w:r w:rsidDel="00000000" w:rsidR="00000000" w:rsidRPr="00000000">
              <w:rPr>
                <w:b w:val="1"/>
                <w:bCs w:val="1"/>
                <w:color w:val="000000"/>
                <w:u w:val="none"/>
                <w:rtl w:val="0"/>
              </w:rPr>
              <w:t xml:space="preserve">Objetivos del Proyecto</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Objetivos Específicos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rPr>
              <w:b w:val="1"/>
              <w:bCs w:val="1"/>
              <w:color w:val="000000"/>
              <w:u w:val="none"/>
            </w:rPr>
          </w:pPr>
          <w:hyperlink w:anchor="_heading=h.ot7ytqh4t5p6">
            <w:r w:rsidDel="00000000" w:rsidR="00000000" w:rsidRPr="00000000">
              <w:rPr>
                <w:b w:val="1"/>
                <w:bCs w:val="1"/>
                <w:color w:val="000000"/>
                <w:u w:val="none"/>
                <w:rtl w:val="0"/>
              </w:rPr>
              <w:t xml:space="preserve">Cronograma y Roadmap de Entregables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b w:val="1"/>
              <w:bCs w:val="1"/>
              <w:color w:val="000000"/>
              <w:u w:val="none"/>
            </w:rPr>
          </w:pPr>
          <w:hyperlink w:anchor="_heading=h.6mutxwx24agd">
            <w:r w:rsidDel="00000000" w:rsidR="00000000" w:rsidRPr="00000000">
              <w:rPr>
                <w:b w:val="1"/>
                <w:bCs w:val="1"/>
                <w:color w:val="000000"/>
                <w:u w:val="none"/>
                <w:rtl w:val="0"/>
              </w:rPr>
              <w:t xml:space="preserve">Matriz de Asignación de Stack Tecnológico</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b w:val="1"/>
              <w:bCs w:val="1"/>
              <w:color w:val="000000"/>
              <w:u w:val="none"/>
            </w:rPr>
          </w:pPr>
          <w:hyperlink w:anchor="_heading=h.m3bc5ak8zd30">
            <w:r w:rsidDel="00000000" w:rsidR="00000000" w:rsidRPr="00000000">
              <w:rPr>
                <w:b w:val="1"/>
                <w:bCs w:val="1"/>
                <w:color w:val="000000"/>
                <w:u w:val="none"/>
                <w:rtl w:val="0"/>
              </w:rPr>
              <w:t xml:space="preserve">Matriz de Gestión de Riesgos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b w:val="1"/>
              <w:bCs w:val="1"/>
              <w:color w:val="000000"/>
              <w:u w:val="none"/>
            </w:rPr>
          </w:pPr>
          <w:hyperlink w:anchor="_heading=h.d90bdhxm7m4s">
            <w:r w:rsidDel="00000000" w:rsidR="00000000" w:rsidRPr="00000000">
              <w:rPr>
                <w:b w:val="1"/>
                <w:bCs w:val="1"/>
                <w:color w:val="000000"/>
                <w:u w:val="none"/>
                <w:rtl w:val="0"/>
              </w:rPr>
              <w:t xml:space="preserve">Conclusión</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A">
      <w:pPr>
        <w:jc w:val="both"/>
        <w:rPr>
          <w:rFonts w:ascii="Arial" w:cs="Arial" w:eastAsia="Arial" w:hAnsi="Arial"/>
        </w:rPr>
      </w:pPr>
      <w:r w:rsidDel="00000000" w:rsidR="00000000" w:rsidRPr="00000000">
        <w:rPr>
          <w:rtl w:val="0"/>
        </w:rPr>
      </w:r>
    </w:p>
    <w:p w:rsidR="00000000" w:rsidDel="00000000" w:rsidP="00000000" w:rsidRDefault="00000000" w:rsidRPr="00000000" w14:paraId="0000001B">
      <w:pPr>
        <w:pStyle w:val="Heading1"/>
        <w:jc w:val="both"/>
        <w:rPr>
          <w:rFonts w:ascii="Arial" w:cs="Arial" w:eastAsia="Arial" w:hAnsi="Arial"/>
        </w:rPr>
      </w:pPr>
      <w:bookmarkStart w:colFirst="0" w:colLast="0" w:name="_heading=h.489b8sn0kj11" w:id="1"/>
      <w:bookmarkEnd w:id="1"/>
      <w:r w:rsidDel="00000000" w:rsidR="00000000" w:rsidRPr="00000000">
        <w:rPr>
          <w:rFonts w:ascii="Arial" w:cs="Arial" w:eastAsia="Arial" w:hAnsi="Arial"/>
          <w:rtl w:val="0"/>
        </w:rPr>
        <w:t xml:space="preserve">Objetivos del Proyecto</w:t>
      </w:r>
    </w:p>
    <w:p w:rsidR="00000000" w:rsidDel="00000000" w:rsidP="00000000" w:rsidRDefault="00000000" w:rsidRPr="00000000" w14:paraId="0000001C">
      <w:pPr>
        <w:jc w:val="both"/>
        <w:rPr>
          <w:rFonts w:ascii="Arial" w:cs="Arial" w:eastAsia="Arial" w:hAnsi="Arial"/>
          <w:b w:val="1"/>
          <w:bCs w:val="1"/>
        </w:rPr>
      </w:pPr>
      <w:r w:rsidDel="00000000" w:rsidR="00000000" w:rsidRPr="00000000">
        <w:rPr>
          <w:rFonts w:ascii="Arial" w:cs="Arial" w:eastAsia="Arial" w:hAnsi="Arial"/>
          <w:b w:val="1"/>
          <w:bCs w:val="1"/>
          <w:rtl w:val="0"/>
        </w:rPr>
        <w:t xml:space="preserve">Objetivo General</w:t>
      </w:r>
    </w:p>
    <w:p w:rsidR="00000000" w:rsidDel="00000000" w:rsidP="00000000" w:rsidRDefault="00000000" w:rsidRPr="00000000" w14:paraId="0000001D">
      <w:pPr>
        <w:jc w:val="both"/>
        <w:rPr>
          <w:rFonts w:ascii="Arial" w:cs="Arial" w:eastAsia="Arial" w:hAnsi="Arial"/>
        </w:rPr>
      </w:pPr>
      <w:r w:rsidDel="00000000" w:rsidR="00000000" w:rsidRPr="00000000">
        <w:rPr>
          <w:rFonts w:ascii="Arial" w:cs="Arial" w:eastAsia="Arial" w:hAnsi="Arial"/>
          <w:rtl w:val="0"/>
        </w:rPr>
        <w:t xml:space="preserve">Desarrollar y desplegar una plataforma web SaaS B2B (SPA) que automatice la ingesta de ventas, la cuantificación de materialidades a 6 decimales y la generación de declaraciones oficiales en formato Excel sin alterar las plantillas exigidas por los Sistemas Colectivos de Gestión. </w:t>
      </w:r>
    </w:p>
    <w:p w:rsidR="00000000" w:rsidDel="00000000" w:rsidP="00000000" w:rsidRDefault="00000000" w:rsidRPr="00000000" w14:paraId="0000001E">
      <w:pPr>
        <w:pStyle w:val="Heading2"/>
        <w:jc w:val="both"/>
        <w:rPr>
          <w:rFonts w:ascii="Arial" w:cs="Arial" w:eastAsia="Arial" w:hAnsi="Arial"/>
        </w:rPr>
      </w:pPr>
      <w:r w:rsidDel="00000000" w:rsidR="00000000" w:rsidRPr="00000000">
        <w:rPr>
          <w:rFonts w:ascii="Arial" w:cs="Arial" w:eastAsia="Arial" w:hAnsi="Arial"/>
          <w:rtl w:val="0"/>
        </w:rPr>
        <w:t xml:space="preserve">Objetivos Específicos</w:t>
      </w:r>
    </w:p>
    <w:p w:rsidR="00000000" w:rsidDel="00000000" w:rsidP="00000000" w:rsidRDefault="00000000" w:rsidRPr="00000000" w14:paraId="0000001F">
      <w:pPr>
        <w:numPr>
          <w:ilvl w:val="0"/>
          <w:numId w:val="1"/>
        </w:numPr>
        <w:ind w:left="720" w:hanging="360"/>
        <w:jc w:val="both"/>
        <w:rPr>
          <w:rFonts w:ascii="Arial" w:cs="Arial" w:eastAsia="Arial" w:hAnsi="Arial"/>
        </w:rPr>
      </w:pPr>
      <w:r w:rsidDel="00000000" w:rsidR="00000000" w:rsidRPr="00000000">
        <w:rPr>
          <w:rFonts w:ascii="Arial" w:cs="Arial" w:eastAsia="Arial" w:hAnsi="Arial"/>
          <w:rtl w:val="0"/>
        </w:rPr>
        <w:t xml:space="preserve">Implementar la persistencia multi-tenant aislada por Razón Social mediante la migración a una base de datos relacional (PostgreSQL) con autenticación segura. </w:t>
      </w:r>
    </w:p>
    <w:p w:rsidR="00000000" w:rsidDel="00000000" w:rsidP="00000000" w:rsidRDefault="00000000" w:rsidRPr="00000000" w14:paraId="00000020">
      <w:pPr>
        <w:numPr>
          <w:ilvl w:val="0"/>
          <w:numId w:val="1"/>
        </w:numPr>
        <w:ind w:left="720" w:hanging="360"/>
        <w:jc w:val="both"/>
        <w:rPr>
          <w:rFonts w:ascii="Arial" w:cs="Arial" w:eastAsia="Arial" w:hAnsi="Arial"/>
        </w:rPr>
      </w:pPr>
      <w:r w:rsidDel="00000000" w:rsidR="00000000" w:rsidRPr="00000000">
        <w:rPr>
          <w:rFonts w:ascii="Arial" w:cs="Arial" w:eastAsia="Arial" w:hAnsi="Arial"/>
          <w:rtl w:val="0"/>
        </w:rPr>
        <w:t xml:space="preserve">Rediseñar e integrar el Dashboard de Mando principal con métricas ejecutivas de tonelaje por período. </w:t>
      </w:r>
    </w:p>
    <w:p w:rsidR="00000000" w:rsidDel="00000000" w:rsidP="00000000" w:rsidRDefault="00000000" w:rsidRPr="00000000" w14:paraId="00000021">
      <w:pPr>
        <w:numPr>
          <w:ilvl w:val="0"/>
          <w:numId w:val="1"/>
        </w:numPr>
        <w:ind w:left="720" w:hanging="360"/>
        <w:jc w:val="both"/>
        <w:rPr>
          <w:rFonts w:ascii="Arial" w:cs="Arial" w:eastAsia="Arial" w:hAnsi="Arial"/>
        </w:rPr>
      </w:pPr>
      <w:r w:rsidDel="00000000" w:rsidR="00000000" w:rsidRPr="00000000">
        <w:rPr>
          <w:rFonts w:ascii="Arial" w:cs="Arial" w:eastAsia="Arial" w:hAnsi="Arial"/>
          <w:rtl w:val="0"/>
        </w:rPr>
        <w:t xml:space="preserve">Extender el motor de exportación de bajo nivel (ExcelJS) para cubrir los Sistemas Colectivos GIRO y ProREP, manteniendo la precisión aritmética validada frente a macros de auditoría. </w:t>
      </w:r>
    </w:p>
    <w:p w:rsidR="00000000" w:rsidDel="00000000" w:rsidP="00000000" w:rsidRDefault="00000000" w:rsidRPr="00000000" w14:paraId="00000022">
      <w:pPr>
        <w:numPr>
          <w:ilvl w:val="0"/>
          <w:numId w:val="1"/>
        </w:numPr>
        <w:ind w:left="720" w:hanging="360"/>
        <w:jc w:val="both"/>
        <w:rPr>
          <w:rFonts w:ascii="Arial" w:cs="Arial" w:eastAsia="Arial" w:hAnsi="Arial"/>
        </w:rPr>
      </w:pPr>
      <w:r w:rsidDel="00000000" w:rsidR="00000000" w:rsidRPr="00000000">
        <w:rPr>
          <w:rFonts w:ascii="Arial" w:cs="Arial" w:eastAsia="Arial" w:hAnsi="Arial"/>
          <w:rtl w:val="0"/>
        </w:rPr>
        <w:t xml:space="preserve">Redactar los informes de las Fases 2 y 3 y preparar la defensa oficial del Capston</w:t>
      </w:r>
    </w:p>
    <w:p w:rsidR="00000000" w:rsidDel="00000000" w:rsidP="00000000" w:rsidRDefault="00000000" w:rsidRPr="00000000" w14:paraId="00000023">
      <w:pPr>
        <w:pStyle w:val="Heading1"/>
        <w:jc w:val="both"/>
        <w:rPr>
          <w:rFonts w:ascii="Arial" w:cs="Arial" w:eastAsia="Arial" w:hAnsi="Arial"/>
        </w:rPr>
      </w:pPr>
      <w:bookmarkStart w:colFirst="0" w:colLast="0" w:name="_heading=h.ot7ytqh4t5p6" w:id="2"/>
      <w:bookmarkEnd w:id="2"/>
      <w:r w:rsidDel="00000000" w:rsidR="00000000" w:rsidRPr="00000000">
        <w:rPr>
          <w:rFonts w:ascii="Arial" w:cs="Arial" w:eastAsia="Arial" w:hAnsi="Arial"/>
          <w:rtl w:val="0"/>
        </w:rPr>
        <w:t xml:space="preserve">Cronograma y Roadmap de Entregables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both"/>
        <w:rPr>
          <w:rFonts w:ascii="Arial" w:cs="Arial" w:eastAsia="Arial" w:hAnsi="Arial"/>
          <w:b w:val="1"/>
          <w:bCs w:val="1"/>
        </w:rPr>
      </w:pPr>
      <w:r w:rsidDel="00000000" w:rsidR="00000000" w:rsidRPr="00000000">
        <w:rPr>
          <w:rFonts w:ascii="Arial" w:cs="Arial" w:eastAsia="Arial" w:hAnsi="Arial"/>
          <w:b w:val="1"/>
          <w:bCs w:val="1"/>
          <w:rtl w:val="0"/>
        </w:rPr>
        <w:t xml:space="preserve">FASE 1: Consolidación del Core &amp; Arquitectura (Semanas 1 - 4)</w:t>
      </w:r>
    </w:p>
    <w:p w:rsidR="00000000" w:rsidDel="00000000" w:rsidP="00000000" w:rsidRDefault="00000000" w:rsidRPr="00000000" w14:paraId="00000026">
      <w:pPr>
        <w:numPr>
          <w:ilvl w:val="0"/>
          <w:numId w:val="2"/>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Sprint 1 (Semana 1-2): Catálogo Técnico &amp; Ingesta Intuitiva</w:t>
      </w:r>
      <w:r w:rsidDel="00000000" w:rsidR="00000000" w:rsidRPr="00000000">
        <w:rPr>
          <w:rtl w:val="0"/>
        </w:rPr>
      </w:r>
    </w:p>
    <w:p w:rsidR="00000000" w:rsidDel="00000000" w:rsidP="00000000" w:rsidRDefault="00000000" w:rsidRPr="00000000" w14:paraId="00000027">
      <w:pPr>
        <w:numPr>
          <w:ilvl w:val="1"/>
          <w:numId w:val="2"/>
        </w:numPr>
        <w:ind w:left="1440" w:hanging="360"/>
        <w:jc w:val="both"/>
        <w:rPr>
          <w:rFonts w:ascii="Arial" w:cs="Arial" w:eastAsia="Arial" w:hAnsi="Arial"/>
        </w:rPr>
      </w:pPr>
      <w:r w:rsidDel="00000000" w:rsidR="00000000" w:rsidRPr="00000000">
        <w:rPr>
          <w:rFonts w:ascii="Arial" w:cs="Arial" w:eastAsia="Arial" w:hAnsi="Arial"/>
          <w:i w:val="1"/>
          <w:iCs w:val="1"/>
          <w:rtl w:val="0"/>
        </w:rPr>
        <w:t xml:space="preserve">Entregables:</w:t>
      </w:r>
      <w:r w:rsidDel="00000000" w:rsidR="00000000" w:rsidRPr="00000000">
        <w:rPr>
          <w:rFonts w:ascii="Arial" w:cs="Arial" w:eastAsia="Arial" w:hAnsi="Arial"/>
          <w:rtl w:val="0"/>
        </w:rPr>
        <w:t xml:space="preserve"> Módulo Multi-Empresa, parseo flexible de archivos Excel con SheetJS, mapeador dinámico de columnas SKU y Unidades. </w:t>
      </w:r>
    </w:p>
    <w:p w:rsidR="00000000" w:rsidDel="00000000" w:rsidP="00000000" w:rsidRDefault="00000000" w:rsidRPr="00000000" w14:paraId="00000028">
      <w:pPr>
        <w:numPr>
          <w:ilvl w:val="0"/>
          <w:numId w:val="2"/>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Sprint 2 (Semana 3-4): Motor de Cálculo &amp; Exportador ReSimple</w:t>
      </w:r>
      <w:r w:rsidDel="00000000" w:rsidR="00000000" w:rsidRPr="00000000">
        <w:rPr>
          <w:rtl w:val="0"/>
        </w:rPr>
      </w:r>
    </w:p>
    <w:p w:rsidR="00000000" w:rsidDel="00000000" w:rsidP="00000000" w:rsidRDefault="00000000" w:rsidRPr="00000000" w14:paraId="00000029">
      <w:pPr>
        <w:numPr>
          <w:ilvl w:val="1"/>
          <w:numId w:val="2"/>
        </w:numPr>
        <w:ind w:left="1440" w:hanging="360"/>
        <w:jc w:val="both"/>
        <w:rPr>
          <w:rFonts w:ascii="Arial" w:cs="Arial" w:eastAsia="Arial" w:hAnsi="Arial"/>
        </w:rPr>
      </w:pPr>
      <w:r w:rsidDel="00000000" w:rsidR="00000000" w:rsidRPr="00000000">
        <w:rPr>
          <w:rFonts w:ascii="Arial" w:cs="Arial" w:eastAsia="Arial" w:hAnsi="Arial"/>
          <w:i w:val="1"/>
          <w:iCs w:val="1"/>
          <w:rtl w:val="0"/>
        </w:rPr>
        <w:t xml:space="preserve">Entregables:</w:t>
      </w:r>
      <w:r w:rsidDel="00000000" w:rsidR="00000000" w:rsidRPr="00000000">
        <w:rPr>
          <w:rFonts w:ascii="Arial" w:cs="Arial" w:eastAsia="Arial" w:hAnsi="Arial"/>
          <w:rtl w:val="0"/>
        </w:rPr>
        <w:t xml:space="preserve"> Motor de cálculo con precisión de 6 decimales, regla de snapshots razonSocialId::year::month, inyección quirúrgica con ExcelJS en la plantilla oficial ReSimple (columnas E, F, K y L). </w:t>
      </w:r>
    </w:p>
    <w:p w:rsidR="00000000" w:rsidDel="00000000" w:rsidP="00000000" w:rsidRDefault="00000000" w:rsidRPr="00000000" w14:paraId="0000002A">
      <w:pPr>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B">
      <w:pPr>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C">
      <w:pPr>
        <w:jc w:val="both"/>
        <w:rPr>
          <w:rFonts w:ascii="Arial" w:cs="Arial" w:eastAsia="Arial" w:hAnsi="Arial"/>
          <w:b w:val="1"/>
          <w:bCs w:val="1"/>
        </w:rPr>
      </w:pPr>
      <w:r w:rsidDel="00000000" w:rsidR="00000000" w:rsidRPr="00000000">
        <w:rPr>
          <w:rFonts w:ascii="Arial" w:cs="Arial" w:eastAsia="Arial" w:hAnsi="Arial"/>
          <w:b w:val="1"/>
          <w:bCs w:val="1"/>
          <w:rtl w:val="0"/>
        </w:rPr>
        <w:t xml:space="preserve">FASE 2: Backend REST, Persistencia &amp; Rediseño UI (Semanas 5 - 8)</w:t>
      </w:r>
    </w:p>
    <w:p w:rsidR="00000000" w:rsidDel="00000000" w:rsidP="00000000" w:rsidRDefault="00000000" w:rsidRPr="00000000" w14:paraId="0000002D">
      <w:pPr>
        <w:numPr>
          <w:ilvl w:val="0"/>
          <w:numId w:val="3"/>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Sprint 3 (Semana 5-6): Migración de Persistencia &amp; Backend REST</w:t>
      </w:r>
      <w:r w:rsidDel="00000000" w:rsidR="00000000" w:rsidRPr="00000000">
        <w:rPr>
          <w:rtl w:val="0"/>
        </w:rPr>
      </w:r>
    </w:p>
    <w:p w:rsidR="00000000" w:rsidDel="00000000" w:rsidP="00000000" w:rsidRDefault="00000000" w:rsidRPr="00000000" w14:paraId="0000002E">
      <w:pPr>
        <w:numPr>
          <w:ilvl w:val="1"/>
          <w:numId w:val="3"/>
        </w:numPr>
        <w:ind w:left="1440" w:hanging="360"/>
        <w:jc w:val="both"/>
        <w:rPr>
          <w:rFonts w:ascii="Arial" w:cs="Arial" w:eastAsia="Arial" w:hAnsi="Arial"/>
        </w:rPr>
      </w:pPr>
      <w:r w:rsidDel="00000000" w:rsidR="00000000" w:rsidRPr="00000000">
        <w:rPr>
          <w:rFonts w:ascii="Arial" w:cs="Arial" w:eastAsia="Arial" w:hAnsi="Arial"/>
          <w:i w:val="1"/>
          <w:iCs w:val="1"/>
          <w:rtl w:val="0"/>
        </w:rPr>
        <w:t xml:space="preserve">Entregables:</w:t>
      </w:r>
      <w:r w:rsidDel="00000000" w:rsidR="00000000" w:rsidRPr="00000000">
        <w:rPr>
          <w:rFonts w:ascii="Arial" w:cs="Arial" w:eastAsia="Arial" w:hAnsi="Arial"/>
          <w:rtl w:val="0"/>
        </w:rPr>
        <w:t xml:space="preserve"> Diseño de esquema en PostgreSQL, construcción de API REST (Node.js/Django), autenticación JWT y gestión de roles. </w:t>
      </w:r>
    </w:p>
    <w:p w:rsidR="00000000" w:rsidDel="00000000" w:rsidP="00000000" w:rsidRDefault="00000000" w:rsidRPr="00000000" w14:paraId="0000002F">
      <w:pPr>
        <w:numPr>
          <w:ilvl w:val="0"/>
          <w:numId w:val="3"/>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Sprint 4 (Semana 7-8): Rediseño del Dashboard &amp; Centro de Comando</w:t>
      </w:r>
      <w:r w:rsidDel="00000000" w:rsidR="00000000" w:rsidRPr="00000000">
        <w:rPr>
          <w:rtl w:val="0"/>
        </w:rPr>
      </w:r>
    </w:p>
    <w:p w:rsidR="00000000" w:rsidDel="00000000" w:rsidP="00000000" w:rsidRDefault="00000000" w:rsidRPr="00000000" w14:paraId="00000030">
      <w:pPr>
        <w:numPr>
          <w:ilvl w:val="1"/>
          <w:numId w:val="3"/>
        </w:numPr>
        <w:ind w:left="1440" w:hanging="360"/>
        <w:jc w:val="both"/>
        <w:rPr>
          <w:rFonts w:ascii="Arial" w:cs="Arial" w:eastAsia="Arial" w:hAnsi="Arial"/>
        </w:rPr>
      </w:pPr>
      <w:r w:rsidDel="00000000" w:rsidR="00000000" w:rsidRPr="00000000">
        <w:rPr>
          <w:rFonts w:ascii="Arial" w:cs="Arial" w:eastAsia="Arial" w:hAnsi="Arial"/>
          <w:i w:val="1"/>
          <w:iCs w:val="1"/>
          <w:rtl w:val="0"/>
        </w:rPr>
        <w:t xml:space="preserve">Entregables:</w:t>
      </w:r>
      <w:r w:rsidDel="00000000" w:rsidR="00000000" w:rsidRPr="00000000">
        <w:rPr>
          <w:rFonts w:ascii="Arial" w:cs="Arial" w:eastAsia="Arial" w:hAnsi="Arial"/>
          <w:rtl w:val="0"/>
        </w:rPr>
        <w:t xml:space="preserve"> Rediseño de la interfaz principal con métricas ejecutivas, tarjetas KPI (DOM vs NO DOM) y tablas optimizadas con TanStack Table. </w:t>
      </w:r>
    </w:p>
    <w:p w:rsidR="00000000" w:rsidDel="00000000" w:rsidP="00000000" w:rsidRDefault="00000000" w:rsidRPr="00000000" w14:paraId="00000031">
      <w:pPr>
        <w:jc w:val="both"/>
        <w:rPr>
          <w:rFonts w:ascii="Arial" w:cs="Arial" w:eastAsia="Arial" w:hAnsi="Arial"/>
          <w:b w:val="1"/>
          <w:bCs w:val="1"/>
        </w:rPr>
      </w:pPr>
      <w:r w:rsidDel="00000000" w:rsidR="00000000" w:rsidRPr="00000000">
        <w:rPr>
          <w:rFonts w:ascii="Arial" w:cs="Arial" w:eastAsia="Arial" w:hAnsi="Arial"/>
          <w:b w:val="1"/>
          <w:bCs w:val="1"/>
          <w:rtl w:val="0"/>
        </w:rPr>
        <w:t xml:space="preserve">FASE 3: Exportadores Adicionales, Cierre &amp; Defensa Capstone (Semanas 9 - 12)</w:t>
      </w:r>
    </w:p>
    <w:p w:rsidR="00000000" w:rsidDel="00000000" w:rsidP="00000000" w:rsidRDefault="00000000" w:rsidRPr="00000000" w14:paraId="00000032">
      <w:pPr>
        <w:numPr>
          <w:ilvl w:val="0"/>
          <w:numId w:val="4"/>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Sprint 5 (Semana 9-10): Extensión a GIRO y ProREP</w:t>
      </w:r>
      <w:r w:rsidDel="00000000" w:rsidR="00000000" w:rsidRPr="00000000">
        <w:rPr>
          <w:rtl w:val="0"/>
        </w:rPr>
      </w:r>
    </w:p>
    <w:p w:rsidR="00000000" w:rsidDel="00000000" w:rsidP="00000000" w:rsidRDefault="00000000" w:rsidRPr="00000000" w14:paraId="00000033">
      <w:pPr>
        <w:numPr>
          <w:ilvl w:val="1"/>
          <w:numId w:val="4"/>
        </w:numPr>
        <w:ind w:left="1440" w:hanging="360"/>
        <w:jc w:val="both"/>
        <w:rPr>
          <w:rFonts w:ascii="Arial" w:cs="Arial" w:eastAsia="Arial" w:hAnsi="Arial"/>
        </w:rPr>
      </w:pPr>
      <w:r w:rsidDel="00000000" w:rsidR="00000000" w:rsidRPr="00000000">
        <w:rPr>
          <w:rFonts w:ascii="Arial" w:cs="Arial" w:eastAsia="Arial" w:hAnsi="Arial"/>
          <w:i w:val="1"/>
          <w:iCs w:val="1"/>
          <w:rtl w:val="0"/>
        </w:rPr>
        <w:t xml:space="preserve">Entregables:</w:t>
      </w:r>
      <w:r w:rsidDel="00000000" w:rsidR="00000000" w:rsidRPr="00000000">
        <w:rPr>
          <w:rFonts w:ascii="Arial" w:cs="Arial" w:eastAsia="Arial" w:hAnsi="Arial"/>
          <w:rtl w:val="0"/>
        </w:rPr>
        <w:t xml:space="preserve"> Módulos de matching taxonómico (giroTemplateMatching.ts y prorepTemplateMatching.ts), inyección ExcelJS para GIRO/ProREP y validación de paridad aritmética. </w:t>
      </w:r>
    </w:p>
    <w:p w:rsidR="00000000" w:rsidDel="00000000" w:rsidP="00000000" w:rsidRDefault="00000000" w:rsidRPr="00000000" w14:paraId="00000034">
      <w:pPr>
        <w:numPr>
          <w:ilvl w:val="0"/>
          <w:numId w:val="4"/>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Sprint 6 (Semana 11-12): Informe Final, Pruebas y Defensa de Título</w:t>
      </w:r>
      <w:r w:rsidDel="00000000" w:rsidR="00000000" w:rsidRPr="00000000">
        <w:rPr>
          <w:rtl w:val="0"/>
        </w:rPr>
      </w:r>
    </w:p>
    <w:p w:rsidR="00000000" w:rsidDel="00000000" w:rsidP="00000000" w:rsidRDefault="00000000" w:rsidRPr="00000000" w14:paraId="00000035">
      <w:pPr>
        <w:numPr>
          <w:ilvl w:val="1"/>
          <w:numId w:val="4"/>
        </w:numPr>
        <w:ind w:left="1440" w:hanging="360"/>
        <w:jc w:val="both"/>
        <w:rPr>
          <w:rFonts w:ascii="Arial" w:cs="Arial" w:eastAsia="Arial" w:hAnsi="Arial"/>
        </w:rPr>
      </w:pPr>
      <w:r w:rsidDel="00000000" w:rsidR="00000000" w:rsidRPr="00000000">
        <w:rPr>
          <w:rFonts w:ascii="Arial" w:cs="Arial" w:eastAsia="Arial" w:hAnsi="Arial"/>
          <w:i w:val="1"/>
          <w:iCs w:val="1"/>
          <w:rtl w:val="0"/>
        </w:rPr>
        <w:t xml:space="preserve">Entregables:</w:t>
      </w:r>
      <w:r w:rsidDel="00000000" w:rsidR="00000000" w:rsidRPr="00000000">
        <w:rPr>
          <w:rFonts w:ascii="Arial" w:cs="Arial" w:eastAsia="Arial" w:hAnsi="Arial"/>
          <w:rtl w:val="0"/>
        </w:rPr>
        <w:t xml:space="preserve"> Consolidación de Informes de Fases 2 y 3, pruebas CI/CD, preparación de demostración en vivo (Demo) y Exposición Oral de Capstone.</w:t>
      </w:r>
    </w:p>
    <w:p w:rsidR="00000000" w:rsidDel="00000000" w:rsidP="00000000" w:rsidRDefault="00000000" w:rsidRPr="00000000" w14:paraId="00000036">
      <w:pPr>
        <w:pStyle w:val="Heading2"/>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jc w:val="both"/>
        <w:rPr>
          <w:rFonts w:ascii="Arial" w:cs="Arial" w:eastAsia="Arial" w:hAnsi="Arial"/>
        </w:rPr>
      </w:pPr>
      <w:bookmarkStart w:colFirst="0" w:colLast="0" w:name="_heading=h.6mutxwx24agd" w:id="3"/>
      <w:bookmarkEnd w:id="3"/>
      <w:r w:rsidDel="00000000" w:rsidR="00000000" w:rsidRPr="00000000">
        <w:rPr>
          <w:rFonts w:ascii="Arial" w:cs="Arial" w:eastAsia="Arial" w:hAnsi="Arial"/>
          <w:rtl w:val="0"/>
        </w:rPr>
        <w:t xml:space="preserve">Matriz de Asignación de Stack Tecnológico</w:t>
      </w:r>
    </w:p>
    <w:p w:rsidR="00000000" w:rsidDel="00000000" w:rsidP="00000000" w:rsidRDefault="00000000" w:rsidRPr="00000000" w14:paraId="00000038">
      <w:pPr>
        <w:rPr>
          <w:rFonts w:ascii="Arial" w:cs="Arial" w:eastAsia="Arial" w:hAnsi="Arial"/>
        </w:rPr>
      </w:pPr>
      <w:r w:rsidDel="00000000" w:rsidR="00000000" w:rsidRPr="00000000">
        <w:rPr>
          <w:rtl w:val="0"/>
        </w:rPr>
      </w:r>
    </w:p>
    <w:tbl>
      <w:tblPr>
        <w:tblStyle w:val="Table1"/>
        <w:tblW w:w="9348.0" w:type="dxa"/>
        <w:jc w:val="left"/>
        <w:tblBorders>
          <w:top w:color="f1a983" w:space="0" w:sz="4" w:val="single"/>
          <w:bottom w:color="f1a983" w:space="0" w:sz="4" w:val="single"/>
          <w:insideH w:color="f1a983" w:space="0" w:sz="4" w:val="single"/>
          <w:insideV w:color="f1a983" w:space="0" w:sz="4" w:val="single"/>
        </w:tblBorders>
        <w:tblLayout w:type="fixed"/>
        <w:tblLook w:val="04A0"/>
      </w:tblPr>
      <w:tblGrid>
        <w:gridCol w:w="1666"/>
        <w:gridCol w:w="3060"/>
        <w:gridCol w:w="4622"/>
        <w:tblGridChange w:id="0">
          <w:tblGrid>
            <w:gridCol w:w="1666"/>
            <w:gridCol w:w="3060"/>
            <w:gridCol w:w="4622"/>
          </w:tblGrid>
        </w:tblGridChange>
      </w:tblGrid>
      <w:tr>
        <w:trPr>
          <w:cantSplit w:val="0"/>
          <w:tblHeader w:val="0"/>
        </w:trPr>
        <w:tc>
          <w:tcPr/>
          <w:p w:rsidR="00000000" w:rsidDel="00000000" w:rsidP="00000000" w:rsidRDefault="00000000" w:rsidRPr="00000000" w14:paraId="00000039">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Componente</w:t>
            </w:r>
          </w:p>
        </w:tc>
        <w:tc>
          <w:tcPr/>
          <w:p w:rsidR="00000000" w:rsidDel="00000000" w:rsidP="00000000" w:rsidRDefault="00000000" w:rsidRPr="00000000" w14:paraId="0000003A">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Tecnología Seleccionada</w:t>
            </w:r>
          </w:p>
        </w:tc>
        <w:tc>
          <w:tcPr/>
          <w:p w:rsidR="00000000" w:rsidDel="00000000" w:rsidP="00000000" w:rsidRDefault="00000000" w:rsidRPr="00000000" w14:paraId="0000003B">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Justificación Técnica</w:t>
            </w:r>
          </w:p>
        </w:tc>
      </w:tr>
      <w:tr>
        <w:trPr>
          <w:cantSplit w:val="0"/>
          <w:tblHeader w:val="0"/>
        </w:trPr>
        <w:tc>
          <w:tcPr/>
          <w:p w:rsidR="00000000" w:rsidDel="00000000" w:rsidP="00000000" w:rsidRDefault="00000000" w:rsidRPr="00000000" w14:paraId="0000003C">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Frontend</w:t>
            </w:r>
          </w:p>
        </w:tc>
        <w:tc>
          <w:tcPr/>
          <w:p w:rsidR="00000000" w:rsidDel="00000000" w:rsidP="00000000" w:rsidRDefault="00000000" w:rsidRPr="00000000" w14:paraId="0000003D">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React 19 + TypeScript 5.9 + Vite 8 </w:t>
            </w:r>
          </w:p>
          <w:p w:rsidR="00000000" w:rsidDel="00000000" w:rsidP="00000000" w:rsidRDefault="00000000" w:rsidRPr="00000000" w14:paraId="0000003E">
            <w:pPr>
              <w:spacing w:after="160" w:line="278.00000000000006" w:lineRule="auto"/>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F">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Tipado estricto sin any para evitar errores en producción. Renderizado ultrarrápido con Vite 8. </w:t>
            </w:r>
          </w:p>
          <w:p w:rsidR="00000000" w:rsidDel="00000000" w:rsidP="00000000" w:rsidRDefault="00000000" w:rsidRPr="00000000" w14:paraId="00000040">
            <w:pPr>
              <w:spacing w:after="160" w:line="278.00000000000006" w:lineRule="auto"/>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1">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Diseño UI</w:t>
            </w:r>
          </w:p>
        </w:tc>
        <w:tc>
          <w:tcPr/>
          <w:p w:rsidR="00000000" w:rsidDel="00000000" w:rsidP="00000000" w:rsidRDefault="00000000" w:rsidRPr="00000000" w14:paraId="00000042">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Tailwind CSS 4 + Lucide React + TanStack Table </w:t>
            </w:r>
          </w:p>
          <w:p w:rsidR="00000000" w:rsidDel="00000000" w:rsidP="00000000" w:rsidRDefault="00000000" w:rsidRPr="00000000" w14:paraId="00000043">
            <w:pPr>
              <w:spacing w:after="160" w:line="278.00000000000006" w:lineRule="auto"/>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4">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Interfaz corporativa limpia (Light Theme) con tablas optimizadas para grandes volúmenes de datos. </w:t>
            </w:r>
          </w:p>
          <w:p w:rsidR="00000000" w:rsidDel="00000000" w:rsidP="00000000" w:rsidRDefault="00000000" w:rsidRPr="00000000" w14:paraId="00000045">
            <w:pPr>
              <w:spacing w:after="160" w:line="278.00000000000006" w:lineRule="auto"/>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6">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Lectura Excel</w:t>
            </w:r>
          </w:p>
        </w:tc>
        <w:tc>
          <w:tcPr/>
          <w:p w:rsidR="00000000" w:rsidDel="00000000" w:rsidP="00000000" w:rsidRDefault="00000000" w:rsidRPr="00000000" w14:paraId="00000047">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SheetJS (xlsx) </w:t>
            </w:r>
          </w:p>
          <w:p w:rsidR="00000000" w:rsidDel="00000000" w:rsidP="00000000" w:rsidRDefault="00000000" w:rsidRPr="00000000" w14:paraId="00000048">
            <w:pPr>
              <w:spacing w:after="160" w:line="278.00000000000006" w:lineRule="auto"/>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9">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Alta tolerancia a fallos en lectura de libros de ventas heterogéneos (con logos o filas vacías). </w:t>
            </w:r>
          </w:p>
          <w:p w:rsidR="00000000" w:rsidDel="00000000" w:rsidP="00000000" w:rsidRDefault="00000000" w:rsidRPr="00000000" w14:paraId="0000004A">
            <w:pPr>
              <w:spacing w:after="160" w:line="278.00000000000006" w:lineRule="auto"/>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B">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Escritura Excel</w:t>
            </w:r>
          </w:p>
        </w:tc>
        <w:tc>
          <w:tcPr/>
          <w:p w:rsidR="00000000" w:rsidDel="00000000" w:rsidP="00000000" w:rsidRDefault="00000000" w:rsidRPr="00000000" w14:paraId="0000004C">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ExcelJS </w:t>
            </w:r>
          </w:p>
          <w:p w:rsidR="00000000" w:rsidDel="00000000" w:rsidP="00000000" w:rsidRDefault="00000000" w:rsidRPr="00000000" w14:paraId="0000004D">
            <w:pPr>
              <w:spacing w:after="160" w:line="278.00000000000006" w:lineRule="auto"/>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E">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Modificación a bajo nivel de las plantillas oficiales sin alterar estilos, fórmulas ni geometría. </w:t>
            </w:r>
          </w:p>
          <w:p w:rsidR="00000000" w:rsidDel="00000000" w:rsidP="00000000" w:rsidRDefault="00000000" w:rsidRPr="00000000" w14:paraId="0000004F">
            <w:pPr>
              <w:spacing w:after="160" w:line="278.00000000000006" w:lineRule="auto"/>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0">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Base de Datos</w:t>
            </w:r>
          </w:p>
        </w:tc>
        <w:tc>
          <w:tcPr/>
          <w:p w:rsidR="00000000" w:rsidDel="00000000" w:rsidP="00000000" w:rsidRDefault="00000000" w:rsidRPr="00000000" w14:paraId="00000051">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PostgreSQL </w:t>
            </w:r>
          </w:p>
          <w:p w:rsidR="00000000" w:rsidDel="00000000" w:rsidP="00000000" w:rsidRDefault="00000000" w:rsidRPr="00000000" w14:paraId="00000052">
            <w:pPr>
              <w:spacing w:after="160" w:line="278.00000000000006" w:lineRule="auto"/>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3">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Integridad referencial sólida para esquemas relacionales multi-tenant. </w:t>
            </w:r>
          </w:p>
          <w:p w:rsidR="00000000" w:rsidDel="00000000" w:rsidP="00000000" w:rsidRDefault="00000000" w:rsidRPr="00000000" w14:paraId="00000054">
            <w:pPr>
              <w:spacing w:after="160" w:line="278.00000000000006" w:lineRule="auto"/>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5">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Backend REST</w:t>
            </w:r>
          </w:p>
        </w:tc>
        <w:tc>
          <w:tcPr/>
          <w:p w:rsidR="00000000" w:rsidDel="00000000" w:rsidP="00000000" w:rsidRDefault="00000000" w:rsidRPr="00000000" w14:paraId="00000056">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Node.js (TypeScript) / Django </w:t>
            </w:r>
          </w:p>
          <w:p w:rsidR="00000000" w:rsidDel="00000000" w:rsidP="00000000" w:rsidRDefault="00000000" w:rsidRPr="00000000" w14:paraId="00000057">
            <w:pPr>
              <w:spacing w:after="160" w:line="278.00000000000006" w:lineRule="auto"/>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8">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Integración directa de tipos y comunicación eficiente con la SPA. </w:t>
            </w:r>
          </w:p>
          <w:p w:rsidR="00000000" w:rsidDel="00000000" w:rsidP="00000000" w:rsidRDefault="00000000" w:rsidRPr="00000000" w14:paraId="00000059">
            <w:pPr>
              <w:spacing w:after="160" w:line="278.00000000000006" w:lineRule="auto"/>
              <w:jc w:val="both"/>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5A">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5B">
      <w:pPr>
        <w:pStyle w:val="Heading2"/>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jc w:val="both"/>
        <w:rPr>
          <w:rFonts w:ascii="Arial" w:cs="Arial" w:eastAsia="Arial" w:hAnsi="Arial"/>
        </w:rPr>
      </w:pPr>
      <w:bookmarkStart w:colFirst="0" w:colLast="0" w:name="_heading=h.m3bc5ak8zd30" w:id="4"/>
      <w:bookmarkEnd w:id="4"/>
      <w:r w:rsidDel="00000000" w:rsidR="00000000" w:rsidRPr="00000000">
        <w:rPr>
          <w:rFonts w:ascii="Arial" w:cs="Arial" w:eastAsia="Arial" w:hAnsi="Arial"/>
          <w:rtl w:val="0"/>
        </w:rPr>
        <w:t xml:space="preserve">Matriz de Gestión de Riesgos</w:t>
      </w:r>
    </w:p>
    <w:p w:rsidR="00000000" w:rsidDel="00000000" w:rsidP="00000000" w:rsidRDefault="00000000" w:rsidRPr="00000000" w14:paraId="0000005D">
      <w:pPr>
        <w:rPr>
          <w:rFonts w:ascii="Arial" w:cs="Arial" w:eastAsia="Arial" w:hAnsi="Arial"/>
        </w:rPr>
      </w:pPr>
      <w:r w:rsidDel="00000000" w:rsidR="00000000" w:rsidRPr="00000000">
        <w:rPr>
          <w:rtl w:val="0"/>
        </w:rPr>
      </w:r>
    </w:p>
    <w:tbl>
      <w:tblPr>
        <w:tblStyle w:val="Table2"/>
        <w:tblW w:w="8838.0" w:type="dxa"/>
        <w:jc w:val="left"/>
        <w:tblBorders>
          <w:top w:color="f1a983" w:space="0" w:sz="4" w:val="single"/>
          <w:bottom w:color="f1a983" w:space="0" w:sz="4" w:val="single"/>
          <w:insideH w:color="f1a983" w:space="0" w:sz="4" w:val="single"/>
          <w:insideV w:color="f1a983" w:space="0" w:sz="4" w:val="single"/>
        </w:tblBorders>
        <w:tblLayout w:type="fixed"/>
        <w:tblLook w:val="04A0"/>
      </w:tblPr>
      <w:tblGrid>
        <w:gridCol w:w="2520"/>
        <w:gridCol w:w="1126"/>
        <w:gridCol w:w="1609"/>
        <w:gridCol w:w="3583"/>
        <w:tblGridChange w:id="0">
          <w:tblGrid>
            <w:gridCol w:w="2520"/>
            <w:gridCol w:w="1126"/>
            <w:gridCol w:w="1609"/>
            <w:gridCol w:w="3583"/>
          </w:tblGrid>
        </w:tblGridChange>
      </w:tblGrid>
      <w:tr>
        <w:trPr>
          <w:cantSplit w:val="0"/>
          <w:tblHeader w:val="0"/>
        </w:trPr>
        <w:tc>
          <w:tcPr/>
          <w:p w:rsidR="00000000" w:rsidDel="00000000" w:rsidP="00000000" w:rsidRDefault="00000000" w:rsidRPr="00000000" w14:paraId="0000005E">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Riesgo Identificado</w:t>
            </w:r>
          </w:p>
        </w:tc>
        <w:tc>
          <w:tcPr/>
          <w:p w:rsidR="00000000" w:rsidDel="00000000" w:rsidP="00000000" w:rsidRDefault="00000000" w:rsidRPr="00000000" w14:paraId="0000005F">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Impacto</w:t>
            </w:r>
          </w:p>
        </w:tc>
        <w:tc>
          <w:tcPr/>
          <w:p w:rsidR="00000000" w:rsidDel="00000000" w:rsidP="00000000" w:rsidRDefault="00000000" w:rsidRPr="00000000" w14:paraId="00000060">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Probabilidad</w:t>
            </w:r>
          </w:p>
        </w:tc>
        <w:tc>
          <w:tcPr/>
          <w:p w:rsidR="00000000" w:rsidDel="00000000" w:rsidP="00000000" w:rsidRDefault="00000000" w:rsidRPr="00000000" w14:paraId="00000061">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Plan de Mitigación / Contingencia</w:t>
            </w:r>
          </w:p>
        </w:tc>
      </w:tr>
      <w:tr>
        <w:trPr>
          <w:cantSplit w:val="0"/>
          <w:tblHeader w:val="0"/>
        </w:trPr>
        <w:tc>
          <w:tcPr/>
          <w:p w:rsidR="00000000" w:rsidDel="00000000" w:rsidP="00000000" w:rsidRDefault="00000000" w:rsidRPr="00000000" w14:paraId="00000062">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Cambios en las plantillas oficiales de ReSimple/GIRO</w:t>
            </w:r>
          </w:p>
          <w:p w:rsidR="00000000" w:rsidDel="00000000" w:rsidP="00000000" w:rsidRDefault="00000000" w:rsidRPr="00000000" w14:paraId="00000063">
            <w:pPr>
              <w:spacing w:after="160" w:line="278.0000000000000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4">
            <w:pPr>
              <w:spacing w:after="160" w:line="278.00000000000006" w:lineRule="auto"/>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5">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Alto</w:t>
            </w:r>
          </w:p>
        </w:tc>
        <w:tc>
          <w:tcPr/>
          <w:p w:rsidR="00000000" w:rsidDel="00000000" w:rsidP="00000000" w:rsidRDefault="00000000" w:rsidRPr="00000000" w14:paraId="00000066">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Media</w:t>
            </w:r>
          </w:p>
        </w:tc>
        <w:tc>
          <w:tcPr/>
          <w:p w:rsidR="00000000" w:rsidDel="00000000" w:rsidP="00000000" w:rsidRDefault="00000000" w:rsidRPr="00000000" w14:paraId="00000067">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Desacoplar las reglas de matching en módulos de configuración independientes (.ts) para modificar mapeos sin reconstruir el motor de cálculo. </w:t>
            </w:r>
          </w:p>
          <w:p w:rsidR="00000000" w:rsidDel="00000000" w:rsidP="00000000" w:rsidRDefault="00000000" w:rsidRPr="00000000" w14:paraId="00000068">
            <w:pPr>
              <w:spacing w:after="160" w:line="278.00000000000006" w:lineRule="auto"/>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9">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Inconsistencias numéricas o descuadres en redondeos</w:t>
            </w:r>
          </w:p>
          <w:p w:rsidR="00000000" w:rsidDel="00000000" w:rsidP="00000000" w:rsidRDefault="00000000" w:rsidRPr="00000000" w14:paraId="0000006A">
            <w:pPr>
              <w:spacing w:after="160" w:line="278.0000000000000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B">
            <w:pPr>
              <w:spacing w:after="160" w:line="278.00000000000006" w:lineRule="auto"/>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C">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Crítico</w:t>
            </w:r>
          </w:p>
        </w:tc>
        <w:tc>
          <w:tcPr/>
          <w:p w:rsidR="00000000" w:rsidDel="00000000" w:rsidP="00000000" w:rsidRDefault="00000000" w:rsidRPr="00000000" w14:paraId="0000006D">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Baja</w:t>
            </w:r>
          </w:p>
        </w:tc>
        <w:tc>
          <w:tcPr/>
          <w:p w:rsidR="00000000" w:rsidDel="00000000" w:rsidP="00000000" w:rsidRDefault="00000000" w:rsidRPr="00000000" w14:paraId="0000006E">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Mantener precisión interna estricta a 6 decimales y ejecutar suites de pruebas unitarias comparativas frente a macros de auditoría. </w:t>
            </w:r>
          </w:p>
          <w:p w:rsidR="00000000" w:rsidDel="00000000" w:rsidP="00000000" w:rsidRDefault="00000000" w:rsidRPr="00000000" w14:paraId="0000006F">
            <w:pPr>
              <w:spacing w:after="160" w:line="278.00000000000006" w:lineRule="auto"/>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0">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Retrasos en la migración al backend relacional</w:t>
            </w:r>
          </w:p>
          <w:p w:rsidR="00000000" w:rsidDel="00000000" w:rsidP="00000000" w:rsidRDefault="00000000" w:rsidRPr="00000000" w14:paraId="00000071">
            <w:pPr>
              <w:spacing w:after="160" w:line="278.0000000000000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2">
            <w:pPr>
              <w:spacing w:after="160" w:line="278.00000000000006" w:lineRule="auto"/>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73">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Medio</w:t>
            </w:r>
          </w:p>
        </w:tc>
        <w:tc>
          <w:tcPr/>
          <w:p w:rsidR="00000000" w:rsidDel="00000000" w:rsidP="00000000" w:rsidRDefault="00000000" w:rsidRPr="00000000" w14:paraId="00000074">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Media</w:t>
            </w:r>
          </w:p>
        </w:tc>
        <w:tc>
          <w:tcPr/>
          <w:p w:rsidR="00000000" w:rsidDel="00000000" w:rsidP="00000000" w:rsidRDefault="00000000" w:rsidRPr="00000000" w14:paraId="00000075">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Mantener la capa de servicios desacoplada para operar temporalmente con persistencia local (localStorage) en caso de contingencia. </w:t>
            </w:r>
          </w:p>
          <w:p w:rsidR="00000000" w:rsidDel="00000000" w:rsidP="00000000" w:rsidRDefault="00000000" w:rsidRPr="00000000" w14:paraId="00000076">
            <w:pPr>
              <w:spacing w:after="160" w:line="278.00000000000006" w:lineRule="auto"/>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7">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Rechazo por formato corrupto al abrir en Excel</w:t>
            </w:r>
          </w:p>
          <w:p w:rsidR="00000000" w:rsidDel="00000000" w:rsidP="00000000" w:rsidRDefault="00000000" w:rsidRPr="00000000" w14:paraId="00000078">
            <w:pPr>
              <w:spacing w:after="160" w:line="278.0000000000000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9">
            <w:pPr>
              <w:spacing w:after="160" w:line="278.00000000000006" w:lineRule="auto"/>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7A">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Alto</w:t>
            </w:r>
          </w:p>
        </w:tc>
        <w:tc>
          <w:tcPr/>
          <w:p w:rsidR="00000000" w:rsidDel="00000000" w:rsidP="00000000" w:rsidRDefault="00000000" w:rsidRPr="00000000" w14:paraId="0000007B">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Baja</w:t>
            </w:r>
          </w:p>
        </w:tc>
        <w:tc>
          <w:tcPr/>
          <w:p w:rsidR="00000000" w:rsidDel="00000000" w:rsidP="00000000" w:rsidRDefault="00000000" w:rsidRPr="00000000" w14:paraId="0000007C">
            <w:pPr>
              <w:spacing w:after="160" w:line="278.0000000000000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Utilizar estrictamente ExcelJS sobre buffers del archivo oficial preexistente en lugar de construir el .xlsx desde cero. </w:t>
            </w:r>
          </w:p>
        </w:tc>
      </w:tr>
    </w:tbl>
    <w:p w:rsidR="00000000" w:rsidDel="00000000" w:rsidP="00000000" w:rsidRDefault="00000000" w:rsidRPr="00000000" w14:paraId="0000007D">
      <w:pPr>
        <w:jc w:val="both"/>
        <w:rPr>
          <w:rFonts w:ascii="Arial" w:cs="Arial" w:eastAsia="Arial" w:hAnsi="Arial"/>
        </w:rPr>
      </w:pPr>
      <w:r w:rsidDel="00000000" w:rsidR="00000000" w:rsidRPr="00000000">
        <w:rPr>
          <w:rtl w:val="0"/>
        </w:rPr>
      </w:r>
    </w:p>
    <w:p w:rsidR="00000000" w:rsidDel="00000000" w:rsidP="00000000" w:rsidRDefault="00000000" w:rsidRPr="00000000" w14:paraId="0000007E">
      <w:pPr>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jc w:val="both"/>
        <w:rPr>
          <w:rFonts w:ascii="Arial" w:cs="Arial" w:eastAsia="Arial" w:hAnsi="Arial"/>
        </w:rPr>
      </w:pPr>
      <w:bookmarkStart w:colFirst="0" w:colLast="0" w:name="_heading=h.d90bdhxm7m4s" w:id="5"/>
      <w:bookmarkEnd w:id="5"/>
      <w:r w:rsidDel="00000000" w:rsidR="00000000" w:rsidRPr="00000000">
        <w:rPr>
          <w:rFonts w:ascii="Arial" w:cs="Arial" w:eastAsia="Arial" w:hAnsi="Arial"/>
          <w:rtl w:val="0"/>
        </w:rPr>
        <w:t xml:space="preserve">Conclusión</w:t>
      </w:r>
    </w:p>
    <w:p w:rsidR="00000000" w:rsidDel="00000000" w:rsidP="00000000" w:rsidRDefault="00000000" w:rsidRPr="00000000" w14:paraId="0000008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desarrollo de la plataforma SaaS B2B para la gestión y declaración de la Ley N° 20.920 (Ley REP) representa una solución tecnológica robusta y escalable frente a los desafíos operacionales de la normativa ambiental en Chile. Mediante la integración de un motor de cálculo de alta precisión (a 6 decimales), la ingesta flexible con SheetJS y la inyección directa en plantillas oficiales mediante ExcelJS, el proyecto logra automatizar un proceso históricamente propenso a errores humanos y demoras administrativas.</w:t>
      </w:r>
    </w:p>
    <w:p w:rsidR="00000000" w:rsidDel="00000000" w:rsidP="00000000" w:rsidRDefault="00000000" w:rsidRPr="00000000" w14:paraId="00000081">
      <w:pP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Aspectos clave del proyecto:</w:t>
      </w:r>
      <w:r w:rsidDel="00000000" w:rsidR="00000000" w:rsidRPr="00000000">
        <w:rPr>
          <w:rtl w:val="0"/>
        </w:rPr>
      </w:r>
    </w:p>
    <w:p w:rsidR="00000000" w:rsidDel="00000000" w:rsidP="00000000" w:rsidRDefault="00000000" w:rsidRPr="00000000" w14:paraId="00000082">
      <w:pPr>
        <w:numPr>
          <w:ilvl w:val="0"/>
          <w:numId w:val="5"/>
        </w:numPr>
        <w:ind w:left="720" w:hanging="360"/>
        <w:jc w:val="both"/>
        <w:rPr/>
      </w:pPr>
      <w:r w:rsidDel="00000000" w:rsidR="00000000" w:rsidRPr="00000000">
        <w:rPr>
          <w:rFonts w:ascii="Arial" w:cs="Arial" w:eastAsia="Arial" w:hAnsi="Arial"/>
          <w:b w:val="1"/>
          <w:bCs w:val="1"/>
          <w:sz w:val="22"/>
          <w:szCs w:val="22"/>
          <w:rtl w:val="0"/>
        </w:rPr>
        <w:t xml:space="preserve">Eficiencia Operativa:</w:t>
      </w:r>
      <w:r w:rsidDel="00000000" w:rsidR="00000000" w:rsidRPr="00000000">
        <w:rPr>
          <w:rFonts w:ascii="Arial" w:cs="Arial" w:eastAsia="Arial" w:hAnsi="Arial"/>
          <w:sz w:val="22"/>
          <w:szCs w:val="22"/>
          <w:rtl w:val="0"/>
        </w:rPr>
        <w:t xml:space="preserve"> Automatización completa del flujo desde la carga del libro de ventas hasta la exportación del archivo final formateado para los Sistemas Colectivos de Gestión (ReSimple, GIRO, ProREP), reduciendo los tiempos de procesamiento de días a minutos.</w:t>
      </w:r>
    </w:p>
    <w:p w:rsidR="00000000" w:rsidDel="00000000" w:rsidP="00000000" w:rsidRDefault="00000000" w:rsidRPr="00000000" w14:paraId="00000083">
      <w:pPr>
        <w:numPr>
          <w:ilvl w:val="0"/>
          <w:numId w:val="5"/>
        </w:numPr>
        <w:ind w:left="720" w:hanging="360"/>
        <w:jc w:val="both"/>
        <w:rPr/>
      </w:pPr>
      <w:r w:rsidDel="00000000" w:rsidR="00000000" w:rsidRPr="00000000">
        <w:rPr>
          <w:rFonts w:ascii="Arial" w:cs="Arial" w:eastAsia="Arial" w:hAnsi="Arial"/>
          <w:b w:val="1"/>
          <w:bCs w:val="1"/>
          <w:sz w:val="22"/>
          <w:szCs w:val="22"/>
          <w:rtl w:val="0"/>
        </w:rPr>
        <w:t xml:space="preserve">Trazabilidad y Precisión Aritmética:</w:t>
      </w:r>
      <w:r w:rsidDel="00000000" w:rsidR="00000000" w:rsidRPr="00000000">
        <w:rPr>
          <w:rFonts w:ascii="Arial" w:cs="Arial" w:eastAsia="Arial" w:hAnsi="Arial"/>
          <w:sz w:val="22"/>
          <w:szCs w:val="22"/>
          <w:rtl w:val="0"/>
        </w:rPr>
        <w:t xml:space="preserve"> Implementación de persistencia inmutable mediante la regla razonSocialId::year::month y segregación estricta de materialidades (DOM / NO DOM), garantizando el cumplimiento normativo frente a auditorías de la Superintendencia del Medio Ambiente (SMA).</w:t>
      </w:r>
    </w:p>
    <w:p w:rsidR="00000000" w:rsidDel="00000000" w:rsidP="00000000" w:rsidRDefault="00000000" w:rsidRPr="00000000" w14:paraId="00000084">
      <w:pPr>
        <w:numPr>
          <w:ilvl w:val="0"/>
          <w:numId w:val="5"/>
        </w:numPr>
        <w:ind w:left="720" w:hanging="360"/>
        <w:jc w:val="both"/>
        <w:rPr/>
      </w:pPr>
      <w:r w:rsidDel="00000000" w:rsidR="00000000" w:rsidRPr="00000000">
        <w:rPr>
          <w:rFonts w:ascii="Arial" w:cs="Arial" w:eastAsia="Arial" w:hAnsi="Arial"/>
          <w:b w:val="1"/>
          <w:bCs w:val="1"/>
          <w:sz w:val="22"/>
          <w:szCs w:val="22"/>
          <w:rtl w:val="0"/>
        </w:rPr>
        <w:t xml:space="preserve">Arquitectura Escalable y Multi-Tenant:</w:t>
      </w:r>
      <w:r w:rsidDel="00000000" w:rsidR="00000000" w:rsidRPr="00000000">
        <w:rPr>
          <w:rFonts w:ascii="Arial" w:cs="Arial" w:eastAsia="Arial" w:hAnsi="Arial"/>
          <w:sz w:val="22"/>
          <w:szCs w:val="22"/>
          <w:rtl w:val="0"/>
        </w:rPr>
        <w:t xml:space="preserve"> Diseño centrado en el aislamiento de datos por Razón Social, soportado por una pila tecnológica moderna (React 19, TypeScript, PostgreSQL) orientada al rendimiento y la mantenibilidad a largo plazo.</w:t>
      </w:r>
    </w:p>
    <w:p w:rsidR="00000000" w:rsidDel="00000000" w:rsidP="00000000" w:rsidRDefault="00000000" w:rsidRPr="00000000" w14:paraId="0000008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el contexto del </w:t>
      </w:r>
      <w:r w:rsidDel="00000000" w:rsidR="00000000" w:rsidRPr="00000000">
        <w:rPr>
          <w:rFonts w:ascii="Arial" w:cs="Arial" w:eastAsia="Arial" w:hAnsi="Arial"/>
          <w:b w:val="1"/>
          <w:bCs w:val="1"/>
          <w:sz w:val="22"/>
          <w:szCs w:val="22"/>
          <w:rtl w:val="0"/>
        </w:rPr>
        <w:t xml:space="preserve">Proyecto de Título (Capstone - PTY4614)</w:t>
      </w:r>
      <w:r w:rsidDel="00000000" w:rsidR="00000000" w:rsidRPr="00000000">
        <w:rPr>
          <w:rFonts w:ascii="Arial" w:cs="Arial" w:eastAsia="Arial" w:hAnsi="Arial"/>
          <w:sz w:val="22"/>
          <w:szCs w:val="22"/>
          <w:rtl w:val="0"/>
        </w:rPr>
        <w:t xml:space="preserve">, este trabajo demuestra la viabilidad técnica y comercial de transformar una exigencia regulatoria compleja en una oportunidad de digitalización B2B. La plataforma no solo cumple de manera integral con los estándares académicos de la Escuela de Informática y Telecomunicaciones, sino que queda lista para su eventual despliegue en producción e integración continua con nuevos actores del mercado.</w:t>
      </w:r>
    </w:p>
    <w:p w:rsidR="00000000" w:rsidDel="00000000" w:rsidP="00000000" w:rsidRDefault="00000000" w:rsidRPr="00000000" w14:paraId="00000086">
      <w:pPr>
        <w:jc w:val="both"/>
        <w:rPr>
          <w:rFonts w:ascii="Arial" w:cs="Arial" w:eastAsia="Arial" w:hAnsi="Arial"/>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-927734</wp:posOffset>
          </wp:positionH>
          <wp:positionV relativeFrom="paragraph">
            <wp:posOffset>-358138</wp:posOffset>
          </wp:positionV>
          <wp:extent cx="2362187" cy="580918"/>
          <wp:effectExtent b="0" l="0" r="0" t="0"/>
          <wp:wrapNone/>
          <wp:docPr id="4222007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62187" cy="58091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U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FE6475"/>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FE6475"/>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FE6475"/>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FE6475"/>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rsid w:val="00FE6475"/>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FE6475"/>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FE6475"/>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FE6475"/>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FE6475"/>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FE6475"/>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FE6475"/>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FE6475"/>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FE6475"/>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FE6475"/>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FE6475"/>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FE6475"/>
    <w:rPr>
      <w:i w:val="1"/>
      <w:iCs w:val="1"/>
      <w:color w:val="404040" w:themeColor="text1" w:themeTint="0000BF"/>
    </w:rPr>
  </w:style>
  <w:style w:type="paragraph" w:styleId="Prrafodelista">
    <w:name w:val="List Paragraph"/>
    <w:basedOn w:val="Normal"/>
    <w:uiPriority w:val="34"/>
    <w:qFormat w:val="1"/>
    <w:rsid w:val="00FE6475"/>
    <w:pPr>
      <w:ind w:left="720"/>
      <w:contextualSpacing w:val="1"/>
    </w:pPr>
  </w:style>
  <w:style w:type="character" w:styleId="nfasisintenso">
    <w:name w:val="Intense Emphasis"/>
    <w:basedOn w:val="Fuentedeprrafopredeter"/>
    <w:uiPriority w:val="21"/>
    <w:qFormat w:val="1"/>
    <w:rsid w:val="00FE6475"/>
    <w:rPr>
      <w:i w:val="1"/>
      <w:iCs w:val="1"/>
      <w:color w:val="0f4761" w:themeColor="accent1" w:themeShade="0000BF"/>
    </w:rPr>
  </w:style>
  <w:style w:type="paragraph" w:styleId="Citadestacada">
    <w:name w:val="Intense Quote"/>
    <w:basedOn w:val="Normal"/>
    <w:next w:val="Normal"/>
    <w:link w:val="CitadestacadaCar"/>
    <w:uiPriority w:val="30"/>
    <w:qFormat w:val="1"/>
    <w:rsid w:val="00FE647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FE6475"/>
    <w:rPr>
      <w:i w:val="1"/>
      <w:iCs w:val="1"/>
      <w:color w:val="0f4761" w:themeColor="accent1" w:themeShade="0000BF"/>
    </w:rPr>
  </w:style>
  <w:style w:type="character" w:styleId="Referenciaintensa">
    <w:name w:val="Intense Reference"/>
    <w:basedOn w:val="Fuentedeprrafopredeter"/>
    <w:uiPriority w:val="32"/>
    <w:qFormat w:val="1"/>
    <w:rsid w:val="00FE6475"/>
    <w:rPr>
      <w:b w:val="1"/>
      <w:bCs w:val="1"/>
      <w:smallCaps w:val="1"/>
      <w:color w:val="0f4761" w:themeColor="accent1" w:themeShade="0000BF"/>
      <w:spacing w:val="5"/>
    </w:rPr>
  </w:style>
  <w:style w:type="table" w:styleId="Tablaconcuadrcula2-nfasis2">
    <w:name w:val="Grid Table 2 Accent 2"/>
    <w:basedOn w:val="Tablanormal"/>
    <w:uiPriority w:val="47"/>
    <w:rsid w:val="00FE6475"/>
    <w:pPr>
      <w:spacing w:after="0" w:line="240" w:lineRule="auto"/>
    </w:pPr>
    <w:tblPr>
      <w:tblStyleRowBandSize w:val="1"/>
      <w:tblStyleColBandSize w:val="1"/>
      <w:tblBorders>
        <w:top w:color="f1a983" w:space="0" w:sz="2" w:themeColor="accent2" w:themeTint="000099" w:val="single"/>
        <w:bottom w:color="f1a983" w:space="0" w:sz="2" w:themeColor="accent2" w:themeTint="000099" w:val="single"/>
        <w:insideH w:color="f1a983" w:space="0" w:sz="2" w:themeColor="accent2" w:themeTint="000099" w:val="single"/>
        <w:insideV w:color="f1a983" w:space="0" w:sz="2" w:themeColor="accent2" w:themeTint="000099" w:val="single"/>
      </w:tblBorders>
    </w:tblPr>
    <w:tblStylePr w:type="firstRow">
      <w:rPr>
        <w:b w:val="1"/>
        <w:bCs w:val="1"/>
      </w:rPr>
      <w:tblPr/>
      <w:tcPr>
        <w:tcBorders>
          <w:top w:space="0" w:sz="0" w:val="nil"/>
          <w:bottom w:color="f1a983" w:space="0" w:sz="12" w:themeColor="accent2" w:themeTint="000099" w:val="single"/>
          <w:insideH w:space="0" w:sz="0" w:val="nil"/>
          <w:insideV w:space="0" w:sz="0" w:val="nil"/>
        </w:tcBorders>
        <w:shd w:color="auto" w:fill="ffffff" w:themeFill="background1" w:val="clear"/>
      </w:tcPr>
    </w:tblStylePr>
    <w:tblStylePr w:type="lastRow">
      <w:rPr>
        <w:b w:val="1"/>
        <w:bCs w:val="1"/>
      </w:rPr>
      <w:tblPr/>
      <w:tcPr>
        <w:tcBorders>
          <w:top w:color="f1a983" w:space="0" w:sz="2" w:themeColor="accent2"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fae2d5" w:themeFill="accent2" w:themeFillTint="000033" w:val="clear"/>
      </w:tcPr>
    </w:tblStylePr>
    <w:tblStylePr w:type="band1Horz">
      <w:tblPr/>
      <w:tcPr>
        <w:shd w:color="auto" w:fill="fae2d5" w:themeFill="accent2" w:themeFillTint="000033" w:val="clear"/>
      </w:tcPr>
    </w:tblStylePr>
  </w:style>
  <w:style w:type="paragraph" w:styleId="Encabezado">
    <w:name w:val="header"/>
    <w:basedOn w:val="Normal"/>
    <w:link w:val="EncabezadoCar"/>
    <w:uiPriority w:val="99"/>
    <w:unhideWhenUsed w:val="1"/>
    <w:rsid w:val="00FC74C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FC74C7"/>
  </w:style>
  <w:style w:type="paragraph" w:styleId="Piedepgina">
    <w:name w:val="footer"/>
    <w:basedOn w:val="Normal"/>
    <w:link w:val="PiedepginaCar"/>
    <w:uiPriority w:val="99"/>
    <w:unhideWhenUsed w:val="1"/>
    <w:rsid w:val="00FC74C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C74C7"/>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ae2d5" w:val="clear"/>
      </w:tcPr>
    </w:tblStylePr>
    <w:tblStylePr w:type="band1Vert">
      <w:tcPr>
        <w:shd w:fill="fae2d5" w:val="clear"/>
      </w:tcPr>
    </w:tblStylePr>
    <w:tblStylePr w:type="firstCol">
      <w:rPr>
        <w:b w:val="1"/>
        <w:bCs w:val="1"/>
      </w:rPr>
    </w:tblStylePr>
    <w:tblStylePr w:type="firstRow">
      <w:rPr>
        <w:b w:val="1"/>
        <w:bCs w:val="1"/>
      </w:rPr>
      <w:tcPr>
        <w:tcBorders>
          <w:top w:color="000000" w:space="0" w:sz="0" w:val="nil"/>
          <w:bottom w:color="f1a983"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f1a983" w:space="0" w:sz="4" w:val="single"/>
          <w:bottom w:color="000000" w:space="0" w:sz="0" w:val="nil"/>
          <w:insideH w:color="000000" w:space="0" w:sz="0" w:val="nil"/>
          <w:insideV w:color="000000" w:space="0" w:sz="0" w:val="nil"/>
        </w:tcBorders>
        <w:shd w:fill="ffffff" w:val="clear"/>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ae2d5" w:val="clear"/>
      </w:tcPr>
    </w:tblStylePr>
    <w:tblStylePr w:type="band1Vert">
      <w:tcPr>
        <w:shd w:fill="fae2d5" w:val="clear"/>
      </w:tcPr>
    </w:tblStylePr>
    <w:tblStylePr w:type="firstCol">
      <w:rPr>
        <w:b w:val="1"/>
        <w:bCs w:val="1"/>
      </w:rPr>
    </w:tblStylePr>
    <w:tblStylePr w:type="firstRow">
      <w:rPr>
        <w:b w:val="1"/>
        <w:bCs w:val="1"/>
      </w:rPr>
      <w:tcPr>
        <w:tcBorders>
          <w:top w:color="000000" w:space="0" w:sz="0" w:val="nil"/>
          <w:bottom w:color="f1a983"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f1a983" w:space="0" w:sz="4" w:val="single"/>
          <w:bottom w:color="000000" w:space="0" w:sz="0" w:val="nil"/>
          <w:insideH w:color="000000" w:space="0" w:sz="0" w:val="nil"/>
          <w:insideV w:color="000000" w:space="0" w:sz="0" w:val="nil"/>
        </w:tcBorders>
        <w:shd w:fill="ffffff"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EjAUBWuGSsUYe3QOaw34/F7mYg==">CgMxLjAyDmguejh1emVuM3h5cXl1Mg5oLjQ4OWI4c24wa2oxMTIOaC5vdDd5dHFoNHQ1cDYyDmguNm11dHh3eDI0YWdkMg5oLm0zYmM1YWs4emQzMDIOaC5kOTBiZGh4bTdtNHM4AHIhMVluVEd5UkRoZl9wT01CM3FHc0NQZkRCNFJVbEw2b0Rv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2026-09-10T03:35:00Z</dcterms:created>
  <dc:creator>Matias M</dc:creator>
</cp:coreProperties>
</file>