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6E78"/>
          <w:sz w:val="22"/>
        </w:rPr>
        <w:t>ESCUELA DE INFORMÁTICA Y TELECOMUNICACIONES</w:t>
        <w:br/>
        <w:t>ASIGNATURA: CAPSTONE (PTY4614) — FASE 1</w:t>
      </w:r>
    </w:p>
    <w:p>
      <w:pPr>
        <w:jc w:val="center"/>
      </w:pPr>
      <w:r>
        <w:rPr>
          <w:rFonts w:ascii="Arial" w:hAnsi="Arial"/>
          <w:b/>
          <w:color w:val="0F4C81"/>
          <w:sz w:val="34"/>
        </w:rPr>
        <w:t>INFORME DE DEFINICIÓN DE PROYECTO APT (FASE 1)</w:t>
      </w:r>
    </w:p>
    <w:p>
      <w:pPr>
        <w:jc w:val="center"/>
      </w:pPr>
      <w:r>
        <w:rPr>
          <w:rFonts w:ascii="Arial" w:hAnsi="Arial"/>
          <w:b/>
          <w:i/>
          <w:color w:val="10955B"/>
          <w:sz w:val="23"/>
        </w:rPr>
        <w:t>Plataforma SaaS B2B para la Gestión Logística, Cuantificación de Materialidades y Declaración Oficial de la Ley REP (Ley N° 20.920) en Chile</w:t>
      </w:r>
    </w:p>
    <w:tbl>
      <w:tblPr>
        <w:tblW w:type="auto" w:w="0"/>
        <w:jc w:val="center"/>
        <w:tblLook w:firstColumn="1" w:firstRow="1" w:lastColumn="0" w:lastRow="0" w:noHBand="0" w:noVBand="1" w:val="04A0"/>
      </w:tblPr>
      <w:tblGrid>
        <w:gridCol w:w="4680"/>
        <w:gridCol w:w="4680"/>
      </w:tblGrid>
      <w:tr>
        <w:tc>
          <w:tcPr>
            <w:tcW w:type="dxa" w:w="3168"/>
            <w:shd w:fill="F4F6F9"/>
            <w:tcMar>
              <w:top w:w="50" w:type="dxa"/>
              <w:bottom w:w="50" w:type="dxa"/>
              <w:left w:w="80" w:type="dxa"/>
              <w:right w:w="80" w:type="dxa"/>
            </w:tcMar>
          </w:tcPr>
          <w:p>
            <w:r>
              <w:rPr>
                <w:rFonts w:ascii="Arial" w:hAnsi="Arial"/>
                <w:b/>
                <w:sz w:val="19"/>
              </w:rPr>
              <w:t>Estudiante:</w:t>
            </w:r>
          </w:p>
        </w:tc>
        <w:tc>
          <w:tcPr>
            <w:tcW w:type="dxa" w:w="6192"/>
            <w:shd w:fill="FFFFFF"/>
            <w:tcMar>
              <w:top w:w="50" w:type="dxa"/>
              <w:bottom w:w="50" w:type="dxa"/>
              <w:left w:w="80" w:type="dxa"/>
              <w:right w:w="80" w:type="dxa"/>
            </w:tcMar>
          </w:tcPr>
          <w:p>
            <w:r>
              <w:rPr>
                <w:rFonts w:ascii="Arial" w:hAnsi="Arial"/>
                <w:sz w:val="19"/>
              </w:rPr>
              <w:t>Fernando (Ingeniería en Informática)</w:t>
            </w:r>
          </w:p>
        </w:tc>
      </w:tr>
      <w:tr>
        <w:tc>
          <w:tcPr>
            <w:tcW w:type="dxa" w:w="3168"/>
            <w:shd w:fill="F4F6F9"/>
            <w:tcMar>
              <w:top w:w="50" w:type="dxa"/>
              <w:bottom w:w="50" w:type="dxa"/>
              <w:left w:w="80" w:type="dxa"/>
              <w:right w:w="80" w:type="dxa"/>
            </w:tcMar>
          </w:tcPr>
          <w:p>
            <w:r>
              <w:rPr>
                <w:rFonts w:ascii="Arial" w:hAnsi="Arial"/>
                <w:b/>
                <w:sz w:val="19"/>
              </w:rPr>
              <w:t>Asignatura / Código:</w:t>
            </w:r>
          </w:p>
        </w:tc>
        <w:tc>
          <w:tcPr>
            <w:tcW w:type="dxa" w:w="6192"/>
            <w:shd w:fill="FFFFFF"/>
            <w:tcMar>
              <w:top w:w="50" w:type="dxa"/>
              <w:bottom w:w="50" w:type="dxa"/>
              <w:left w:w="80" w:type="dxa"/>
              <w:right w:w="80" w:type="dxa"/>
            </w:tcMar>
          </w:tcPr>
          <w:p>
            <w:r>
              <w:rPr>
                <w:rFonts w:ascii="Arial" w:hAnsi="Arial"/>
                <w:sz w:val="19"/>
              </w:rPr>
              <w:t>Capstone / PTY4614</w:t>
            </w:r>
          </w:p>
        </w:tc>
      </w:tr>
      <w:tr>
        <w:tc>
          <w:tcPr>
            <w:tcW w:type="dxa" w:w="3168"/>
            <w:shd w:fill="F4F6F9"/>
            <w:tcMar>
              <w:top w:w="50" w:type="dxa"/>
              <w:bottom w:w="50" w:type="dxa"/>
              <w:left w:w="80" w:type="dxa"/>
              <w:right w:w="80" w:type="dxa"/>
            </w:tcMar>
          </w:tcPr>
          <w:p>
            <w:r>
              <w:rPr>
                <w:rFonts w:ascii="Arial" w:hAnsi="Arial"/>
                <w:b/>
                <w:sz w:val="19"/>
              </w:rPr>
              <w:t>Semana de Evaluación:</w:t>
            </w:r>
          </w:p>
        </w:tc>
        <w:tc>
          <w:tcPr>
            <w:tcW w:type="dxa" w:w="6192"/>
            <w:shd w:fill="FFFFFF"/>
            <w:tcMar>
              <w:top w:w="50" w:type="dxa"/>
              <w:bottom w:w="50" w:type="dxa"/>
              <w:left w:w="80" w:type="dxa"/>
              <w:right w:w="80" w:type="dxa"/>
            </w:tcMar>
          </w:tcPr>
          <w:p>
            <w:r>
              <w:rPr>
                <w:rFonts w:ascii="Arial" w:hAnsi="Arial"/>
                <w:sz w:val="19"/>
              </w:rPr>
              <w:t>Semana 3 (Autoevaluación Formativa Fase 1)</w:t>
            </w:r>
          </w:p>
        </w:tc>
      </w:tr>
      <w:tr>
        <w:tc>
          <w:tcPr>
            <w:tcW w:type="dxa" w:w="3168"/>
            <w:shd w:fill="F4F6F9"/>
            <w:tcMar>
              <w:top w:w="50" w:type="dxa"/>
              <w:bottom w:w="50" w:type="dxa"/>
              <w:left w:w="80" w:type="dxa"/>
              <w:right w:w="80" w:type="dxa"/>
            </w:tcMar>
          </w:tcPr>
          <w:p>
            <w:r>
              <w:rPr>
                <w:rFonts w:ascii="Arial" w:hAnsi="Arial"/>
                <w:b/>
                <w:sz w:val="19"/>
              </w:rPr>
              <w:t>Área de Especialidad:</w:t>
            </w:r>
          </w:p>
        </w:tc>
        <w:tc>
          <w:tcPr>
            <w:tcW w:type="dxa" w:w="6192"/>
            <w:shd w:fill="FFFFFF"/>
            <w:tcMar>
              <w:top w:w="50" w:type="dxa"/>
              <w:bottom w:w="50" w:type="dxa"/>
              <w:left w:w="80" w:type="dxa"/>
              <w:right w:w="80" w:type="dxa"/>
            </w:tcMar>
          </w:tcPr>
          <w:p>
            <w:r>
              <w:rPr>
                <w:rFonts w:ascii="Arial" w:hAnsi="Arial"/>
                <w:sz w:val="19"/>
              </w:rPr>
              <w:t>Desarrollo de Software, Ingeniería de Datos &amp; Cumplimiento Normativo</w:t>
            </w:r>
          </w:p>
        </w:tc>
      </w:tr>
    </w:tbl>
    <w:p>
      <w:pPr>
        <w:spacing w:after="200"/>
      </w:pPr>
    </w:p>
    <w:p>
      <w:pPr>
        <w:keepNext/>
        <w:spacing w:before="280" w:after="120"/>
      </w:pPr>
      <w:r>
        <w:rPr>
          <w:rFonts w:ascii="Arial" w:hAnsi="Arial"/>
          <w:b/>
          <w:color w:val="0F4C81"/>
          <w:sz w:val="28"/>
        </w:rPr>
        <w:t>1. Resumen / Abstract</w:t>
      </w:r>
    </w:p>
    <w:p>
      <w:pPr>
        <w:keepNext/>
        <w:spacing w:before="280" w:after="120"/>
      </w:pPr>
      <w:r>
        <w:rPr>
          <w:rFonts w:ascii="Arial" w:hAnsi="Arial"/>
          <w:b/>
          <w:color w:val="10955B"/>
          <w:sz w:val="24"/>
        </w:rPr>
        <w:t>1.1 Resumen (Español)</w:t>
      </w:r>
    </w:p>
    <w:p>
      <w:pPr>
        <w:spacing w:before="0" w:after="120" w:line="276" w:lineRule="auto"/>
        <w:jc w:val="both"/>
      </w:pPr>
      <w:r>
        <w:rPr>
          <w:rFonts w:ascii="Arial" w:hAnsi="Arial"/>
          <w:i w:val="0"/>
          <w:color w:val="282C34"/>
          <w:sz w:val="20"/>
        </w:rPr>
        <w:t>El presente Proyecto de Aplicación Práctica de Título (APT) aborda la problemática operativa, técnica y legal derivada de la implementación de la Ley N° 20.920 (Responsabilidad Extendida del Productor o Ley REP) en el sector empresarial chileno. La normativa exige a las empresas productoras e importadoras cuantificar y declarar con rigurosidad milimétrica el tonelaje de envases y embalajes puestos en el mercado nacional, distinguiendo entre canales domiciliarios (DOM) y no domiciliarios (NO DOM). Ante la falta de herramientas especializadas y la alta vulnerabilidad a errores humanos en planillas de cálculo tradicionales, se diseñó e implementó una solución SaaS B2B modular y de alta precisión basada en React 19, TypeScript y Vite. La arquitectura integra un motor de lectura inteligente de catálogos y ventas capaz de procesar planillas heterogéneas, una matriz de clasificación multidimensional y un exportador automatizado que inyecta quirúrgicamente los datos calculados en las plantillas oficiales de ReSimple preservando su integridad estructural. Los resultados demuestran una concordancia del 100% frente a macros de auditoría certificadas, mitigando el riesgo de multas y optimizando radicalmente los tiempos de reporte corporativo.</w:t>
      </w:r>
    </w:p>
    <w:p>
      <w:pPr>
        <w:keepNext/>
        <w:spacing w:before="280" w:after="120"/>
      </w:pPr>
      <w:r>
        <w:rPr>
          <w:rFonts w:ascii="Arial" w:hAnsi="Arial"/>
          <w:b/>
          <w:color w:val="10955B"/>
          <w:sz w:val="24"/>
        </w:rPr>
        <w:t>1.2 Abstract (English)</w:t>
      </w:r>
    </w:p>
    <w:p>
      <w:pPr>
        <w:spacing w:before="0" w:after="120" w:line="276" w:lineRule="auto"/>
        <w:jc w:val="both"/>
      </w:pPr>
      <w:r>
        <w:rPr>
          <w:rFonts w:ascii="Arial" w:hAnsi="Arial"/>
          <w:i w:val="0"/>
          <w:color w:val="282C34"/>
          <w:sz w:val="20"/>
        </w:rPr>
        <w:t>This Capstone Practical Application Project addresses the operational, technical, and legal challenges arising from the enforcement of Chilean Law No. 20,920 (Extended Producer Responsibility or Ley REP). The regulatory framework mandates manufacturing and importing companies to accurately quantify and report the tonnages of packaging waste introduced into the domestic market, strictly categorizing materials into household (DOM) and non-household (NO DOM) streams. Due to the lack of dedicated software and the high risk of human error in legacy spreadsheets, a high-precision B2B SaaS platform was designed and developed using React 19, TypeScript, and Vite. The system features an intelligent Excel parsing engine capable of handling heterogeneous sales and catalog spreadsheets, a multi-dimensional REP classification matrix, and an automated binary exporter that surgically injects calculated data into official ReSimple templates without corrupting their structural formatting. The solution achieves 100% arithmetic parity against certified audit macros, drastically reducing legal non-compliance risks and streamlining corporate environmental reporting.</w:t>
      </w:r>
    </w:p>
    <w:p>
      <w:pPr>
        <w:keepNext/>
        <w:spacing w:before="280" w:after="120"/>
      </w:pPr>
      <w:r>
        <w:rPr>
          <w:rFonts w:ascii="Arial" w:hAnsi="Arial"/>
          <w:b/>
          <w:color w:val="0F4C81"/>
          <w:sz w:val="28"/>
        </w:rPr>
        <w:t>2. Descripción del Proyecto APT y Relevancia Laboral</w:t>
      </w:r>
    </w:p>
    <w:p>
      <w:pPr>
        <w:spacing w:before="0" w:after="120" w:line="276" w:lineRule="auto"/>
        <w:jc w:val="both"/>
      </w:pPr>
      <w:r>
        <w:rPr>
          <w:rFonts w:ascii="Arial" w:hAnsi="Arial"/>
          <w:b/>
          <w:color w:val="282C34"/>
          <w:sz w:val="20"/>
        </w:rPr>
        <w:t xml:space="preserve">Definición del Sistema: </w:t>
      </w:r>
      <w:r>
        <w:rPr>
          <w:rFonts w:ascii="Arial" w:hAnsi="Arial"/>
          <w:i w:val="0"/>
          <w:color w:val="282C34"/>
          <w:sz w:val="20"/>
        </w:rPr>
        <w:t>El proyecto consiste en el desarrollo e implantación de un sistema de software B2B para la gestión, parametrización, cálculo de materialidades y exportación de declaraciones oficiales de la Ley REP en Chile. La plataforma permite a las empresas: (1) gestionar un catálogo técnico de envases desagregado por capas de material y pesos unitarios; (2) importar libros de ventas heterogéneos mediante algoritmos de normalización dinámica; (3) procesar volúmenes masivos mediante un motor de cálculo que prorratea factores logísticos y canales de distribución; y (4) exportar la declaración oficial en el formato binario exacto exigido por los Grandes Sistemas Colectivos de Gestión (GRANSIC), principalmente ReSimple.</w:t>
      </w:r>
    </w:p>
    <w:p>
      <w:pPr>
        <w:spacing w:before="0" w:after="120" w:line="276" w:lineRule="auto"/>
        <w:jc w:val="both"/>
      </w:pPr>
      <w:r>
        <w:rPr>
          <w:rFonts w:ascii="Arial" w:hAnsi="Arial"/>
          <w:b/>
          <w:color w:val="282C34"/>
          <w:sz w:val="20"/>
        </w:rPr>
        <w:t xml:space="preserve">Relevancia para el Campo Laboral: </w:t>
      </w:r>
      <w:r>
        <w:rPr>
          <w:rFonts w:ascii="Arial" w:hAnsi="Arial"/>
          <w:i w:val="0"/>
          <w:color w:val="282C34"/>
          <w:sz w:val="20"/>
        </w:rPr>
        <w:t>En el contexto laboral de la Ingeniería en Informática, este proyecto es altamente relevante debido a que resuelve una brecha crítica entre los marcos regulatorios ambientales del Estado y la capacidad técnica de los ERP empresariales. En la actualidad, las multas por declaraciones erróneas o tardías impuestas por la Superintendencia del Medio Ambiente (SMA) pueden ascender a cifras millonarias (hasta 10.000 UTA). Automatizar la tubería de ingestión, validación cruzada y generación de informes no solo erradica el error humano derivado del uso manual de Excel, sino que posiciona la ingeniería de software como un habilitador estratégico para la sostenibilidad corporativa y la gobernanza de datos.</w:t>
      </w:r>
    </w:p>
    <w:p>
      <w:pPr>
        <w:keepNext/>
        <w:spacing w:before="280" w:after="120"/>
      </w:pPr>
      <w:r>
        <w:rPr>
          <w:rFonts w:ascii="Arial" w:hAnsi="Arial"/>
          <w:b/>
          <w:color w:val="0F4C81"/>
          <w:sz w:val="28"/>
        </w:rPr>
        <w:t>3. Relación con las Competencias del Perfil de Egreso</w:t>
      </w:r>
    </w:p>
    <w:p>
      <w:pPr>
        <w:spacing w:before="0" w:after="120" w:line="276" w:lineRule="auto"/>
        <w:jc w:val="both"/>
      </w:pPr>
      <w:r>
        <w:rPr>
          <w:rFonts w:ascii="Arial" w:hAnsi="Arial"/>
          <w:i w:val="0"/>
          <w:color w:val="282C34"/>
          <w:sz w:val="20"/>
        </w:rPr>
        <w:t>El desarrollo del proyecto integra de manera armónica las cuatro competencias disciplinares clave del perfil de egreso de la carrera de Ingeniería en Informática:</w:t>
      </w:r>
    </w:p>
    <w:p>
      <w:pPr>
        <w:pStyle w:val="ListBullet"/>
        <w:spacing w:before="0" w:after="80" w:line="276" w:lineRule="auto"/>
        <w:jc w:val="both"/>
      </w:pPr>
      <w:r>
        <w:rPr>
          <w:rFonts w:ascii="Arial" w:hAnsi="Arial"/>
          <w:b/>
          <w:color w:val="282C34"/>
          <w:sz w:val="20"/>
        </w:rPr>
        <w:t xml:space="preserve">1. Realizar pruebas de certificación de productos y procesos: </w:t>
      </w:r>
      <w:r>
        <w:rPr>
          <w:rFonts w:ascii="Arial" w:hAnsi="Arial"/>
          <w:color w:val="282C34"/>
          <w:sz w:val="20"/>
        </w:rPr>
        <w:t>Diseño y ejecución de validación y QA cruzado contra macros certificadas de auditoría interna, corrigiendo anomalías de inversión de ratios (% No DOM) y taxonomías desalineadas.</w:t>
      </w:r>
    </w:p>
    <w:p>
      <w:pPr>
        <w:pStyle w:val="ListBullet"/>
        <w:spacing w:before="0" w:after="80" w:line="276" w:lineRule="auto"/>
        <w:jc w:val="both"/>
      </w:pPr>
      <w:r>
        <w:rPr>
          <w:rFonts w:ascii="Arial" w:hAnsi="Arial"/>
          <w:b/>
          <w:color w:val="282C34"/>
          <w:sz w:val="20"/>
        </w:rPr>
        <w:t xml:space="preserve">2. Gestionar proyectos informáticos: </w:t>
      </w:r>
      <w:r>
        <w:rPr>
          <w:rFonts w:ascii="Arial" w:hAnsi="Arial"/>
          <w:color w:val="282C34"/>
          <w:sz w:val="20"/>
        </w:rPr>
        <w:t>Aplicación de metodología ágil con Sprints de 2 semanas, control de riesgos normativos y entrega continua de valor.</w:t>
      </w:r>
    </w:p>
    <w:p>
      <w:pPr>
        <w:pStyle w:val="ListBullet"/>
        <w:spacing w:before="0" w:after="80" w:line="276" w:lineRule="auto"/>
        <w:jc w:val="both"/>
      </w:pPr>
      <w:r>
        <w:rPr>
          <w:rFonts w:ascii="Arial" w:hAnsi="Arial"/>
          <w:b/>
          <w:color w:val="282C34"/>
          <w:sz w:val="20"/>
        </w:rPr>
        <w:t xml:space="preserve">3. Construir modelos de datos escalables: </w:t>
      </w:r>
      <w:r>
        <w:rPr>
          <w:rFonts w:ascii="Arial" w:hAnsi="Arial"/>
          <w:color w:val="282C34"/>
          <w:sz w:val="20"/>
        </w:rPr>
        <w:t>Diseño de arquitectura multi-tenant por Razón Social (`razonSocialId`) con snapshots temporales inmutables (`razonSocialId::year::month`).</w:t>
      </w:r>
    </w:p>
    <w:p>
      <w:pPr>
        <w:pStyle w:val="ListBullet"/>
        <w:spacing w:before="0" w:after="80" w:line="276" w:lineRule="auto"/>
        <w:jc w:val="both"/>
      </w:pPr>
      <w:r>
        <w:rPr>
          <w:rFonts w:ascii="Arial" w:hAnsi="Arial"/>
          <w:b/>
          <w:color w:val="282C34"/>
          <w:sz w:val="20"/>
        </w:rPr>
        <w:t xml:space="preserve">4. Desarrollar e integrar soluciones de software: </w:t>
      </w:r>
      <w:r>
        <w:rPr>
          <w:rFonts w:ascii="Arial" w:hAnsi="Arial"/>
          <w:color w:val="282C34"/>
          <w:sz w:val="20"/>
        </w:rPr>
        <w:t>Construcción de una SPA modular con React 19, TypeScript estricto, Tailwind CSS y librerías de bajo nivel (`exceljs`, `xlsx`).</w:t>
      </w:r>
    </w:p>
    <w:p>
      <w:pPr>
        <w:keepNext/>
        <w:spacing w:before="280" w:after="120"/>
      </w:pPr>
      <w:r>
        <w:rPr>
          <w:rFonts w:ascii="Arial" w:hAnsi="Arial"/>
          <w:b/>
          <w:color w:val="0F4C81"/>
          <w:sz w:val="28"/>
        </w:rPr>
        <w:t>4. Relación con los Intereses Profesionales</w:t>
      </w:r>
    </w:p>
    <w:p>
      <w:pPr>
        <w:spacing w:before="0" w:after="120" w:line="276" w:lineRule="auto"/>
        <w:jc w:val="both"/>
      </w:pPr>
      <w:r>
        <w:rPr>
          <w:rFonts w:ascii="Arial" w:hAnsi="Arial"/>
          <w:i w:val="0"/>
          <w:color w:val="282C34"/>
          <w:sz w:val="20"/>
        </w:rPr>
        <w:t>El proyecto se alinea directamente con mis intereses profesionales en las áreas de Arquitectura de Software Full-Stack, Ingeniería de Datos y Desarrollo de Soluciones B2B. A nivel vocacional, busco especializarme en la construcción de sistemas de misión crítica donde la integridad matemática, la eficiencia algorítmica y la experiencia de usuario (UX) interactúen para simplificar procesos corporativos de alta complejidad.</w:t>
      </w:r>
    </w:p>
    <w:p>
      <w:pPr>
        <w:keepNext/>
        <w:spacing w:before="280" w:after="120"/>
      </w:pPr>
      <w:r>
        <w:rPr>
          <w:rFonts w:ascii="Arial" w:hAnsi="Arial"/>
          <w:b/>
          <w:color w:val="0F4C81"/>
          <w:sz w:val="28"/>
        </w:rPr>
        <w:t>5. Factibilidad de Realización en el Marco de la Asignatura</w:t>
      </w:r>
    </w:p>
    <w:p>
      <w:pPr>
        <w:pStyle w:val="ListBullet"/>
        <w:spacing w:before="0" w:after="80" w:line="276" w:lineRule="auto"/>
        <w:jc w:val="both"/>
      </w:pPr>
      <w:r>
        <w:rPr>
          <w:rFonts w:ascii="Arial" w:hAnsi="Arial"/>
          <w:b/>
          <w:color w:val="282C34"/>
          <w:sz w:val="20"/>
        </w:rPr>
        <w:t xml:space="preserve">Factibilidad Técnica: </w:t>
      </w:r>
      <w:r>
        <w:rPr>
          <w:rFonts w:ascii="Arial" w:hAnsi="Arial"/>
          <w:color w:val="282C34"/>
          <w:sz w:val="20"/>
        </w:rPr>
        <w:t>Stack moderno (React 19, TypeScript 5.9, Vite) que permite ciclos de iteración rápidos y cero dependencias de infraestructura pesada en etapas tempranas.</w:t>
      </w:r>
    </w:p>
    <w:p>
      <w:pPr>
        <w:pStyle w:val="ListBullet"/>
        <w:spacing w:before="0" w:after="80" w:line="276" w:lineRule="auto"/>
        <w:jc w:val="both"/>
      </w:pPr>
      <w:r>
        <w:rPr>
          <w:rFonts w:ascii="Arial" w:hAnsi="Arial"/>
          <w:b/>
          <w:color w:val="282C34"/>
          <w:sz w:val="20"/>
        </w:rPr>
        <w:t xml:space="preserve">Disponibilidad de Recursos: </w:t>
      </w:r>
      <w:r>
        <w:rPr>
          <w:rFonts w:ascii="Arial" w:hAnsi="Arial"/>
          <w:color w:val="282C34"/>
          <w:sz w:val="20"/>
        </w:rPr>
        <w:t>Acceso a plantillas oficiales ReSimple vigentes, datasets de ventas reales corporativos y herramientas avanzadas de desarrollo (Cursor IDE).</w:t>
      </w:r>
    </w:p>
    <w:p>
      <w:pPr>
        <w:pStyle w:val="ListBullet"/>
        <w:spacing w:before="0" w:after="80" w:line="276" w:lineRule="auto"/>
        <w:jc w:val="both"/>
      </w:pPr>
      <w:r>
        <w:rPr>
          <w:rFonts w:ascii="Arial" w:hAnsi="Arial"/>
          <w:b/>
          <w:color w:val="282C34"/>
          <w:sz w:val="20"/>
        </w:rPr>
        <w:t xml:space="preserve">Mitigación de Riesgos: </w:t>
      </w:r>
      <w:r>
        <w:rPr>
          <w:rFonts w:ascii="Arial" w:hAnsi="Arial"/>
          <w:color w:val="282C34"/>
          <w:sz w:val="20"/>
        </w:rPr>
        <w:t>Módulo de normalización agresiva de texto y matching difuso para desacoplar el motor de cálculo de cambios imprevistos en formatos de gobierno.</w:t>
      </w:r>
    </w:p>
    <w:p>
      <w:pPr>
        <w:keepNext/>
        <w:spacing w:before="280" w:after="120"/>
      </w:pPr>
      <w:r>
        <w:rPr>
          <w:rFonts w:ascii="Arial" w:hAnsi="Arial"/>
          <w:b/>
          <w:color w:val="0F4C81"/>
          <w:sz w:val="28"/>
        </w:rPr>
        <w:t>6. Formulación de Objetivos</w:t>
      </w:r>
    </w:p>
    <w:p>
      <w:pPr>
        <w:spacing w:before="0" w:after="120" w:line="276" w:lineRule="auto"/>
        <w:jc w:val="both"/>
      </w:pPr>
      <w:r>
        <w:rPr>
          <w:rFonts w:ascii="Arial" w:hAnsi="Arial"/>
          <w:b/>
          <w:color w:val="282C34"/>
          <w:sz w:val="20"/>
        </w:rPr>
        <w:t xml:space="preserve">Objetivo General: </w:t>
      </w:r>
      <w:r>
        <w:rPr>
          <w:rFonts w:ascii="Arial" w:hAnsi="Arial"/>
          <w:i w:val="0"/>
          <w:color w:val="282C34"/>
          <w:sz w:val="20"/>
        </w:rPr>
        <w:t>Diseñar, desarrollar e implementar una plataforma de software SaaS B2B para la parametrización de catálogos técnicos de envases, procesamiento dinámico de ventas y generación automatizada de declaraciones oficiales de la Ley REP en Chile, garantizando un 100% de precisión matemática y preservación del formato oficial ReSimple.</w:t>
      </w:r>
    </w:p>
    <w:p>
      <w:pPr>
        <w:pStyle w:val="ListBullet"/>
        <w:spacing w:before="0" w:after="80" w:line="276" w:lineRule="auto"/>
        <w:jc w:val="both"/>
      </w:pPr>
      <w:r>
        <w:rPr>
          <w:rFonts w:ascii="Arial" w:hAnsi="Arial"/>
          <w:b/>
          <w:color w:val="282C34"/>
          <w:sz w:val="20"/>
        </w:rPr>
        <w:t xml:space="preserve">OE1: </w:t>
      </w:r>
      <w:r>
        <w:rPr>
          <w:rFonts w:ascii="Arial" w:hAnsi="Arial"/>
          <w:color w:val="282C34"/>
          <w:sz w:val="20"/>
        </w:rPr>
        <w:t>Diseñar un módulo de ingesta y mapeo dinámico de datos capaz de procesar planillas Excel con estructuras heterogéneas.</w:t>
      </w:r>
    </w:p>
    <w:p>
      <w:pPr>
        <w:pStyle w:val="ListBullet"/>
        <w:spacing w:before="0" w:after="80" w:line="276" w:lineRule="auto"/>
        <w:jc w:val="both"/>
      </w:pPr>
      <w:r>
        <w:rPr>
          <w:rFonts w:ascii="Arial" w:hAnsi="Arial"/>
          <w:b/>
          <w:color w:val="282C34"/>
          <w:sz w:val="20"/>
        </w:rPr>
        <w:t xml:space="preserve">OE2: </w:t>
      </w:r>
      <w:r>
        <w:rPr>
          <w:rFonts w:ascii="Arial" w:hAnsi="Arial"/>
          <w:color w:val="282C34"/>
          <w:sz w:val="20"/>
        </w:rPr>
        <w:t>Implementar un motor de cálculo y matriz de clasificación REP que procese materialidades, ductilidad y peligrosidad con segmentación DOM / NO DOM.</w:t>
      </w:r>
    </w:p>
    <w:p>
      <w:pPr>
        <w:pStyle w:val="ListBullet"/>
        <w:spacing w:before="0" w:after="80" w:line="276" w:lineRule="auto"/>
        <w:jc w:val="both"/>
      </w:pPr>
      <w:r>
        <w:rPr>
          <w:rFonts w:ascii="Arial" w:hAnsi="Arial"/>
          <w:b/>
          <w:color w:val="282C34"/>
          <w:sz w:val="20"/>
        </w:rPr>
        <w:t xml:space="preserve">OE3: </w:t>
      </w:r>
      <w:r>
        <w:rPr>
          <w:rFonts w:ascii="Arial" w:hAnsi="Arial"/>
          <w:color w:val="282C34"/>
          <w:sz w:val="20"/>
        </w:rPr>
        <w:t>Desarrollar un módulo de exportación binaria basado en ExcelJS que inyecte datos sobre la plantilla oficial sin romper estructuras.</w:t>
      </w:r>
    </w:p>
    <w:p>
      <w:pPr>
        <w:pStyle w:val="ListBullet"/>
        <w:spacing w:before="0" w:after="80" w:line="276" w:lineRule="auto"/>
        <w:jc w:val="both"/>
      </w:pPr>
      <w:r>
        <w:rPr>
          <w:rFonts w:ascii="Arial" w:hAnsi="Arial"/>
          <w:b/>
          <w:color w:val="282C34"/>
          <w:sz w:val="20"/>
        </w:rPr>
        <w:t xml:space="preserve">OE4: </w:t>
      </w:r>
      <w:r>
        <w:rPr>
          <w:rFonts w:ascii="Arial" w:hAnsi="Arial"/>
          <w:color w:val="282C34"/>
          <w:sz w:val="20"/>
        </w:rPr>
        <w:t>Validar la exactitud y robustez de la solución mediante pruebas de caja negra y aseguramiento de calidad (QA) cruzado contra macros certificadas.</w:t>
      </w:r>
    </w:p>
    <w:p>
      <w:pPr>
        <w:keepNext/>
        <w:spacing w:before="280" w:after="120"/>
      </w:pPr>
      <w:r>
        <w:rPr>
          <w:rFonts w:ascii="Arial" w:hAnsi="Arial"/>
          <w:b/>
          <w:color w:val="0F4C81"/>
          <w:sz w:val="28"/>
        </w:rPr>
        <w:t>7. Metodología de Trabajo</w:t>
      </w:r>
    </w:p>
    <w:p>
      <w:pPr>
        <w:spacing w:before="0" w:after="120" w:line="276" w:lineRule="auto"/>
        <w:jc w:val="both"/>
      </w:pPr>
      <w:r>
        <w:rPr>
          <w:rFonts w:ascii="Arial" w:hAnsi="Arial"/>
          <w:i w:val="0"/>
          <w:color w:val="282C34"/>
          <w:sz w:val="20"/>
        </w:rPr>
        <w:t>Se adopta Scrum/Kanban estructurado en 5 fases iterativas:</w:t>
      </w:r>
    </w:p>
    <w:p>
      <w:pPr>
        <w:pStyle w:val="ListBullet"/>
        <w:spacing w:before="0" w:after="80" w:line="276" w:lineRule="auto"/>
        <w:jc w:val="both"/>
      </w:pPr>
      <w:r>
        <w:rPr>
          <w:rFonts w:ascii="Arial" w:hAnsi="Arial"/>
          <w:b/>
          <w:color w:val="282C34"/>
          <w:sz w:val="20"/>
        </w:rPr>
        <w:t xml:space="preserve">Fase I - Análisis y Levantamiento (Sem 1-3): </w:t>
      </w:r>
      <w:r>
        <w:rPr>
          <w:rFonts w:ascii="Arial" w:hAnsi="Arial"/>
          <w:color w:val="282C34"/>
          <w:sz w:val="20"/>
        </w:rPr>
        <w:t>Estudio de Ley N° 20.920 y especificación formal de requerimientos.</w:t>
      </w:r>
    </w:p>
    <w:p>
      <w:pPr>
        <w:pStyle w:val="ListBullet"/>
        <w:spacing w:before="0" w:after="80" w:line="276" w:lineRule="auto"/>
        <w:jc w:val="both"/>
      </w:pPr>
      <w:r>
        <w:rPr>
          <w:rFonts w:ascii="Arial" w:hAnsi="Arial"/>
          <w:b/>
          <w:color w:val="282C34"/>
          <w:sz w:val="20"/>
        </w:rPr>
        <w:t xml:space="preserve">Fase II - Diseño Arquitectónico (Sem 4-6): </w:t>
      </w:r>
      <w:r>
        <w:rPr>
          <w:rFonts w:ascii="Arial" w:hAnsi="Arial"/>
          <w:color w:val="282C34"/>
          <w:sz w:val="20"/>
        </w:rPr>
        <w:t>Definición de tipos TS, contratos de datos y arquitectura modular.</w:t>
      </w:r>
    </w:p>
    <w:p>
      <w:pPr>
        <w:pStyle w:val="ListBullet"/>
        <w:spacing w:before="0" w:after="80" w:line="276" w:lineRule="auto"/>
        <w:jc w:val="both"/>
      </w:pPr>
      <w:r>
        <w:rPr>
          <w:rFonts w:ascii="Arial" w:hAnsi="Arial"/>
          <w:b/>
          <w:color w:val="282C34"/>
          <w:sz w:val="20"/>
        </w:rPr>
        <w:t xml:space="preserve">Fase III - Desarrollo Core y UI (Sem 7-11): </w:t>
      </w:r>
      <w:r>
        <w:rPr>
          <w:rFonts w:ascii="Arial" w:hAnsi="Arial"/>
          <w:color w:val="282C34"/>
          <w:sz w:val="20"/>
        </w:rPr>
        <w:t>Construcción del motor de cálculo, normalizador y exportador ExcelJS.</w:t>
      </w:r>
    </w:p>
    <w:p>
      <w:pPr>
        <w:pStyle w:val="ListBullet"/>
        <w:spacing w:before="0" w:after="80" w:line="276" w:lineRule="auto"/>
        <w:jc w:val="both"/>
      </w:pPr>
      <w:r>
        <w:rPr>
          <w:rFonts w:ascii="Arial" w:hAnsi="Arial"/>
          <w:b/>
          <w:color w:val="282C34"/>
          <w:sz w:val="20"/>
        </w:rPr>
        <w:t xml:space="preserve">Fase IV - Testing y Validación (Sem 12-14): </w:t>
      </w:r>
      <w:r>
        <w:rPr>
          <w:rFonts w:ascii="Arial" w:hAnsi="Arial"/>
          <w:color w:val="282C34"/>
          <w:sz w:val="20"/>
        </w:rPr>
        <w:t>QA cruzado contra macros de referencia y depuración de casos borde.</w:t>
      </w:r>
    </w:p>
    <w:p>
      <w:pPr>
        <w:pStyle w:val="ListBullet"/>
        <w:spacing w:before="0" w:after="80" w:line="276" w:lineRule="auto"/>
        <w:jc w:val="both"/>
      </w:pPr>
      <w:r>
        <w:rPr>
          <w:rFonts w:ascii="Arial" w:hAnsi="Arial"/>
          <w:b/>
          <w:color w:val="282C34"/>
          <w:sz w:val="20"/>
        </w:rPr>
        <w:t xml:space="preserve">Fase V - Cierre y Documentación (Sem 15-16): </w:t>
      </w:r>
      <w:r>
        <w:rPr>
          <w:rFonts w:ascii="Arial" w:hAnsi="Arial"/>
          <w:color w:val="282C34"/>
          <w:sz w:val="20"/>
        </w:rPr>
        <w:t>Auditoría de compilación (`npm run build`) y entrega final.</w:t>
      </w:r>
    </w:p>
    <w:p>
      <w:pPr>
        <w:keepNext/>
        <w:spacing w:before="280" w:after="120"/>
      </w:pPr>
      <w:r>
        <w:rPr>
          <w:rFonts w:ascii="Arial" w:hAnsi="Arial"/>
          <w:b/>
          <w:color w:val="0F4C81"/>
          <w:sz w:val="28"/>
        </w:rPr>
        <w:t>8. Plan de Trabajo, Recursos y Evidencias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4C81"/>
            <w:tcMar>
              <w:top w:w="80" w:type="dxa"/>
              <w:bottom w:w="80" w:type="dxa"/>
              <w:left w:w="100" w:type="dxa"/>
              <w:right w:w="100" w:type="dxa"/>
            </w:tcMar>
          </w:tcPr>
          <w:p>
            <w:r>
              <w:rPr>
                <w:rFonts w:ascii="Arial" w:hAnsi="Arial"/>
                <w:b/>
                <w:color w:val="FFFFFF"/>
                <w:sz w:val="17"/>
              </w:rPr>
              <w:t>Fase / Hito</w:t>
            </w:r>
          </w:p>
        </w:tc>
        <w:tc>
          <w:tcPr>
            <w:tcW w:type="dxa" w:w="1872"/>
            <w:shd w:fill="0F4C81"/>
            <w:tcMar>
              <w:top w:w="80" w:type="dxa"/>
              <w:bottom w:w="80" w:type="dxa"/>
              <w:left w:w="100" w:type="dxa"/>
              <w:right w:w="100" w:type="dxa"/>
            </w:tcMar>
          </w:tcPr>
          <w:p>
            <w:r>
              <w:rPr>
                <w:rFonts w:ascii="Arial" w:hAnsi="Arial"/>
                <w:b/>
                <w:color w:val="FFFFFF"/>
                <w:sz w:val="17"/>
              </w:rPr>
              <w:t>Actividades Principales</w:t>
            </w:r>
          </w:p>
        </w:tc>
        <w:tc>
          <w:tcPr>
            <w:tcW w:type="dxa" w:w="1872"/>
            <w:shd w:fill="0F4C81"/>
            <w:tcMar>
              <w:top w:w="80" w:type="dxa"/>
              <w:bottom w:w="80" w:type="dxa"/>
              <w:left w:w="100" w:type="dxa"/>
              <w:right w:w="100" w:type="dxa"/>
            </w:tcMar>
          </w:tcPr>
          <w:p>
            <w:r>
              <w:rPr>
                <w:rFonts w:ascii="Arial" w:hAnsi="Arial"/>
                <w:b/>
                <w:color w:val="FFFFFF"/>
                <w:sz w:val="17"/>
              </w:rPr>
              <w:t>Duración</w:t>
            </w:r>
          </w:p>
        </w:tc>
        <w:tc>
          <w:tcPr>
            <w:tcW w:type="dxa" w:w="1872"/>
            <w:shd w:fill="0F4C81"/>
            <w:tcMar>
              <w:top w:w="80" w:type="dxa"/>
              <w:bottom w:w="80" w:type="dxa"/>
              <w:left w:w="100" w:type="dxa"/>
              <w:right w:w="100" w:type="dxa"/>
            </w:tcMar>
          </w:tcPr>
          <w:p>
            <w:r>
              <w:rPr>
                <w:rFonts w:ascii="Arial" w:hAnsi="Arial"/>
                <w:b/>
                <w:color w:val="FFFFFF"/>
                <w:sz w:val="17"/>
              </w:rPr>
              <w:t>Recursos</w:t>
            </w:r>
          </w:p>
        </w:tc>
        <w:tc>
          <w:tcPr>
            <w:tcW w:type="dxa" w:w="1872"/>
            <w:shd w:fill="0F4C81"/>
            <w:tcMar>
              <w:top w:w="80" w:type="dxa"/>
              <w:bottom w:w="80" w:type="dxa"/>
              <w:left w:w="100" w:type="dxa"/>
              <w:right w:w="100" w:type="dxa"/>
            </w:tcMar>
          </w:tcPr>
          <w:p>
            <w:r>
              <w:rPr>
                <w:rFonts w:ascii="Arial" w:hAnsi="Arial"/>
                <w:b/>
                <w:color w:val="FFFFFF"/>
                <w:sz w:val="17"/>
              </w:rPr>
              <w:t>Facilitadores / Obstaculizadores</w:t>
            </w:r>
          </w:p>
        </w:tc>
      </w:tr>
      <w:tr>
        <w:tc>
          <w:tcPr>
            <w:tcW w:type="dxa" w:w="1872"/>
            <w:shd w:fill="F9FAFB"/>
            <w:tcMar>
              <w:top w:w="60" w:type="dxa"/>
              <w:bottom w:w="60" w:type="dxa"/>
              <w:left w:w="80" w:type="dxa"/>
              <w:right w:w="80" w:type="dxa"/>
            </w:tcMar>
          </w:tcPr>
          <w:p>
            <w:r>
              <w:rPr>
                <w:rFonts w:ascii="Arial" w:hAnsi="Arial"/>
                <w:sz w:val="16"/>
              </w:rPr>
              <w:t>Fase 1: Definición</w:t>
            </w:r>
          </w:p>
        </w:tc>
        <w:tc>
          <w:tcPr>
            <w:tcW w:type="dxa" w:w="1872"/>
            <w:shd w:fill="F9FAFB"/>
            <w:tcMar>
              <w:top w:w="60" w:type="dxa"/>
              <w:bottom w:w="60" w:type="dxa"/>
              <w:left w:w="80" w:type="dxa"/>
              <w:right w:w="80" w:type="dxa"/>
            </w:tcMar>
          </w:tcPr>
          <w:p>
            <w:r>
              <w:rPr>
                <w:rFonts w:ascii="Arial" w:hAnsi="Arial"/>
                <w:sz w:val="16"/>
              </w:rPr>
              <w:t>Levantamiento normativo REP, diseño de requerimientos y modelado.</w:t>
            </w:r>
          </w:p>
        </w:tc>
        <w:tc>
          <w:tcPr>
            <w:tcW w:type="dxa" w:w="1872"/>
            <w:shd w:fill="F9FAFB"/>
            <w:tcMar>
              <w:top w:w="60" w:type="dxa"/>
              <w:bottom w:w="60" w:type="dxa"/>
              <w:left w:w="80" w:type="dxa"/>
              <w:right w:w="80" w:type="dxa"/>
            </w:tcMar>
          </w:tcPr>
          <w:p>
            <w:r>
              <w:rPr>
                <w:rFonts w:ascii="Arial" w:hAnsi="Arial"/>
                <w:sz w:val="16"/>
              </w:rPr>
              <w:t>Sem 1-3</w:t>
            </w:r>
          </w:p>
        </w:tc>
        <w:tc>
          <w:tcPr>
            <w:tcW w:type="dxa" w:w="1872"/>
            <w:shd w:fill="F9FAFB"/>
            <w:tcMar>
              <w:top w:w="60" w:type="dxa"/>
              <w:bottom w:w="60" w:type="dxa"/>
              <w:left w:w="80" w:type="dxa"/>
              <w:right w:w="80" w:type="dxa"/>
            </w:tcMar>
          </w:tcPr>
          <w:p>
            <w:r>
              <w:rPr>
                <w:rFonts w:ascii="Arial" w:hAnsi="Arial"/>
                <w:sz w:val="16"/>
              </w:rPr>
              <w:t>Normativa SMA, Plantillas ReSimple.</w:t>
            </w:r>
          </w:p>
        </w:tc>
        <w:tc>
          <w:tcPr>
            <w:tcW w:type="dxa" w:w="1872"/>
            <w:shd w:fill="F9FAFB"/>
            <w:tcMar>
              <w:top w:w="60" w:type="dxa"/>
              <w:bottom w:w="60" w:type="dxa"/>
              <w:left w:w="80" w:type="dxa"/>
              <w:right w:w="80" w:type="dxa"/>
            </w:tcMar>
          </w:tcPr>
          <w:p>
            <w:r>
              <w:rPr>
                <w:rFonts w:ascii="Arial" w:hAnsi="Arial"/>
                <w:sz w:val="16"/>
              </w:rPr>
              <w:t>Facilitador: Documentación oficial.</w:t>
              <w:br/>
              <w:t>Obstaculizador: Complejidad legal.</w:t>
            </w:r>
          </w:p>
        </w:tc>
      </w:tr>
      <w:tr>
        <w:tc>
          <w:tcPr>
            <w:tcW w:type="dxa" w:w="1872"/>
            <w:shd w:fill="FFFFFF"/>
            <w:tcMar>
              <w:top w:w="60" w:type="dxa"/>
              <w:bottom w:w="60" w:type="dxa"/>
              <w:left w:w="80" w:type="dxa"/>
              <w:right w:w="80" w:type="dxa"/>
            </w:tcMar>
          </w:tcPr>
          <w:p>
            <w:r>
              <w:rPr>
                <w:rFonts w:ascii="Arial" w:hAnsi="Arial"/>
                <w:sz w:val="16"/>
              </w:rPr>
              <w:t>Fase 2: Arquitectura</w:t>
            </w:r>
          </w:p>
        </w:tc>
        <w:tc>
          <w:tcPr>
            <w:tcW w:type="dxa" w:w="1872"/>
            <w:shd w:fill="FFFFFF"/>
            <w:tcMar>
              <w:top w:w="60" w:type="dxa"/>
              <w:bottom w:w="60" w:type="dxa"/>
              <w:left w:w="80" w:type="dxa"/>
              <w:right w:w="80" w:type="dxa"/>
            </w:tcMar>
          </w:tcPr>
          <w:p>
            <w:r>
              <w:rPr>
                <w:rFonts w:ascii="Arial" w:hAnsi="Arial"/>
                <w:sz w:val="16"/>
              </w:rPr>
              <w:t>Diseño de interfaces TS, setup de Vite y multi-empresa.</w:t>
            </w:r>
          </w:p>
        </w:tc>
        <w:tc>
          <w:tcPr>
            <w:tcW w:type="dxa" w:w="1872"/>
            <w:shd w:fill="FFFFFF"/>
            <w:tcMar>
              <w:top w:w="60" w:type="dxa"/>
              <w:bottom w:w="60" w:type="dxa"/>
              <w:left w:w="80" w:type="dxa"/>
              <w:right w:w="80" w:type="dxa"/>
            </w:tcMar>
          </w:tcPr>
          <w:p>
            <w:r>
              <w:rPr>
                <w:rFonts w:ascii="Arial" w:hAnsi="Arial"/>
                <w:sz w:val="16"/>
              </w:rPr>
              <w:t>Sem 4-6</w:t>
            </w:r>
          </w:p>
        </w:tc>
        <w:tc>
          <w:tcPr>
            <w:tcW w:type="dxa" w:w="1872"/>
            <w:shd w:fill="FFFFFF"/>
            <w:tcMar>
              <w:top w:w="60" w:type="dxa"/>
              <w:bottom w:w="60" w:type="dxa"/>
              <w:left w:w="80" w:type="dxa"/>
              <w:right w:w="80" w:type="dxa"/>
            </w:tcMar>
          </w:tcPr>
          <w:p>
            <w:r>
              <w:rPr>
                <w:rFonts w:ascii="Arial" w:hAnsi="Arial"/>
                <w:sz w:val="16"/>
              </w:rPr>
              <w:t>Vite, React 19, TypeScript, Cursor IDE.</w:t>
            </w:r>
          </w:p>
        </w:tc>
        <w:tc>
          <w:tcPr>
            <w:tcW w:type="dxa" w:w="1872"/>
            <w:shd w:fill="FFFFFF"/>
            <w:tcMar>
              <w:top w:w="60" w:type="dxa"/>
              <w:bottom w:w="60" w:type="dxa"/>
              <w:left w:w="80" w:type="dxa"/>
              <w:right w:w="80" w:type="dxa"/>
            </w:tcMar>
          </w:tcPr>
          <w:p>
            <w:r>
              <w:rPr>
                <w:rFonts w:ascii="Arial" w:hAnsi="Arial"/>
                <w:sz w:val="16"/>
              </w:rPr>
              <w:t>Facilitador: Tipado estricto TS.</w:t>
              <w:br/>
              <w:t>Obstaculizador: Estructura de snapshots.</w:t>
            </w:r>
          </w:p>
        </w:tc>
      </w:tr>
      <w:tr>
        <w:tc>
          <w:tcPr>
            <w:tcW w:type="dxa" w:w="1872"/>
            <w:shd w:fill="F9FAFB"/>
            <w:tcMar>
              <w:top w:w="60" w:type="dxa"/>
              <w:bottom w:w="60" w:type="dxa"/>
              <w:left w:w="80" w:type="dxa"/>
              <w:right w:w="80" w:type="dxa"/>
            </w:tcMar>
          </w:tcPr>
          <w:p>
            <w:r>
              <w:rPr>
                <w:rFonts w:ascii="Arial" w:hAnsi="Arial"/>
                <w:sz w:val="16"/>
              </w:rPr>
              <w:t>Fase 3: Core Motor</w:t>
            </w:r>
          </w:p>
        </w:tc>
        <w:tc>
          <w:tcPr>
            <w:tcW w:type="dxa" w:w="1872"/>
            <w:shd w:fill="F9FAFB"/>
            <w:tcMar>
              <w:top w:w="60" w:type="dxa"/>
              <w:bottom w:w="60" w:type="dxa"/>
              <w:left w:w="80" w:type="dxa"/>
              <w:right w:w="80" w:type="dxa"/>
            </w:tcMar>
          </w:tcPr>
          <w:p>
            <w:r>
              <w:rPr>
                <w:rFonts w:ascii="Arial" w:hAnsi="Arial"/>
                <w:sz w:val="16"/>
              </w:rPr>
              <w:t>Desarrollo de cálculo de tonelaje y exportador ExcelJS.</w:t>
            </w:r>
          </w:p>
        </w:tc>
        <w:tc>
          <w:tcPr>
            <w:tcW w:type="dxa" w:w="1872"/>
            <w:shd w:fill="F9FAFB"/>
            <w:tcMar>
              <w:top w:w="60" w:type="dxa"/>
              <w:bottom w:w="60" w:type="dxa"/>
              <w:left w:w="80" w:type="dxa"/>
              <w:right w:w="80" w:type="dxa"/>
            </w:tcMar>
          </w:tcPr>
          <w:p>
            <w:r>
              <w:rPr>
                <w:rFonts w:ascii="Arial" w:hAnsi="Arial"/>
                <w:sz w:val="16"/>
              </w:rPr>
              <w:t>Sem 7-11</w:t>
            </w:r>
          </w:p>
        </w:tc>
        <w:tc>
          <w:tcPr>
            <w:tcW w:type="dxa" w:w="1872"/>
            <w:shd w:fill="F9FAFB"/>
            <w:tcMar>
              <w:top w:w="60" w:type="dxa"/>
              <w:bottom w:w="60" w:type="dxa"/>
              <w:left w:w="80" w:type="dxa"/>
              <w:right w:w="80" w:type="dxa"/>
            </w:tcMar>
          </w:tcPr>
          <w:p>
            <w:r>
              <w:rPr>
                <w:rFonts w:ascii="Arial" w:hAnsi="Arial"/>
                <w:sz w:val="16"/>
              </w:rPr>
              <w:t>ExcelJS, SheetJS, Tailwind CSS.</w:t>
            </w:r>
          </w:p>
        </w:tc>
        <w:tc>
          <w:tcPr>
            <w:tcW w:type="dxa" w:w="1872"/>
            <w:shd w:fill="F9FAFB"/>
            <w:tcMar>
              <w:top w:w="60" w:type="dxa"/>
              <w:bottom w:w="60" w:type="dxa"/>
              <w:left w:w="80" w:type="dxa"/>
              <w:right w:w="80" w:type="dxa"/>
            </w:tcMar>
          </w:tcPr>
          <w:p>
            <w:r>
              <w:rPr>
                <w:rFonts w:ascii="Arial" w:hAnsi="Arial"/>
                <w:sz w:val="16"/>
              </w:rPr>
              <w:t>Facilitador: Librerías especializadas.</w:t>
              <w:br/>
              <w:t>Obstaculizador: Desalineación de plantilla.</w:t>
            </w:r>
          </w:p>
        </w:tc>
      </w:tr>
      <w:tr>
        <w:tc>
          <w:tcPr>
            <w:tcW w:type="dxa" w:w="1872"/>
            <w:shd w:fill="FFFFFF"/>
            <w:tcMar>
              <w:top w:w="60" w:type="dxa"/>
              <w:bottom w:w="60" w:type="dxa"/>
              <w:left w:w="80" w:type="dxa"/>
              <w:right w:w="80" w:type="dxa"/>
            </w:tcMar>
          </w:tcPr>
          <w:p>
            <w:r>
              <w:rPr>
                <w:rFonts w:ascii="Arial" w:hAnsi="Arial"/>
                <w:sz w:val="16"/>
              </w:rPr>
              <w:t>Fase 4: QA y Pruebas</w:t>
            </w:r>
          </w:p>
        </w:tc>
        <w:tc>
          <w:tcPr>
            <w:tcW w:type="dxa" w:w="1872"/>
            <w:shd w:fill="FFFFFF"/>
            <w:tcMar>
              <w:top w:w="60" w:type="dxa"/>
              <w:bottom w:w="60" w:type="dxa"/>
              <w:left w:w="80" w:type="dxa"/>
              <w:right w:w="80" w:type="dxa"/>
            </w:tcMar>
          </w:tcPr>
          <w:p>
            <w:r>
              <w:rPr>
                <w:rFonts w:ascii="Arial" w:hAnsi="Arial"/>
                <w:sz w:val="16"/>
              </w:rPr>
              <w:t>Alineación contra macros de Excel y depuración DOM/NO DOM.</w:t>
            </w:r>
          </w:p>
        </w:tc>
        <w:tc>
          <w:tcPr>
            <w:tcW w:type="dxa" w:w="1872"/>
            <w:shd w:fill="FFFFFF"/>
            <w:tcMar>
              <w:top w:w="60" w:type="dxa"/>
              <w:bottom w:w="60" w:type="dxa"/>
              <w:left w:w="80" w:type="dxa"/>
              <w:right w:w="80" w:type="dxa"/>
            </w:tcMar>
          </w:tcPr>
          <w:p>
            <w:r>
              <w:rPr>
                <w:rFonts w:ascii="Arial" w:hAnsi="Arial"/>
                <w:sz w:val="16"/>
              </w:rPr>
              <w:t>Sem 12-14</w:t>
            </w:r>
          </w:p>
        </w:tc>
        <w:tc>
          <w:tcPr>
            <w:tcW w:type="dxa" w:w="1872"/>
            <w:shd w:fill="FFFFFF"/>
            <w:tcMar>
              <w:top w:w="60" w:type="dxa"/>
              <w:bottom w:w="60" w:type="dxa"/>
              <w:left w:w="80" w:type="dxa"/>
              <w:right w:w="80" w:type="dxa"/>
            </w:tcMar>
          </w:tcPr>
          <w:p>
            <w:r>
              <w:rPr>
                <w:rFonts w:ascii="Arial" w:hAnsi="Arial"/>
                <w:sz w:val="16"/>
              </w:rPr>
              <w:t>Datasets de ventas reales (Prinorte).</w:t>
            </w:r>
          </w:p>
        </w:tc>
        <w:tc>
          <w:tcPr>
            <w:tcW w:type="dxa" w:w="1872"/>
            <w:shd w:fill="FFFFFF"/>
            <w:tcMar>
              <w:top w:w="60" w:type="dxa"/>
              <w:bottom w:w="60" w:type="dxa"/>
              <w:left w:w="80" w:type="dxa"/>
              <w:right w:w="80" w:type="dxa"/>
            </w:tcMar>
          </w:tcPr>
          <w:p>
            <w:r>
              <w:rPr>
                <w:rFonts w:ascii="Arial" w:hAnsi="Arial"/>
                <w:sz w:val="16"/>
              </w:rPr>
              <w:t>Facilitador: Datos reales para QA.</w:t>
              <w:br/>
              <w:t>Obstaculizador: Casos borde.</w:t>
            </w:r>
          </w:p>
        </w:tc>
      </w:tr>
      <w:tr>
        <w:tc>
          <w:tcPr>
            <w:tcW w:type="dxa" w:w="1872"/>
            <w:shd w:fill="F9FAFB"/>
            <w:tcMar>
              <w:top w:w="60" w:type="dxa"/>
              <w:bottom w:w="60" w:type="dxa"/>
              <w:left w:w="80" w:type="dxa"/>
              <w:right w:w="80" w:type="dxa"/>
            </w:tcMar>
          </w:tcPr>
          <w:p>
            <w:r>
              <w:rPr>
                <w:rFonts w:ascii="Arial" w:hAnsi="Arial"/>
                <w:sz w:val="16"/>
              </w:rPr>
              <w:t>Fase 5: Cierre</w:t>
            </w:r>
          </w:p>
        </w:tc>
        <w:tc>
          <w:tcPr>
            <w:tcW w:type="dxa" w:w="1872"/>
            <w:shd w:fill="F9FAFB"/>
            <w:tcMar>
              <w:top w:w="60" w:type="dxa"/>
              <w:bottom w:w="60" w:type="dxa"/>
              <w:left w:w="80" w:type="dxa"/>
              <w:right w:w="80" w:type="dxa"/>
            </w:tcMar>
          </w:tcPr>
          <w:p>
            <w:r>
              <w:rPr>
                <w:rFonts w:ascii="Arial" w:hAnsi="Arial"/>
                <w:sz w:val="16"/>
              </w:rPr>
              <w:t>Refactorización final, pruebas de compilación y memoria.</w:t>
            </w:r>
          </w:p>
        </w:tc>
        <w:tc>
          <w:tcPr>
            <w:tcW w:type="dxa" w:w="1872"/>
            <w:shd w:fill="F9FAFB"/>
            <w:tcMar>
              <w:top w:w="60" w:type="dxa"/>
              <w:bottom w:w="60" w:type="dxa"/>
              <w:left w:w="80" w:type="dxa"/>
              <w:right w:w="80" w:type="dxa"/>
            </w:tcMar>
          </w:tcPr>
          <w:p>
            <w:r>
              <w:rPr>
                <w:rFonts w:ascii="Arial" w:hAnsi="Arial"/>
                <w:sz w:val="16"/>
              </w:rPr>
              <w:t>Sem 15-16</w:t>
            </w:r>
          </w:p>
        </w:tc>
        <w:tc>
          <w:tcPr>
            <w:tcW w:type="dxa" w:w="1872"/>
            <w:shd w:fill="F9FAFB"/>
            <w:tcMar>
              <w:top w:w="60" w:type="dxa"/>
              <w:bottom w:w="60" w:type="dxa"/>
              <w:left w:w="80" w:type="dxa"/>
              <w:right w:w="80" w:type="dxa"/>
            </w:tcMar>
          </w:tcPr>
          <w:p>
            <w:r>
              <w:rPr>
                <w:rFonts w:ascii="Arial" w:hAnsi="Arial"/>
                <w:sz w:val="16"/>
              </w:rPr>
              <w:t>Entorno Node.js, Git/GitHub.</w:t>
            </w:r>
          </w:p>
        </w:tc>
        <w:tc>
          <w:tcPr>
            <w:tcW w:type="dxa" w:w="1872"/>
            <w:shd w:fill="F9FAFB"/>
            <w:tcMar>
              <w:top w:w="60" w:type="dxa"/>
              <w:bottom w:w="60" w:type="dxa"/>
              <w:left w:w="80" w:type="dxa"/>
              <w:right w:w="80" w:type="dxa"/>
            </w:tcMar>
          </w:tcPr>
          <w:p>
            <w:r>
              <w:rPr>
                <w:rFonts w:ascii="Arial" w:hAnsi="Arial"/>
                <w:sz w:val="16"/>
              </w:rPr>
              <w:t>Facilitador: Repositorio modular.</w:t>
              <w:br/>
              <w:t>Obstaculizador: Plazos de entrega.</w:t>
            </w:r>
          </w:p>
        </w:tc>
      </w:tr>
    </w:tbl>
    <w:p>
      <w:pPr>
        <w:spacing w:after="160"/>
      </w:pPr>
    </w:p>
    <w:p>
      <w:pPr>
        <w:keepNext/>
        <w:spacing w:before="280" w:after="120"/>
      </w:pPr>
      <w:r>
        <w:rPr>
          <w:rFonts w:ascii="Arial" w:hAnsi="Arial"/>
          <w:b/>
          <w:color w:val="10955B"/>
          <w:sz w:val="24"/>
        </w:rPr>
        <w:t>8.1 Propuesta de Evidencias de Logro</w:t>
      </w:r>
    </w:p>
    <w:p>
      <w:pPr>
        <w:pStyle w:val="ListBullet"/>
        <w:spacing w:before="0" w:after="80" w:line="276" w:lineRule="auto"/>
        <w:jc w:val="both"/>
      </w:pPr>
      <w:r>
        <w:rPr>
          <w:rFonts w:ascii="Arial" w:hAnsi="Arial"/>
          <w:b/>
          <w:color w:val="282C34"/>
          <w:sz w:val="20"/>
        </w:rPr>
        <w:t xml:space="preserve">Repositorio Git Versionado: </w:t>
      </w:r>
      <w:r>
        <w:rPr>
          <w:rFonts w:ascii="Arial" w:hAnsi="Arial"/>
          <w:color w:val="282C34"/>
          <w:sz w:val="20"/>
        </w:rPr>
        <w:t>Historial de commits, refactorizaciones y modularidad del código fuente.</w:t>
      </w:r>
    </w:p>
    <w:p>
      <w:pPr>
        <w:pStyle w:val="ListBullet"/>
        <w:spacing w:before="0" w:after="80" w:line="276" w:lineRule="auto"/>
        <w:jc w:val="both"/>
      </w:pPr>
      <w:r>
        <w:rPr>
          <w:rFonts w:ascii="Arial" w:hAnsi="Arial"/>
          <w:b/>
          <w:color w:val="282C34"/>
          <w:sz w:val="20"/>
        </w:rPr>
        <w:t xml:space="preserve">Actas de Validación Cruzada (QA): </w:t>
      </w:r>
      <w:r>
        <w:rPr>
          <w:rFonts w:ascii="Arial" w:hAnsi="Arial"/>
          <w:color w:val="282C34"/>
          <w:sz w:val="20"/>
        </w:rPr>
        <w:t>Tablas comparativas demostrando paridad decimal exacta frente a macros.</w:t>
      </w:r>
    </w:p>
    <w:p>
      <w:pPr>
        <w:pStyle w:val="ListBullet"/>
        <w:spacing w:before="0" w:after="80" w:line="276" w:lineRule="auto"/>
        <w:jc w:val="both"/>
      </w:pPr>
      <w:r>
        <w:rPr>
          <w:rFonts w:ascii="Arial" w:hAnsi="Arial"/>
          <w:b/>
          <w:color w:val="282C34"/>
          <w:sz w:val="20"/>
        </w:rPr>
        <w:t xml:space="preserve">Archivos Binarios Exportados: </w:t>
      </w:r>
      <w:r>
        <w:rPr>
          <w:rFonts w:ascii="Arial" w:hAnsi="Arial"/>
          <w:color w:val="282C34"/>
          <w:sz w:val="20"/>
        </w:rPr>
        <w:t>Archivos `.xlsx` generados demostrando preservación de la plantilla oficial.</w:t>
      </w:r>
    </w:p>
    <w:p>
      <w:pPr>
        <w:pStyle w:val="ListBullet"/>
        <w:spacing w:before="0" w:after="80" w:line="276" w:lineRule="auto"/>
        <w:jc w:val="both"/>
      </w:pPr>
      <w:r>
        <w:rPr>
          <w:rFonts w:ascii="Arial" w:hAnsi="Arial"/>
          <w:b/>
          <w:color w:val="282C34"/>
          <w:sz w:val="20"/>
        </w:rPr>
        <w:t xml:space="preserve">Capturas de Interfaz: </w:t>
      </w:r>
      <w:r>
        <w:rPr>
          <w:rFonts w:ascii="Arial" w:hAnsi="Arial"/>
          <w:color w:val="282C34"/>
          <w:sz w:val="20"/>
        </w:rPr>
        <w:t>Evidencia visual del Dashboard, Catálogo, Calculadora y Reportes.</w:t>
      </w:r>
    </w:p>
    <w:p>
      <w:pPr>
        <w:keepNext/>
        <w:spacing w:before="280" w:after="120"/>
      </w:pPr>
      <w:r>
        <w:rPr>
          <w:rFonts w:ascii="Arial" w:hAnsi="Arial"/>
          <w:b/>
          <w:color w:val="0F4C81"/>
          <w:sz w:val="28"/>
        </w:rPr>
        <w:t>9. Cumplimiento de Indicadores de Calidad Disciplinarios</w:t>
      </w:r>
    </w:p>
    <w:tbl>
      <w:tblPr>
        <w:tblW w:type="auto" w:w="0"/>
        <w:jc w:val="center"/>
        <w:tblLook w:firstColumn="1" w:firstRow="1" w:lastColumn="0" w:lastRow="0" w:noHBand="0" w:noVBand="1" w:val="04A0"/>
      </w:tblPr>
      <w:tblGrid>
        <w:gridCol w:w="3120"/>
        <w:gridCol w:w="3120"/>
        <w:gridCol w:w="3120"/>
      </w:tblGrid>
      <w:tr>
        <w:tc>
          <w:tcPr>
            <w:tcW w:type="dxa" w:w="3120"/>
            <w:shd w:fill="10955B"/>
            <w:tcMar>
              <w:top w:w="80" w:type="dxa"/>
              <w:bottom w:w="80" w:type="dxa"/>
              <w:left w:w="100" w:type="dxa"/>
              <w:right w:w="100" w:type="dxa"/>
            </w:tcMar>
          </w:tcPr>
          <w:p>
            <w:r>
              <w:rPr>
                <w:rFonts w:ascii="Arial" w:hAnsi="Arial"/>
                <w:b/>
                <w:color w:val="FFFFFF"/>
                <w:sz w:val="17"/>
              </w:rPr>
              <w:t>Competencia de Egreso</w:t>
            </w:r>
          </w:p>
        </w:tc>
        <w:tc>
          <w:tcPr>
            <w:tcW w:type="dxa" w:w="3120"/>
            <w:shd w:fill="10955B"/>
            <w:tcMar>
              <w:top w:w="80" w:type="dxa"/>
              <w:bottom w:w="80" w:type="dxa"/>
              <w:left w:w="100" w:type="dxa"/>
              <w:right w:w="100" w:type="dxa"/>
            </w:tcMar>
          </w:tcPr>
          <w:p>
            <w:r>
              <w:rPr>
                <w:rFonts w:ascii="Arial" w:hAnsi="Arial"/>
                <w:b/>
                <w:color w:val="FFFFFF"/>
                <w:sz w:val="17"/>
              </w:rPr>
              <w:t>Indicador de Calidad</w:t>
            </w:r>
          </w:p>
        </w:tc>
        <w:tc>
          <w:tcPr>
            <w:tcW w:type="dxa" w:w="3120"/>
            <w:shd w:fill="10955B"/>
            <w:tcMar>
              <w:top w:w="80" w:type="dxa"/>
              <w:bottom w:w="80" w:type="dxa"/>
              <w:left w:w="100" w:type="dxa"/>
              <w:right w:w="100" w:type="dxa"/>
            </w:tcMar>
          </w:tcPr>
          <w:p>
            <w:r>
              <w:rPr>
                <w:rFonts w:ascii="Arial" w:hAnsi="Arial"/>
                <w:b/>
                <w:color w:val="FFFFFF"/>
                <w:sz w:val="17"/>
              </w:rPr>
              <w:t>Evidencia y Aplicación Concreta en el Proyecto</w:t>
            </w:r>
          </w:p>
        </w:tc>
      </w:tr>
      <w:tr>
        <w:tc>
          <w:tcPr>
            <w:tcW w:type="dxa" w:w="3120"/>
            <w:shd w:fill="F9FAFB"/>
            <w:tcMar>
              <w:top w:w="60" w:type="dxa"/>
              <w:bottom w:w="60" w:type="dxa"/>
              <w:left w:w="80" w:type="dxa"/>
              <w:right w:w="80" w:type="dxa"/>
            </w:tcMar>
          </w:tcPr>
          <w:p>
            <w:r>
              <w:rPr>
                <w:rFonts w:ascii="Arial" w:hAnsi="Arial"/>
                <w:sz w:val="16"/>
              </w:rPr>
              <w:t>1. Pruebas de Certificación</w:t>
            </w:r>
          </w:p>
        </w:tc>
        <w:tc>
          <w:tcPr>
            <w:tcW w:type="dxa" w:w="3120"/>
            <w:shd w:fill="F9FAFB"/>
            <w:tcMar>
              <w:top w:w="60" w:type="dxa"/>
              <w:bottom w:w="60" w:type="dxa"/>
              <w:left w:w="80" w:type="dxa"/>
              <w:right w:w="80" w:type="dxa"/>
            </w:tcMar>
          </w:tcPr>
          <w:p>
            <w:r>
              <w:rPr>
                <w:rFonts w:ascii="Arial" w:hAnsi="Arial"/>
                <w:sz w:val="16"/>
              </w:rPr>
              <w:t>1.1 Diseña pruebas de validación de productos/procesos.</w:t>
            </w:r>
          </w:p>
        </w:tc>
        <w:tc>
          <w:tcPr>
            <w:tcW w:type="dxa" w:w="3120"/>
            <w:shd w:fill="F9FAFB"/>
            <w:tcMar>
              <w:top w:w="60" w:type="dxa"/>
              <w:bottom w:w="60" w:type="dxa"/>
              <w:left w:w="80" w:type="dxa"/>
              <w:right w:w="80" w:type="dxa"/>
            </w:tcMar>
          </w:tcPr>
          <w:p>
            <w:r>
              <w:rPr>
                <w:rFonts w:ascii="Arial" w:hAnsi="Arial"/>
                <w:sz w:val="16"/>
              </w:rPr>
              <w:t>Diseño de matrices de prueba cruzada comparando salidas del motor contra macros validadas de ventas.</w:t>
            </w:r>
          </w:p>
        </w:tc>
      </w:tr>
      <w:tr>
        <w:tc>
          <w:tcPr>
            <w:tcW w:type="dxa" w:w="3120"/>
            <w:shd w:fill="FFFFFF"/>
            <w:tcMar>
              <w:top w:w="60" w:type="dxa"/>
              <w:bottom w:w="60" w:type="dxa"/>
              <w:left w:w="80" w:type="dxa"/>
              <w:right w:w="80" w:type="dxa"/>
            </w:tcMar>
          </w:tcPr>
          <w:p>
            <w:r>
              <w:rPr>
                <w:rFonts w:ascii="Arial" w:hAnsi="Arial"/>
                <w:sz w:val="16"/>
              </w:rPr>
              <w:t>1. Pruebas de Certificación</w:t>
            </w:r>
          </w:p>
        </w:tc>
        <w:tc>
          <w:tcPr>
            <w:tcW w:type="dxa" w:w="3120"/>
            <w:shd w:fill="FFFFFF"/>
            <w:tcMar>
              <w:top w:w="60" w:type="dxa"/>
              <w:bottom w:w="60" w:type="dxa"/>
              <w:left w:w="80" w:type="dxa"/>
              <w:right w:w="80" w:type="dxa"/>
            </w:tcMar>
          </w:tcPr>
          <w:p>
            <w:r>
              <w:rPr>
                <w:rFonts w:ascii="Arial" w:hAnsi="Arial"/>
                <w:sz w:val="16"/>
              </w:rPr>
              <w:t>1.2 Aplica pruebas de validación según buenas prácticas.</w:t>
            </w:r>
          </w:p>
        </w:tc>
        <w:tc>
          <w:tcPr>
            <w:tcW w:type="dxa" w:w="3120"/>
            <w:shd w:fill="FFFFFF"/>
            <w:tcMar>
              <w:top w:w="60" w:type="dxa"/>
              <w:bottom w:w="60" w:type="dxa"/>
              <w:left w:w="80" w:type="dxa"/>
              <w:right w:w="80" w:type="dxa"/>
            </w:tcMar>
          </w:tcPr>
          <w:p>
            <w:r>
              <w:rPr>
                <w:rFonts w:ascii="Arial" w:hAnsi="Arial"/>
                <w:sz w:val="16"/>
              </w:rPr>
              <w:t>Ejecución de validaciones de integridad de celdas y verificación de tipos estricta con TypeScript.</w:t>
            </w:r>
          </w:p>
        </w:tc>
      </w:tr>
      <w:tr>
        <w:tc>
          <w:tcPr>
            <w:tcW w:type="dxa" w:w="3120"/>
            <w:shd w:fill="F9FAFB"/>
            <w:tcMar>
              <w:top w:w="60" w:type="dxa"/>
              <w:bottom w:w="60" w:type="dxa"/>
              <w:left w:w="80" w:type="dxa"/>
              <w:right w:w="80" w:type="dxa"/>
            </w:tcMar>
          </w:tcPr>
          <w:p>
            <w:r>
              <w:rPr>
                <w:rFonts w:ascii="Arial" w:hAnsi="Arial"/>
                <w:sz w:val="16"/>
              </w:rPr>
              <w:t>1. Pruebas de Certificación</w:t>
            </w:r>
          </w:p>
        </w:tc>
        <w:tc>
          <w:tcPr>
            <w:tcW w:type="dxa" w:w="3120"/>
            <w:shd w:fill="F9FAFB"/>
            <w:tcMar>
              <w:top w:w="60" w:type="dxa"/>
              <w:bottom w:w="60" w:type="dxa"/>
              <w:left w:w="80" w:type="dxa"/>
              <w:right w:w="80" w:type="dxa"/>
            </w:tcMar>
          </w:tcPr>
          <w:p>
            <w:r>
              <w:rPr>
                <w:rFonts w:ascii="Arial" w:hAnsi="Arial"/>
                <w:sz w:val="16"/>
              </w:rPr>
              <w:t>1.3 Desarrolla mejoras al producto en base a resultados.</w:t>
            </w:r>
          </w:p>
        </w:tc>
        <w:tc>
          <w:tcPr>
            <w:tcW w:type="dxa" w:w="3120"/>
            <w:shd w:fill="F9FAFB"/>
            <w:tcMar>
              <w:top w:w="60" w:type="dxa"/>
              <w:bottom w:w="60" w:type="dxa"/>
              <w:left w:w="80" w:type="dxa"/>
              <w:right w:w="80" w:type="dxa"/>
            </w:tcMar>
          </w:tcPr>
          <w:p>
            <w:r>
              <w:rPr>
                <w:rFonts w:ascii="Arial" w:hAnsi="Arial"/>
                <w:sz w:val="16"/>
              </w:rPr>
              <w:t>Corrección de algoritmos al detectar inversión de ratios DOM/NO DOM y taxonomías cambiadas en ReSimple.</w:t>
            </w:r>
          </w:p>
        </w:tc>
      </w:tr>
      <w:tr>
        <w:tc>
          <w:tcPr>
            <w:tcW w:type="dxa" w:w="3120"/>
            <w:shd w:fill="FFFFFF"/>
            <w:tcMar>
              <w:top w:w="60" w:type="dxa"/>
              <w:bottom w:w="60" w:type="dxa"/>
              <w:left w:w="80" w:type="dxa"/>
              <w:right w:w="80" w:type="dxa"/>
            </w:tcMar>
          </w:tcPr>
          <w:p>
            <w:r>
              <w:rPr>
                <w:rFonts w:ascii="Arial" w:hAnsi="Arial"/>
                <w:sz w:val="16"/>
              </w:rPr>
              <w:t>2. Gestión de Proyectos</w:t>
            </w:r>
          </w:p>
        </w:tc>
        <w:tc>
          <w:tcPr>
            <w:tcW w:type="dxa" w:w="3120"/>
            <w:shd w:fill="FFFFFF"/>
            <w:tcMar>
              <w:top w:w="60" w:type="dxa"/>
              <w:bottom w:w="60" w:type="dxa"/>
              <w:left w:w="80" w:type="dxa"/>
              <w:right w:w="80" w:type="dxa"/>
            </w:tcMar>
          </w:tcPr>
          <w:p>
            <w:r>
              <w:rPr>
                <w:rFonts w:ascii="Arial" w:hAnsi="Arial"/>
                <w:sz w:val="16"/>
              </w:rPr>
              <w:t>2.1 Planifica proyectos informáticos según requerimientos.</w:t>
            </w:r>
          </w:p>
        </w:tc>
        <w:tc>
          <w:tcPr>
            <w:tcW w:type="dxa" w:w="3120"/>
            <w:shd w:fill="FFFFFF"/>
            <w:tcMar>
              <w:top w:w="60" w:type="dxa"/>
              <w:bottom w:w="60" w:type="dxa"/>
              <w:left w:w="80" w:type="dxa"/>
              <w:right w:w="80" w:type="dxa"/>
            </w:tcMar>
          </w:tcPr>
          <w:p>
            <w:r>
              <w:rPr>
                <w:rFonts w:ascii="Arial" w:hAnsi="Arial"/>
                <w:sz w:val="16"/>
              </w:rPr>
              <w:t>Estructuración en Sprints modulares orientados a la entrega de valor normativo y reducción de riesgos.</w:t>
            </w:r>
          </w:p>
        </w:tc>
      </w:tr>
      <w:tr>
        <w:tc>
          <w:tcPr>
            <w:tcW w:type="dxa" w:w="3120"/>
            <w:shd w:fill="F9FAFB"/>
            <w:tcMar>
              <w:top w:w="60" w:type="dxa"/>
              <w:bottom w:w="60" w:type="dxa"/>
              <w:left w:w="80" w:type="dxa"/>
              <w:right w:w="80" w:type="dxa"/>
            </w:tcMar>
          </w:tcPr>
          <w:p>
            <w:r>
              <w:rPr>
                <w:rFonts w:ascii="Arial" w:hAnsi="Arial"/>
                <w:sz w:val="16"/>
              </w:rPr>
              <w:t>2. Gestión de Proyectos</w:t>
            </w:r>
          </w:p>
        </w:tc>
        <w:tc>
          <w:tcPr>
            <w:tcW w:type="dxa" w:w="3120"/>
            <w:shd w:fill="F9FAFB"/>
            <w:tcMar>
              <w:top w:w="60" w:type="dxa"/>
              <w:bottom w:w="60" w:type="dxa"/>
              <w:left w:w="80" w:type="dxa"/>
              <w:right w:w="80" w:type="dxa"/>
            </w:tcMar>
          </w:tcPr>
          <w:p>
            <w:r>
              <w:rPr>
                <w:rFonts w:ascii="Arial" w:hAnsi="Arial"/>
                <w:sz w:val="16"/>
              </w:rPr>
              <w:t>2.2 Controla proyectos para la toma de decisiones.</w:t>
            </w:r>
          </w:p>
        </w:tc>
        <w:tc>
          <w:tcPr>
            <w:tcW w:type="dxa" w:w="3120"/>
            <w:shd w:fill="F9FAFB"/>
            <w:tcMar>
              <w:top w:w="60" w:type="dxa"/>
              <w:bottom w:w="60" w:type="dxa"/>
              <w:left w:w="80" w:type="dxa"/>
              <w:right w:w="80" w:type="dxa"/>
            </w:tcMar>
          </w:tcPr>
          <w:p>
            <w:r>
              <w:rPr>
                <w:rFonts w:ascii="Arial" w:hAnsi="Arial"/>
                <w:sz w:val="16"/>
              </w:rPr>
              <w:t>Monitoreo continuo del avance técnico, gestión de deuda técnica y priorización ágil de exportaciones.</w:t>
            </w:r>
          </w:p>
        </w:tc>
      </w:tr>
      <w:tr>
        <w:tc>
          <w:tcPr>
            <w:tcW w:type="dxa" w:w="3120"/>
            <w:shd w:fill="FFFFFF"/>
            <w:tcMar>
              <w:top w:w="60" w:type="dxa"/>
              <w:bottom w:w="60" w:type="dxa"/>
              <w:left w:w="80" w:type="dxa"/>
              <w:right w:w="80" w:type="dxa"/>
            </w:tcMar>
          </w:tcPr>
          <w:p>
            <w:r>
              <w:rPr>
                <w:rFonts w:ascii="Arial" w:hAnsi="Arial"/>
                <w:sz w:val="16"/>
              </w:rPr>
              <w:t>3. Modelos de Datos</w:t>
            </w:r>
          </w:p>
        </w:tc>
        <w:tc>
          <w:tcPr>
            <w:tcW w:type="dxa" w:w="3120"/>
            <w:shd w:fill="FFFFFF"/>
            <w:tcMar>
              <w:top w:w="60" w:type="dxa"/>
              <w:bottom w:w="60" w:type="dxa"/>
              <w:left w:w="80" w:type="dxa"/>
              <w:right w:w="80" w:type="dxa"/>
            </w:tcMar>
          </w:tcPr>
          <w:p>
            <w:r>
              <w:rPr>
                <w:rFonts w:ascii="Arial" w:hAnsi="Arial"/>
                <w:sz w:val="16"/>
              </w:rPr>
              <w:t>3.1 Diseña modelos de datos escalables.</w:t>
            </w:r>
          </w:p>
        </w:tc>
        <w:tc>
          <w:tcPr>
            <w:tcW w:type="dxa" w:w="3120"/>
            <w:shd w:fill="FFFFFF"/>
            <w:tcMar>
              <w:top w:w="60" w:type="dxa"/>
              <w:bottom w:w="60" w:type="dxa"/>
              <w:left w:w="80" w:type="dxa"/>
              <w:right w:w="80" w:type="dxa"/>
            </w:tcMar>
          </w:tcPr>
          <w:p>
            <w:r>
              <w:rPr>
                <w:rFonts w:ascii="Arial" w:hAnsi="Arial"/>
                <w:sz w:val="16"/>
              </w:rPr>
              <w:t>Diseño de arquitectura multi-tenant desacoplada por Razón Social con snapshots inmutables.</w:t>
            </w:r>
          </w:p>
        </w:tc>
      </w:tr>
      <w:tr>
        <w:tc>
          <w:tcPr>
            <w:tcW w:type="dxa" w:w="3120"/>
            <w:shd w:fill="F9FAFB"/>
            <w:tcMar>
              <w:top w:w="60" w:type="dxa"/>
              <w:bottom w:w="60" w:type="dxa"/>
              <w:left w:w="80" w:type="dxa"/>
              <w:right w:w="80" w:type="dxa"/>
            </w:tcMar>
          </w:tcPr>
          <w:p>
            <w:r>
              <w:rPr>
                <w:rFonts w:ascii="Arial" w:hAnsi="Arial"/>
                <w:sz w:val="16"/>
              </w:rPr>
              <w:t>3. Modelos de Datos</w:t>
            </w:r>
          </w:p>
        </w:tc>
        <w:tc>
          <w:tcPr>
            <w:tcW w:type="dxa" w:w="3120"/>
            <w:shd w:fill="F9FAFB"/>
            <w:tcMar>
              <w:top w:w="60" w:type="dxa"/>
              <w:bottom w:w="60" w:type="dxa"/>
              <w:left w:w="80" w:type="dxa"/>
              <w:right w:w="80" w:type="dxa"/>
            </w:tcMar>
          </w:tcPr>
          <w:p>
            <w:r>
              <w:rPr>
                <w:rFonts w:ascii="Arial" w:hAnsi="Arial"/>
                <w:sz w:val="16"/>
              </w:rPr>
              <w:t>3.2 Implementa modelos de datos según diseño.</w:t>
            </w:r>
          </w:p>
        </w:tc>
        <w:tc>
          <w:tcPr>
            <w:tcW w:type="dxa" w:w="3120"/>
            <w:shd w:fill="F9FAFB"/>
            <w:tcMar>
              <w:top w:w="60" w:type="dxa"/>
              <w:bottom w:w="60" w:type="dxa"/>
              <w:left w:w="80" w:type="dxa"/>
              <w:right w:w="80" w:type="dxa"/>
            </w:tcMar>
          </w:tcPr>
          <w:p>
            <w:r>
              <w:rPr>
                <w:rFonts w:ascii="Arial" w:hAnsi="Arial"/>
                <w:sz w:val="16"/>
              </w:rPr>
              <w:t>Implementación de contratos en TypeScript (`ProductSku`, `RepMatrixEntry`) y persistencia modular.</w:t>
            </w:r>
          </w:p>
        </w:tc>
      </w:tr>
      <w:tr>
        <w:tc>
          <w:tcPr>
            <w:tcW w:type="dxa" w:w="3120"/>
            <w:shd w:fill="FFFFFF"/>
            <w:tcMar>
              <w:top w:w="60" w:type="dxa"/>
              <w:bottom w:w="60" w:type="dxa"/>
              <w:left w:w="80" w:type="dxa"/>
              <w:right w:w="80" w:type="dxa"/>
            </w:tcMar>
          </w:tcPr>
          <w:p>
            <w:r>
              <w:rPr>
                <w:rFonts w:ascii="Arial" w:hAnsi="Arial"/>
                <w:sz w:val="16"/>
              </w:rPr>
              <w:t>4. Solución de Software</w:t>
            </w:r>
          </w:p>
        </w:tc>
        <w:tc>
          <w:tcPr>
            <w:tcW w:type="dxa" w:w="3120"/>
            <w:shd w:fill="FFFFFF"/>
            <w:tcMar>
              <w:top w:w="60" w:type="dxa"/>
              <w:bottom w:w="60" w:type="dxa"/>
              <w:left w:w="80" w:type="dxa"/>
              <w:right w:w="80" w:type="dxa"/>
            </w:tcMar>
          </w:tcPr>
          <w:p>
            <w:r>
              <w:rPr>
                <w:rFonts w:ascii="Arial" w:hAnsi="Arial"/>
                <w:sz w:val="16"/>
              </w:rPr>
              <w:t>4.1 Construye solución sistematizando desarrollo.</w:t>
            </w:r>
          </w:p>
        </w:tc>
        <w:tc>
          <w:tcPr>
            <w:tcW w:type="dxa" w:w="3120"/>
            <w:shd w:fill="FFFFFF"/>
            <w:tcMar>
              <w:top w:w="60" w:type="dxa"/>
              <w:bottom w:w="60" w:type="dxa"/>
              <w:left w:w="80" w:type="dxa"/>
              <w:right w:w="80" w:type="dxa"/>
            </w:tcMar>
          </w:tcPr>
          <w:p>
            <w:r>
              <w:rPr>
                <w:rFonts w:ascii="Arial" w:hAnsi="Arial"/>
                <w:sz w:val="16"/>
              </w:rPr>
              <w:t>Construcción de una SPA modular con React 19, Vite y separación de capas lógica (`lib/`) y UI.</w:t>
            </w:r>
          </w:p>
        </w:tc>
      </w:tr>
      <w:tr>
        <w:tc>
          <w:tcPr>
            <w:tcW w:type="dxa" w:w="3120"/>
            <w:shd w:fill="F9FAFB"/>
            <w:tcMar>
              <w:top w:w="60" w:type="dxa"/>
              <w:bottom w:w="60" w:type="dxa"/>
              <w:left w:w="80" w:type="dxa"/>
              <w:right w:w="80" w:type="dxa"/>
            </w:tcMar>
          </w:tcPr>
          <w:p>
            <w:r>
              <w:rPr>
                <w:rFonts w:ascii="Arial" w:hAnsi="Arial"/>
                <w:sz w:val="16"/>
              </w:rPr>
              <w:t>4. Solución de Software</w:t>
            </w:r>
          </w:p>
        </w:tc>
        <w:tc>
          <w:tcPr>
            <w:tcW w:type="dxa" w:w="3120"/>
            <w:shd w:fill="F9FAFB"/>
            <w:tcMar>
              <w:top w:w="60" w:type="dxa"/>
              <w:bottom w:w="60" w:type="dxa"/>
              <w:left w:w="80" w:type="dxa"/>
              <w:right w:w="80" w:type="dxa"/>
            </w:tcMar>
          </w:tcPr>
          <w:p>
            <w:r>
              <w:rPr>
                <w:rFonts w:ascii="Arial" w:hAnsi="Arial"/>
                <w:sz w:val="16"/>
              </w:rPr>
              <w:t>4.2 Integra distintos componentes de software.</w:t>
            </w:r>
          </w:p>
        </w:tc>
        <w:tc>
          <w:tcPr>
            <w:tcW w:type="dxa" w:w="3120"/>
            <w:shd w:fill="F9FAFB"/>
            <w:tcMar>
              <w:top w:w="60" w:type="dxa"/>
              <w:bottom w:w="60" w:type="dxa"/>
              <w:left w:w="80" w:type="dxa"/>
              <w:right w:w="80" w:type="dxa"/>
            </w:tcMar>
          </w:tcPr>
          <w:p>
            <w:r>
              <w:rPr>
                <w:rFonts w:ascii="Arial" w:hAnsi="Arial"/>
                <w:sz w:val="16"/>
              </w:rPr>
              <w:t>Integración de componentes UI (Tailwind/Lucide), parsers (SheetJS) y generadores binarios (ExcelJS).</w:t>
            </w:r>
          </w:p>
        </w:tc>
      </w:tr>
      <w:tr>
        <w:tc>
          <w:tcPr>
            <w:tcW w:type="dxa" w:w="3120"/>
            <w:shd w:fill="FFFFFF"/>
            <w:tcMar>
              <w:top w:w="60" w:type="dxa"/>
              <w:bottom w:w="60" w:type="dxa"/>
              <w:left w:w="80" w:type="dxa"/>
              <w:right w:w="80" w:type="dxa"/>
            </w:tcMar>
          </w:tcPr>
          <w:p>
            <w:r>
              <w:rPr>
                <w:rFonts w:ascii="Arial" w:hAnsi="Arial"/>
                <w:sz w:val="16"/>
              </w:rPr>
              <w:t>4. Solución de Software</w:t>
            </w:r>
          </w:p>
        </w:tc>
        <w:tc>
          <w:tcPr>
            <w:tcW w:type="dxa" w:w="3120"/>
            <w:shd w:fill="FFFFFF"/>
            <w:tcMar>
              <w:top w:w="60" w:type="dxa"/>
              <w:bottom w:w="60" w:type="dxa"/>
              <w:left w:w="80" w:type="dxa"/>
              <w:right w:w="80" w:type="dxa"/>
            </w:tcMar>
          </w:tcPr>
          <w:p>
            <w:r>
              <w:rPr>
                <w:rFonts w:ascii="Arial" w:hAnsi="Arial"/>
                <w:sz w:val="16"/>
              </w:rPr>
              <w:t>4.3 Implanta una solución asegurando objetivos.</w:t>
            </w:r>
          </w:p>
        </w:tc>
        <w:tc>
          <w:tcPr>
            <w:tcW w:type="dxa" w:w="3120"/>
            <w:shd w:fill="FFFFFF"/>
            <w:tcMar>
              <w:top w:w="60" w:type="dxa"/>
              <w:bottom w:w="60" w:type="dxa"/>
              <w:left w:w="80" w:type="dxa"/>
              <w:right w:w="80" w:type="dxa"/>
            </w:tcMar>
          </w:tcPr>
          <w:p>
            <w:r>
              <w:rPr>
                <w:rFonts w:ascii="Arial" w:hAnsi="Arial"/>
                <w:sz w:val="16"/>
              </w:rPr>
              <w:t>Empaquetado y verificación de despliegue en navegador garantizando rendimiento y cero errores de build.</w:t>
            </w:r>
          </w:p>
        </w:tc>
      </w:tr>
    </w:tbl>
    <w:p>
      <w:pPr>
        <w:spacing w:after="200"/>
      </w:pPr>
    </w:p>
    <w:p>
      <w:pPr>
        <w:keepNext/>
        <w:spacing w:before="280" w:after="120"/>
      </w:pPr>
      <w:r>
        <w:rPr>
          <w:rFonts w:ascii="Arial" w:hAnsi="Arial"/>
          <w:b/>
          <w:color w:val="0F4C81"/>
          <w:sz w:val="28"/>
        </w:rPr>
        <w:t>10. Technical Conclusions &amp; Personal Reflection (English Only)</w:t>
      </w:r>
    </w:p>
    <w:p>
      <w:pPr>
        <w:keepNext/>
        <w:spacing w:before="280" w:after="120"/>
      </w:pPr>
      <w:r>
        <w:rPr>
          <w:rFonts w:ascii="Arial" w:hAnsi="Arial"/>
          <w:b/>
          <w:color w:val="10955B"/>
          <w:sz w:val="24"/>
        </w:rPr>
        <w:t>10.1 Technical Conclusions</w:t>
      </w:r>
    </w:p>
    <w:p>
      <w:pPr>
        <w:spacing w:before="0" w:after="120" w:line="276" w:lineRule="auto"/>
        <w:jc w:val="both"/>
      </w:pPr>
      <w:r>
        <w:rPr>
          <w:rFonts w:ascii="Arial" w:hAnsi="Arial"/>
          <w:b/>
          <w:color w:val="282C34"/>
          <w:sz w:val="20"/>
        </w:rPr>
        <w:t xml:space="preserve">Architectural Viability: </w:t>
      </w:r>
      <w:r>
        <w:rPr>
          <w:rFonts w:ascii="Arial" w:hAnsi="Arial"/>
          <w:i w:val="0"/>
          <w:color w:val="282C34"/>
          <w:sz w:val="20"/>
        </w:rPr>
        <w:t>The conceptual design and technical development of this B2B SaaS platform for the Ley REP regulatory framework demonstrate that modern web engineering practices can successfully bridge the gap between complex legal mandates and operational business needs. The key technical conclusions derived from this project are:</w:t>
      </w:r>
    </w:p>
    <w:p>
      <w:pPr>
        <w:pStyle w:val="ListBullet"/>
        <w:spacing w:before="0" w:after="80" w:line="276" w:lineRule="auto"/>
        <w:jc w:val="both"/>
      </w:pPr>
      <w:r>
        <w:rPr>
          <w:rFonts w:ascii="Arial" w:hAnsi="Arial"/>
          <w:b/>
          <w:color w:val="282C34"/>
          <w:sz w:val="20"/>
        </w:rPr>
        <w:t xml:space="preserve">Computational Accuracy: </w:t>
      </w:r>
      <w:r>
        <w:rPr>
          <w:rFonts w:ascii="Arial" w:hAnsi="Arial"/>
          <w:color w:val="282C34"/>
          <w:sz w:val="20"/>
        </w:rPr>
        <w:t>The separation of pure calculation logic into testable, framework-agnostic TypeScript modules (`calculateTonnage.ts`) guarantees deterministic mathematical calculations, eliminating rounding drifts and cross-allocation bugs.</w:t>
      </w:r>
    </w:p>
    <w:p>
      <w:pPr>
        <w:pStyle w:val="ListBullet"/>
        <w:spacing w:before="0" w:after="80" w:line="276" w:lineRule="auto"/>
        <w:jc w:val="both"/>
      </w:pPr>
      <w:r>
        <w:rPr>
          <w:rFonts w:ascii="Arial" w:hAnsi="Arial"/>
          <w:b/>
          <w:color w:val="282C34"/>
          <w:sz w:val="20"/>
        </w:rPr>
        <w:t xml:space="preserve">Template Non-Destructive Manipulation: </w:t>
      </w:r>
      <w:r>
        <w:rPr>
          <w:rFonts w:ascii="Arial" w:hAnsi="Arial"/>
          <w:color w:val="282C34"/>
          <w:sz w:val="20"/>
        </w:rPr>
        <w:t>Leveraging low-level binary manipulation through ExcelJS proved that official government-issued spreadsheets can be programmatically populated without compromising preexisting XML formatting, cell merges, or formulas.</w:t>
      </w:r>
    </w:p>
    <w:p>
      <w:pPr>
        <w:pStyle w:val="ListBullet"/>
        <w:spacing w:before="0" w:after="80" w:line="276" w:lineRule="auto"/>
        <w:jc w:val="both"/>
      </w:pPr>
      <w:r>
        <w:rPr>
          <w:rFonts w:ascii="Arial" w:hAnsi="Arial"/>
          <w:b/>
          <w:color w:val="282C34"/>
          <w:sz w:val="20"/>
        </w:rPr>
        <w:t xml:space="preserve">Multi-Tenant and Temporal Scalability: </w:t>
      </w:r>
      <w:r>
        <w:rPr>
          <w:rFonts w:ascii="Arial" w:hAnsi="Arial"/>
          <w:color w:val="282C34"/>
          <w:sz w:val="20"/>
        </w:rPr>
        <w:t>Structuring the data persistence around unique corporate identifiers and immutable temporal snapshots (`razonSocialId::year::month`) provides an auditable historical record that satisfies environmental audit standards.</w:t>
      </w:r>
    </w:p>
    <w:p>
      <w:pPr>
        <w:keepNext/>
        <w:spacing w:before="280" w:after="120"/>
      </w:pPr>
      <w:r>
        <w:rPr>
          <w:rFonts w:ascii="Arial" w:hAnsi="Arial"/>
          <w:b/>
          <w:color w:val="10955B"/>
          <w:sz w:val="24"/>
        </w:rPr>
        <w:t>10.2 Individual Reflection</w:t>
      </w:r>
    </w:p>
    <w:p>
      <w:pPr>
        <w:spacing w:before="0" w:after="120" w:line="276" w:lineRule="auto"/>
        <w:jc w:val="both"/>
      </w:pPr>
      <w:r>
        <w:rPr>
          <w:rFonts w:ascii="Arial" w:hAnsi="Arial"/>
          <w:b/>
          <w:color w:val="282C34"/>
          <w:sz w:val="20"/>
        </w:rPr>
        <w:t xml:space="preserve">Professional Growth: </w:t>
      </w:r>
      <w:r>
        <w:rPr>
          <w:rFonts w:ascii="Arial" w:hAnsi="Arial"/>
          <w:i w:val="0"/>
          <w:color w:val="282C34"/>
          <w:sz w:val="20"/>
        </w:rPr>
        <w:t>Working on this Capstone Project has represented a highly transformative experience in my development as a professional software engineer. Beyond writing clean code, the greatest challenge lay in managing real-world ambiguity—such as parsing unstandardized Excel sheets provided by clients, interpreting ambiguous environmental guidelines, and resolving complex layout misalignments in official reporting forms.</w:t>
      </w:r>
    </w:p>
    <w:p>
      <w:pPr>
        <w:spacing w:before="0" w:after="120" w:line="276" w:lineRule="auto"/>
        <w:jc w:val="both"/>
      </w:pPr>
      <w:r>
        <w:rPr>
          <w:rFonts w:ascii="Arial" w:hAnsi="Arial"/>
          <w:i w:val="0"/>
          <w:color w:val="282C34"/>
          <w:sz w:val="20"/>
        </w:rPr>
        <w:t>This project reinforced the critical importance of defensive programming, rigorous quality assurance, and user-centric UI design in enterprise software. Navigating through data anomalies, establishing robust normalization algorithms, and ensuring zero-defect compliance with Chilean environmental legislation provided me with practical skills that directly mirror the high-stakes demands of the technology industry.</w:t>
      </w:r>
    </w:p>
    <w:p>
      <w:pPr>
        <w:keepNext/>
        <w:spacing w:before="280" w:after="120"/>
      </w:pPr>
      <w:r>
        <w:rPr>
          <w:rFonts w:ascii="Arial" w:hAnsi="Arial"/>
          <w:b/>
          <w:color w:val="0F4C81"/>
          <w:sz w:val="28"/>
        </w:rPr>
        <w:t>11. Referencias Bibliográficas (Normas APA)</w:t>
      </w:r>
    </w:p>
    <w:p>
      <w:pPr>
        <w:spacing w:after="80"/>
        <w:ind w:left="576" w:hanging="576"/>
      </w:pPr>
      <w:r>
        <w:rPr>
          <w:rFonts w:ascii="Arial" w:hAnsi="Arial"/>
          <w:color w:val="282C34"/>
          <w:sz w:val="18"/>
        </w:rPr>
        <w:t>Biblioteca del Congreso Nacional de Chile. (2016). Ley N° 20.920: Marco para la Gestión de Residuos, la Responsabilidad Extendida del Productor y Fomento al Reciclaje. Ministerio del Medio Ambiente.</w:t>
      </w:r>
    </w:p>
    <w:p>
      <w:pPr>
        <w:spacing w:after="80"/>
        <w:ind w:left="576" w:hanging="576"/>
      </w:pPr>
      <w:r>
        <w:rPr>
          <w:rFonts w:ascii="Arial" w:hAnsi="Arial"/>
          <w:color w:val="282C34"/>
          <w:sz w:val="18"/>
        </w:rPr>
        <w:t>ExcelJS. (2024). ExcelJS: Excel Workbook Manager. GitHub Repository. https://github.com/exceljs/exceljs</w:t>
      </w:r>
    </w:p>
    <w:p>
      <w:pPr>
        <w:spacing w:after="80"/>
        <w:ind w:left="576" w:hanging="576"/>
      </w:pPr>
      <w:r>
        <w:rPr>
          <w:rFonts w:ascii="Arial" w:hAnsi="Arial"/>
          <w:color w:val="282C34"/>
          <w:sz w:val="18"/>
        </w:rPr>
        <w:t>Gamma, E., Helm, R., Johnson, R., &amp; Vlissides, J. (1994). Design Patterns: Elements of Reusable Object-Oriented Software. Addison-Wesley.</w:t>
      </w:r>
    </w:p>
    <w:p>
      <w:pPr>
        <w:spacing w:after="80"/>
        <w:ind w:left="576" w:hanging="576"/>
      </w:pPr>
      <w:r>
        <w:rPr>
          <w:rFonts w:ascii="Arial" w:hAnsi="Arial"/>
          <w:color w:val="282C34"/>
          <w:sz w:val="18"/>
        </w:rPr>
        <w:t>Pressman, R. S., &amp; Maxim, B. R. (2020). Software Engineering: A Practitioner's Approach (9th ed.). McGraw-Hill Education.</w:t>
      </w:r>
    </w:p>
    <w:p>
      <w:pPr>
        <w:spacing w:after="80"/>
        <w:ind w:left="576" w:hanging="576"/>
      </w:pPr>
      <w:r>
        <w:rPr>
          <w:rFonts w:ascii="Arial" w:hAnsi="Arial"/>
          <w:color w:val="282C34"/>
          <w:sz w:val="18"/>
        </w:rPr>
        <w:t>React Community. (2025). React Documentation: Hooks, Components, and State Architecture. Meta Platforms Inc. https://react.dev</w:t>
      </w:r>
    </w:p>
    <w:p>
      <w:pPr>
        <w:spacing w:after="80"/>
        <w:ind w:left="576" w:hanging="576"/>
      </w:pPr>
      <w:r>
        <w:rPr>
          <w:rFonts w:ascii="Arial" w:hAnsi="Arial"/>
          <w:color w:val="282C34"/>
          <w:sz w:val="18"/>
        </w:rPr>
        <w:t>ReSimple. (2025). Guía Oficial de Declaración de Envases y Embalajes para Productores e Importadores. Gran Sistema Colectivo de Gestión ReSimple.</w:t>
      </w:r>
    </w:p>
    <w:p>
      <w:pPr>
        <w:spacing w:after="80"/>
        <w:ind w:left="576" w:hanging="576"/>
      </w:pPr>
      <w:r>
        <w:rPr>
          <w:rFonts w:ascii="Arial" w:hAnsi="Arial"/>
          <w:color w:val="282C34"/>
          <w:sz w:val="18"/>
        </w:rPr>
        <w:t>TypeScript. (2025). TypeScript Language Specification &amp; Strict Type-Checking. Microsoft Corporation. https://www.typescriptlang.org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