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0B81C" w14:textId="77777777" w:rsidR="005801B8" w:rsidRDefault="00000000">
      <w:pPr>
        <w:jc w:val="center"/>
      </w:pPr>
      <w:r>
        <w:rPr>
          <w:rFonts w:ascii="Arial" w:hAnsi="Arial"/>
          <w:b/>
          <w:color w:val="646E78"/>
        </w:rPr>
        <w:t>ESCUELA DE INFORMÁTICA Y TELECOMUNICACIONES</w:t>
      </w:r>
      <w:r>
        <w:rPr>
          <w:rFonts w:ascii="Arial" w:hAnsi="Arial"/>
          <w:b/>
          <w:color w:val="646E78"/>
        </w:rPr>
        <w:br/>
        <w:t>ASIGNATURA: CAPSTONE (PTY4614)</w:t>
      </w:r>
    </w:p>
    <w:p w14:paraId="47B3DD1E" w14:textId="77777777" w:rsidR="005801B8" w:rsidRDefault="00000000">
      <w:pPr>
        <w:spacing w:before="480" w:after="160"/>
        <w:jc w:val="center"/>
      </w:pPr>
      <w:r>
        <w:rPr>
          <w:rFonts w:ascii="Arial" w:hAnsi="Arial"/>
          <w:b/>
          <w:color w:val="0F4C81"/>
          <w:sz w:val="36"/>
        </w:rPr>
        <w:t>INFORME TÉCNICO DE DEFINICIÓN DE PROYECTO APT</w:t>
      </w:r>
    </w:p>
    <w:p w14:paraId="5A36A4A9" w14:textId="77777777" w:rsidR="005801B8" w:rsidRDefault="00000000">
      <w:pPr>
        <w:spacing w:after="560"/>
        <w:jc w:val="center"/>
      </w:pPr>
      <w:r>
        <w:rPr>
          <w:rFonts w:ascii="Arial" w:hAnsi="Arial"/>
          <w:b/>
          <w:i/>
          <w:color w:val="10955B"/>
          <w:sz w:val="23"/>
        </w:rPr>
        <w:t>EVALUACIÓN FORMATIVA FASE 1 (SEMANA 2)</w:t>
      </w:r>
      <w:r>
        <w:rPr>
          <w:rFonts w:ascii="Arial" w:hAnsi="Arial"/>
          <w:b/>
          <w:i/>
          <w:color w:val="10955B"/>
          <w:sz w:val="23"/>
        </w:rPr>
        <w:br/>
        <w:t>Plataforma SaaS B2B para la Gestión Logística, Cuantificación de Materialidades y Declaración Oficial de la Ley REP (Chile)</w:t>
      </w:r>
    </w:p>
    <w:tbl>
      <w:tblPr>
        <w:tblW w:w="0" w:type="auto"/>
        <w:jc w:val="center"/>
        <w:tblLook w:val="04A0" w:firstRow="1" w:lastRow="0" w:firstColumn="1" w:lastColumn="0" w:noHBand="0" w:noVBand="1"/>
      </w:tblPr>
      <w:tblGrid>
        <w:gridCol w:w="3168"/>
        <w:gridCol w:w="6192"/>
      </w:tblGrid>
      <w:tr w:rsidR="005801B8" w14:paraId="73014432" w14:textId="77777777">
        <w:trPr>
          <w:jc w:val="center"/>
        </w:trPr>
        <w:tc>
          <w:tcPr>
            <w:tcW w:w="3168" w:type="dxa"/>
            <w:shd w:val="clear" w:color="auto" w:fill="F4F6F9"/>
            <w:tcMar>
              <w:top w:w="70" w:type="dxa"/>
              <w:left w:w="110" w:type="dxa"/>
              <w:bottom w:w="70" w:type="dxa"/>
              <w:right w:w="110" w:type="dxa"/>
            </w:tcMar>
          </w:tcPr>
          <w:p w14:paraId="7D57BC49" w14:textId="77777777" w:rsidR="005801B8" w:rsidRDefault="00000000">
            <w:r>
              <w:rPr>
                <w:rFonts w:ascii="Arial" w:hAnsi="Arial"/>
                <w:b/>
                <w:sz w:val="19"/>
              </w:rPr>
              <w:t>Integrantes:</w:t>
            </w:r>
          </w:p>
        </w:tc>
        <w:tc>
          <w:tcPr>
            <w:tcW w:w="6192" w:type="dxa"/>
            <w:shd w:val="clear" w:color="auto" w:fill="FFFFFF"/>
            <w:tcMar>
              <w:top w:w="70" w:type="dxa"/>
              <w:left w:w="110" w:type="dxa"/>
              <w:bottom w:w="70" w:type="dxa"/>
              <w:right w:w="110" w:type="dxa"/>
            </w:tcMar>
          </w:tcPr>
          <w:p w14:paraId="29DF3502" w14:textId="1944FEB9" w:rsidR="005801B8" w:rsidRDefault="00000000">
            <w:r>
              <w:rPr>
                <w:rFonts w:ascii="Arial" w:hAnsi="Arial"/>
                <w:sz w:val="19"/>
              </w:rPr>
              <w:t xml:space="preserve">Fernando </w:t>
            </w:r>
            <w:r w:rsidR="00E049E7">
              <w:rPr>
                <w:rFonts w:ascii="Arial" w:hAnsi="Arial"/>
                <w:sz w:val="19"/>
              </w:rPr>
              <w:t>Casonis/</w:t>
            </w:r>
            <w:r>
              <w:rPr>
                <w:rFonts w:ascii="Arial" w:hAnsi="Arial"/>
                <w:sz w:val="19"/>
              </w:rPr>
              <w:t xml:space="preserve"> </w:t>
            </w:r>
            <w:r w:rsidR="00E049E7">
              <w:rPr>
                <w:rFonts w:ascii="Arial" w:hAnsi="Arial"/>
                <w:sz w:val="19"/>
              </w:rPr>
              <w:t>Matias Machuca</w:t>
            </w:r>
          </w:p>
        </w:tc>
      </w:tr>
      <w:tr w:rsidR="005801B8" w14:paraId="41F26978" w14:textId="77777777">
        <w:trPr>
          <w:jc w:val="center"/>
        </w:trPr>
        <w:tc>
          <w:tcPr>
            <w:tcW w:w="3168" w:type="dxa"/>
            <w:shd w:val="clear" w:color="auto" w:fill="F4F6F9"/>
            <w:tcMar>
              <w:top w:w="70" w:type="dxa"/>
              <w:left w:w="110" w:type="dxa"/>
              <w:bottom w:w="70" w:type="dxa"/>
              <w:right w:w="110" w:type="dxa"/>
            </w:tcMar>
          </w:tcPr>
          <w:p w14:paraId="12A23464" w14:textId="77777777" w:rsidR="005801B8" w:rsidRDefault="00000000">
            <w:r>
              <w:rPr>
                <w:rFonts w:ascii="Arial" w:hAnsi="Arial"/>
                <w:b/>
                <w:sz w:val="19"/>
              </w:rPr>
              <w:t>Carrera:</w:t>
            </w:r>
          </w:p>
        </w:tc>
        <w:tc>
          <w:tcPr>
            <w:tcW w:w="6192" w:type="dxa"/>
            <w:shd w:val="clear" w:color="auto" w:fill="FFFFFF"/>
            <w:tcMar>
              <w:top w:w="70" w:type="dxa"/>
              <w:left w:w="110" w:type="dxa"/>
              <w:bottom w:w="70" w:type="dxa"/>
              <w:right w:w="110" w:type="dxa"/>
            </w:tcMar>
          </w:tcPr>
          <w:p w14:paraId="73C0AE7A" w14:textId="77777777" w:rsidR="005801B8" w:rsidRDefault="00000000">
            <w:r>
              <w:rPr>
                <w:rFonts w:ascii="Arial" w:hAnsi="Arial"/>
                <w:sz w:val="19"/>
              </w:rPr>
              <w:t>Ingeniería en Informática</w:t>
            </w:r>
          </w:p>
        </w:tc>
      </w:tr>
      <w:tr w:rsidR="005801B8" w14:paraId="60FD2F05" w14:textId="77777777">
        <w:trPr>
          <w:jc w:val="center"/>
        </w:trPr>
        <w:tc>
          <w:tcPr>
            <w:tcW w:w="3168" w:type="dxa"/>
            <w:shd w:val="clear" w:color="auto" w:fill="F4F6F9"/>
            <w:tcMar>
              <w:top w:w="70" w:type="dxa"/>
              <w:left w:w="110" w:type="dxa"/>
              <w:bottom w:w="70" w:type="dxa"/>
              <w:right w:w="110" w:type="dxa"/>
            </w:tcMar>
          </w:tcPr>
          <w:p w14:paraId="0BC4F0D8" w14:textId="77777777" w:rsidR="005801B8" w:rsidRDefault="00000000">
            <w:r>
              <w:rPr>
                <w:rFonts w:ascii="Arial" w:hAnsi="Arial"/>
                <w:b/>
                <w:sz w:val="19"/>
              </w:rPr>
              <w:t>Asignatura / Código:</w:t>
            </w:r>
          </w:p>
        </w:tc>
        <w:tc>
          <w:tcPr>
            <w:tcW w:w="6192" w:type="dxa"/>
            <w:shd w:val="clear" w:color="auto" w:fill="FFFFFF"/>
            <w:tcMar>
              <w:top w:w="70" w:type="dxa"/>
              <w:left w:w="110" w:type="dxa"/>
              <w:bottom w:w="70" w:type="dxa"/>
              <w:right w:w="110" w:type="dxa"/>
            </w:tcMar>
          </w:tcPr>
          <w:p w14:paraId="1D58568D" w14:textId="77777777" w:rsidR="005801B8" w:rsidRDefault="00000000">
            <w:r>
              <w:rPr>
                <w:rFonts w:ascii="Arial" w:hAnsi="Arial"/>
                <w:sz w:val="19"/>
              </w:rPr>
              <w:t>Capstone / PTY4614</w:t>
            </w:r>
          </w:p>
        </w:tc>
      </w:tr>
      <w:tr w:rsidR="005801B8" w14:paraId="1DF1DDD2" w14:textId="77777777">
        <w:trPr>
          <w:jc w:val="center"/>
        </w:trPr>
        <w:tc>
          <w:tcPr>
            <w:tcW w:w="3168" w:type="dxa"/>
            <w:shd w:val="clear" w:color="auto" w:fill="F4F6F9"/>
            <w:tcMar>
              <w:top w:w="70" w:type="dxa"/>
              <w:left w:w="110" w:type="dxa"/>
              <w:bottom w:w="70" w:type="dxa"/>
              <w:right w:w="110" w:type="dxa"/>
            </w:tcMar>
          </w:tcPr>
          <w:p w14:paraId="6C01BDD0" w14:textId="77777777" w:rsidR="005801B8" w:rsidRDefault="00000000">
            <w:r>
              <w:rPr>
                <w:rFonts w:ascii="Arial" w:hAnsi="Arial"/>
                <w:b/>
                <w:sz w:val="19"/>
              </w:rPr>
              <w:t>Sede:</w:t>
            </w:r>
          </w:p>
        </w:tc>
        <w:tc>
          <w:tcPr>
            <w:tcW w:w="6192" w:type="dxa"/>
            <w:shd w:val="clear" w:color="auto" w:fill="FFFFFF"/>
            <w:tcMar>
              <w:top w:w="70" w:type="dxa"/>
              <w:left w:w="110" w:type="dxa"/>
              <w:bottom w:w="70" w:type="dxa"/>
              <w:right w:w="110" w:type="dxa"/>
            </w:tcMar>
          </w:tcPr>
          <w:p w14:paraId="19DBBD17" w14:textId="16258A19" w:rsidR="005801B8" w:rsidRDefault="00000000">
            <w:proofErr w:type="spellStart"/>
            <w:r>
              <w:rPr>
                <w:rFonts w:ascii="Arial" w:hAnsi="Arial"/>
                <w:sz w:val="19"/>
              </w:rPr>
              <w:t>Sede</w:t>
            </w:r>
            <w:proofErr w:type="spellEnd"/>
            <w:r>
              <w:rPr>
                <w:rFonts w:ascii="Arial" w:hAnsi="Arial"/>
                <w:sz w:val="19"/>
              </w:rPr>
              <w:t xml:space="preserve"> </w:t>
            </w:r>
            <w:proofErr w:type="spellStart"/>
            <w:r w:rsidR="00E049E7">
              <w:rPr>
                <w:rFonts w:ascii="Arial" w:hAnsi="Arial"/>
                <w:sz w:val="19"/>
              </w:rPr>
              <w:t>Cerirllos</w:t>
            </w:r>
            <w:proofErr w:type="spellEnd"/>
            <w:r>
              <w:rPr>
                <w:rFonts w:ascii="Arial" w:hAnsi="Arial"/>
                <w:sz w:val="19"/>
              </w:rPr>
              <w:t xml:space="preserve"> / </w:t>
            </w:r>
            <w:r w:rsidR="00E049E7">
              <w:rPr>
                <w:rFonts w:ascii="Arial" w:hAnsi="Arial"/>
                <w:sz w:val="19"/>
              </w:rPr>
              <w:t>Plaza Oeste</w:t>
            </w:r>
          </w:p>
        </w:tc>
      </w:tr>
      <w:tr w:rsidR="005801B8" w14:paraId="5EAA5650" w14:textId="77777777">
        <w:trPr>
          <w:jc w:val="center"/>
        </w:trPr>
        <w:tc>
          <w:tcPr>
            <w:tcW w:w="3168" w:type="dxa"/>
            <w:shd w:val="clear" w:color="auto" w:fill="F4F6F9"/>
            <w:tcMar>
              <w:top w:w="70" w:type="dxa"/>
              <w:left w:w="110" w:type="dxa"/>
              <w:bottom w:w="70" w:type="dxa"/>
              <w:right w:w="110" w:type="dxa"/>
            </w:tcMar>
          </w:tcPr>
          <w:p w14:paraId="62D7792F" w14:textId="77777777" w:rsidR="005801B8" w:rsidRDefault="00000000">
            <w:r>
              <w:rPr>
                <w:rFonts w:ascii="Arial" w:hAnsi="Arial"/>
                <w:b/>
                <w:sz w:val="19"/>
              </w:rPr>
              <w:t>Profesor(a) Guía:</w:t>
            </w:r>
          </w:p>
        </w:tc>
        <w:tc>
          <w:tcPr>
            <w:tcW w:w="6192" w:type="dxa"/>
            <w:shd w:val="clear" w:color="auto" w:fill="FFFFFF"/>
            <w:tcMar>
              <w:top w:w="70" w:type="dxa"/>
              <w:left w:w="110" w:type="dxa"/>
              <w:bottom w:w="70" w:type="dxa"/>
              <w:right w:w="110" w:type="dxa"/>
            </w:tcMar>
          </w:tcPr>
          <w:p w14:paraId="7F50ED3E" w14:textId="6539D51B" w:rsidR="005801B8" w:rsidRDefault="00E049E7">
            <w:r w:rsidRPr="00E049E7">
              <w:rPr>
                <w:rFonts w:ascii="Arial" w:hAnsi="Arial"/>
                <w:sz w:val="19"/>
              </w:rPr>
              <w:t>Luis Bravo</w:t>
            </w:r>
          </w:p>
        </w:tc>
      </w:tr>
    </w:tbl>
    <w:p w14:paraId="47BE1F64" w14:textId="77777777" w:rsidR="005801B8" w:rsidRDefault="00000000">
      <w:r>
        <w:br w:type="page"/>
      </w:r>
    </w:p>
    <w:p w14:paraId="63C7217B" w14:textId="77777777" w:rsidR="005801B8" w:rsidRDefault="00000000">
      <w:pPr>
        <w:keepNext/>
        <w:spacing w:before="280" w:after="80"/>
      </w:pPr>
      <w:r>
        <w:rPr>
          <w:rFonts w:ascii="Arial" w:hAnsi="Arial"/>
          <w:b/>
          <w:color w:val="0F4C81"/>
          <w:sz w:val="27"/>
        </w:rPr>
        <w:lastRenderedPageBreak/>
        <w:t>ÍNDICE GENERAL</w:t>
      </w:r>
    </w:p>
    <w:tbl>
      <w:tblPr>
        <w:tblW w:w="0" w:type="auto"/>
        <w:jc w:val="center"/>
        <w:tblLook w:val="04A0" w:firstRow="1" w:lastRow="0" w:firstColumn="1" w:lastColumn="0" w:noHBand="0" w:noVBand="1"/>
      </w:tblPr>
      <w:tblGrid>
        <w:gridCol w:w="8352"/>
        <w:gridCol w:w="1008"/>
      </w:tblGrid>
      <w:tr w:rsidR="005801B8" w14:paraId="054217F3" w14:textId="77777777">
        <w:trPr>
          <w:jc w:val="center"/>
        </w:trPr>
        <w:tc>
          <w:tcPr>
            <w:tcW w:w="8352" w:type="dxa"/>
            <w:tcMar>
              <w:top w:w="20" w:type="dxa"/>
              <w:left w:w="40" w:type="dxa"/>
              <w:bottom w:w="20" w:type="dxa"/>
              <w:right w:w="40" w:type="dxa"/>
            </w:tcMar>
          </w:tcPr>
          <w:p w14:paraId="695C69F0" w14:textId="77777777" w:rsidR="005801B8" w:rsidRDefault="00000000">
            <w:r>
              <w:rPr>
                <w:rFonts w:ascii="Arial" w:hAnsi="Arial"/>
                <w:b/>
                <w:sz w:val="19"/>
              </w:rPr>
              <w:t>1. Resumen / Abstract (Español &amp; English)</w:t>
            </w:r>
          </w:p>
        </w:tc>
        <w:tc>
          <w:tcPr>
            <w:tcW w:w="1008" w:type="dxa"/>
            <w:tcMar>
              <w:top w:w="20" w:type="dxa"/>
              <w:left w:w="40" w:type="dxa"/>
              <w:bottom w:w="20" w:type="dxa"/>
              <w:right w:w="40" w:type="dxa"/>
            </w:tcMar>
          </w:tcPr>
          <w:p w14:paraId="1958F880" w14:textId="77777777" w:rsidR="005801B8" w:rsidRDefault="00000000">
            <w:pPr>
              <w:jc w:val="right"/>
            </w:pPr>
            <w:r>
              <w:rPr>
                <w:rFonts w:ascii="Arial" w:hAnsi="Arial"/>
                <w:sz w:val="19"/>
              </w:rPr>
              <w:t>3</w:t>
            </w:r>
          </w:p>
        </w:tc>
      </w:tr>
      <w:tr w:rsidR="005801B8" w14:paraId="640DBE96" w14:textId="77777777">
        <w:trPr>
          <w:jc w:val="center"/>
        </w:trPr>
        <w:tc>
          <w:tcPr>
            <w:tcW w:w="8352" w:type="dxa"/>
            <w:tcMar>
              <w:top w:w="20" w:type="dxa"/>
              <w:left w:w="40" w:type="dxa"/>
              <w:bottom w:w="20" w:type="dxa"/>
              <w:right w:w="40" w:type="dxa"/>
            </w:tcMar>
          </w:tcPr>
          <w:p w14:paraId="539D89C3" w14:textId="77777777" w:rsidR="005801B8" w:rsidRDefault="00000000">
            <w:r>
              <w:rPr>
                <w:rFonts w:ascii="Arial" w:hAnsi="Arial"/>
                <w:b/>
                <w:sz w:val="19"/>
              </w:rPr>
              <w:t>2. Descripción del Proyecto y Relevancia Laboral (IE 1 - 10%)</w:t>
            </w:r>
          </w:p>
        </w:tc>
        <w:tc>
          <w:tcPr>
            <w:tcW w:w="1008" w:type="dxa"/>
            <w:tcMar>
              <w:top w:w="20" w:type="dxa"/>
              <w:left w:w="40" w:type="dxa"/>
              <w:bottom w:w="20" w:type="dxa"/>
              <w:right w:w="40" w:type="dxa"/>
            </w:tcMar>
          </w:tcPr>
          <w:p w14:paraId="5DBAD86D" w14:textId="77777777" w:rsidR="005801B8" w:rsidRDefault="00000000">
            <w:pPr>
              <w:jc w:val="right"/>
            </w:pPr>
            <w:r>
              <w:rPr>
                <w:rFonts w:ascii="Arial" w:hAnsi="Arial"/>
                <w:sz w:val="19"/>
              </w:rPr>
              <w:t>4</w:t>
            </w:r>
          </w:p>
        </w:tc>
      </w:tr>
      <w:tr w:rsidR="005801B8" w14:paraId="31ADCF98" w14:textId="77777777">
        <w:trPr>
          <w:jc w:val="center"/>
        </w:trPr>
        <w:tc>
          <w:tcPr>
            <w:tcW w:w="8352" w:type="dxa"/>
            <w:tcMar>
              <w:top w:w="20" w:type="dxa"/>
              <w:left w:w="40" w:type="dxa"/>
              <w:bottom w:w="20" w:type="dxa"/>
              <w:right w:w="40" w:type="dxa"/>
            </w:tcMar>
          </w:tcPr>
          <w:p w14:paraId="7E557D65" w14:textId="77777777" w:rsidR="005801B8" w:rsidRDefault="00000000">
            <w:r>
              <w:rPr>
                <w:rFonts w:ascii="Arial" w:hAnsi="Arial"/>
                <w:b/>
                <w:sz w:val="19"/>
              </w:rPr>
              <w:t>3. Relación con las Competencias del Perfil de Egreso (IE 2 - 10%)</w:t>
            </w:r>
          </w:p>
        </w:tc>
        <w:tc>
          <w:tcPr>
            <w:tcW w:w="1008" w:type="dxa"/>
            <w:tcMar>
              <w:top w:w="20" w:type="dxa"/>
              <w:left w:w="40" w:type="dxa"/>
              <w:bottom w:w="20" w:type="dxa"/>
              <w:right w:w="40" w:type="dxa"/>
            </w:tcMar>
          </w:tcPr>
          <w:p w14:paraId="30B88407" w14:textId="77777777" w:rsidR="005801B8" w:rsidRDefault="00000000">
            <w:pPr>
              <w:jc w:val="right"/>
            </w:pPr>
            <w:r>
              <w:rPr>
                <w:rFonts w:ascii="Arial" w:hAnsi="Arial"/>
                <w:sz w:val="19"/>
              </w:rPr>
              <w:t>5</w:t>
            </w:r>
          </w:p>
        </w:tc>
      </w:tr>
      <w:tr w:rsidR="005801B8" w14:paraId="5D07F264" w14:textId="77777777">
        <w:trPr>
          <w:jc w:val="center"/>
        </w:trPr>
        <w:tc>
          <w:tcPr>
            <w:tcW w:w="8352" w:type="dxa"/>
            <w:tcMar>
              <w:top w:w="20" w:type="dxa"/>
              <w:left w:w="40" w:type="dxa"/>
              <w:bottom w:w="20" w:type="dxa"/>
              <w:right w:w="40" w:type="dxa"/>
            </w:tcMar>
          </w:tcPr>
          <w:p w14:paraId="7401C5E5" w14:textId="77777777" w:rsidR="005801B8" w:rsidRDefault="00000000">
            <w:r>
              <w:rPr>
                <w:rFonts w:ascii="Arial" w:hAnsi="Arial"/>
                <w:b/>
                <w:sz w:val="19"/>
              </w:rPr>
              <w:t>4. Relación con los Intereses Profesionales (IE 3 - 10%)</w:t>
            </w:r>
          </w:p>
        </w:tc>
        <w:tc>
          <w:tcPr>
            <w:tcW w:w="1008" w:type="dxa"/>
            <w:tcMar>
              <w:top w:w="20" w:type="dxa"/>
              <w:left w:w="40" w:type="dxa"/>
              <w:bottom w:w="20" w:type="dxa"/>
              <w:right w:w="40" w:type="dxa"/>
            </w:tcMar>
          </w:tcPr>
          <w:p w14:paraId="0311CD91" w14:textId="77777777" w:rsidR="005801B8" w:rsidRDefault="00000000">
            <w:pPr>
              <w:jc w:val="right"/>
            </w:pPr>
            <w:r>
              <w:rPr>
                <w:rFonts w:ascii="Arial" w:hAnsi="Arial"/>
                <w:sz w:val="19"/>
              </w:rPr>
              <w:t>6</w:t>
            </w:r>
          </w:p>
        </w:tc>
      </w:tr>
      <w:tr w:rsidR="005801B8" w14:paraId="1F39AE13" w14:textId="77777777">
        <w:trPr>
          <w:jc w:val="center"/>
        </w:trPr>
        <w:tc>
          <w:tcPr>
            <w:tcW w:w="8352" w:type="dxa"/>
            <w:tcMar>
              <w:top w:w="20" w:type="dxa"/>
              <w:left w:w="40" w:type="dxa"/>
              <w:bottom w:w="20" w:type="dxa"/>
              <w:right w:w="40" w:type="dxa"/>
            </w:tcMar>
          </w:tcPr>
          <w:p w14:paraId="14EAC172" w14:textId="77777777" w:rsidR="005801B8" w:rsidRDefault="00000000">
            <w:r>
              <w:rPr>
                <w:rFonts w:ascii="Arial" w:hAnsi="Arial"/>
                <w:b/>
                <w:sz w:val="19"/>
              </w:rPr>
              <w:t>5. Factibilidad de Desarrollo y Mitigación de Riesgos (IE 4 - 10%)</w:t>
            </w:r>
          </w:p>
        </w:tc>
        <w:tc>
          <w:tcPr>
            <w:tcW w:w="1008" w:type="dxa"/>
            <w:tcMar>
              <w:top w:w="20" w:type="dxa"/>
              <w:left w:w="40" w:type="dxa"/>
              <w:bottom w:w="20" w:type="dxa"/>
              <w:right w:w="40" w:type="dxa"/>
            </w:tcMar>
          </w:tcPr>
          <w:p w14:paraId="0D0BF81A" w14:textId="77777777" w:rsidR="005801B8" w:rsidRDefault="00000000">
            <w:pPr>
              <w:jc w:val="right"/>
            </w:pPr>
            <w:r>
              <w:rPr>
                <w:rFonts w:ascii="Arial" w:hAnsi="Arial"/>
                <w:sz w:val="19"/>
              </w:rPr>
              <w:t>6</w:t>
            </w:r>
          </w:p>
        </w:tc>
      </w:tr>
      <w:tr w:rsidR="005801B8" w14:paraId="69B62881" w14:textId="77777777">
        <w:trPr>
          <w:jc w:val="center"/>
        </w:trPr>
        <w:tc>
          <w:tcPr>
            <w:tcW w:w="8352" w:type="dxa"/>
            <w:tcMar>
              <w:top w:w="20" w:type="dxa"/>
              <w:left w:w="40" w:type="dxa"/>
              <w:bottom w:w="20" w:type="dxa"/>
              <w:right w:w="40" w:type="dxa"/>
            </w:tcMar>
          </w:tcPr>
          <w:p w14:paraId="02D7E453" w14:textId="77777777" w:rsidR="005801B8" w:rsidRDefault="00000000">
            <w:r>
              <w:rPr>
                <w:rFonts w:ascii="Arial" w:hAnsi="Arial"/>
                <w:b/>
                <w:sz w:val="19"/>
              </w:rPr>
              <w:t>6. Cumplimiento de Indicadores de Calidad Disciplinarios (IE 5 - 50%)</w:t>
            </w:r>
          </w:p>
        </w:tc>
        <w:tc>
          <w:tcPr>
            <w:tcW w:w="1008" w:type="dxa"/>
            <w:tcMar>
              <w:top w:w="20" w:type="dxa"/>
              <w:left w:w="40" w:type="dxa"/>
              <w:bottom w:w="20" w:type="dxa"/>
              <w:right w:w="40" w:type="dxa"/>
            </w:tcMar>
          </w:tcPr>
          <w:p w14:paraId="2F5EFA54" w14:textId="77777777" w:rsidR="005801B8" w:rsidRDefault="00000000">
            <w:pPr>
              <w:jc w:val="right"/>
            </w:pPr>
            <w:r>
              <w:rPr>
                <w:rFonts w:ascii="Arial" w:hAnsi="Arial"/>
                <w:sz w:val="19"/>
              </w:rPr>
              <w:t>7</w:t>
            </w:r>
          </w:p>
        </w:tc>
      </w:tr>
      <w:tr w:rsidR="005801B8" w14:paraId="0C2D85DC" w14:textId="77777777">
        <w:trPr>
          <w:jc w:val="center"/>
        </w:trPr>
        <w:tc>
          <w:tcPr>
            <w:tcW w:w="8352" w:type="dxa"/>
            <w:tcMar>
              <w:top w:w="20" w:type="dxa"/>
              <w:left w:w="40" w:type="dxa"/>
              <w:bottom w:w="20" w:type="dxa"/>
              <w:right w:w="40" w:type="dxa"/>
            </w:tcMar>
          </w:tcPr>
          <w:p w14:paraId="0C3CD25B" w14:textId="77777777" w:rsidR="005801B8" w:rsidRDefault="00000000">
            <w:r>
              <w:rPr>
                <w:rFonts w:ascii="Arial" w:hAnsi="Arial"/>
                <w:sz w:val="19"/>
              </w:rPr>
              <w:t xml:space="preserve">   6.1 Competencia 1: Pruebas de Certificación (QA)</w:t>
            </w:r>
          </w:p>
        </w:tc>
        <w:tc>
          <w:tcPr>
            <w:tcW w:w="1008" w:type="dxa"/>
            <w:tcMar>
              <w:top w:w="20" w:type="dxa"/>
              <w:left w:w="40" w:type="dxa"/>
              <w:bottom w:w="20" w:type="dxa"/>
              <w:right w:w="40" w:type="dxa"/>
            </w:tcMar>
          </w:tcPr>
          <w:p w14:paraId="145E9958" w14:textId="77777777" w:rsidR="005801B8" w:rsidRDefault="00000000">
            <w:pPr>
              <w:jc w:val="right"/>
            </w:pPr>
            <w:r>
              <w:rPr>
                <w:rFonts w:ascii="Arial" w:hAnsi="Arial"/>
                <w:sz w:val="19"/>
              </w:rPr>
              <w:t>7</w:t>
            </w:r>
          </w:p>
        </w:tc>
      </w:tr>
      <w:tr w:rsidR="005801B8" w14:paraId="057BBA20" w14:textId="77777777">
        <w:trPr>
          <w:jc w:val="center"/>
        </w:trPr>
        <w:tc>
          <w:tcPr>
            <w:tcW w:w="8352" w:type="dxa"/>
            <w:tcMar>
              <w:top w:w="20" w:type="dxa"/>
              <w:left w:w="40" w:type="dxa"/>
              <w:bottom w:w="20" w:type="dxa"/>
              <w:right w:w="40" w:type="dxa"/>
            </w:tcMar>
          </w:tcPr>
          <w:p w14:paraId="497507F0" w14:textId="77777777" w:rsidR="005801B8" w:rsidRDefault="00000000">
            <w:r>
              <w:rPr>
                <w:rFonts w:ascii="Arial" w:hAnsi="Arial"/>
                <w:sz w:val="19"/>
              </w:rPr>
              <w:t xml:space="preserve">   6.2 Competencia 2: Gestión de Proyectos Informáticos</w:t>
            </w:r>
          </w:p>
        </w:tc>
        <w:tc>
          <w:tcPr>
            <w:tcW w:w="1008" w:type="dxa"/>
            <w:tcMar>
              <w:top w:w="20" w:type="dxa"/>
              <w:left w:w="40" w:type="dxa"/>
              <w:bottom w:w="20" w:type="dxa"/>
              <w:right w:w="40" w:type="dxa"/>
            </w:tcMar>
          </w:tcPr>
          <w:p w14:paraId="29BE52D0" w14:textId="77777777" w:rsidR="005801B8" w:rsidRDefault="00000000">
            <w:pPr>
              <w:jc w:val="right"/>
            </w:pPr>
            <w:r>
              <w:rPr>
                <w:rFonts w:ascii="Arial" w:hAnsi="Arial"/>
                <w:sz w:val="19"/>
              </w:rPr>
              <w:t>8</w:t>
            </w:r>
          </w:p>
        </w:tc>
      </w:tr>
      <w:tr w:rsidR="005801B8" w14:paraId="48DCC71A" w14:textId="77777777">
        <w:trPr>
          <w:jc w:val="center"/>
        </w:trPr>
        <w:tc>
          <w:tcPr>
            <w:tcW w:w="8352" w:type="dxa"/>
            <w:tcMar>
              <w:top w:w="20" w:type="dxa"/>
              <w:left w:w="40" w:type="dxa"/>
              <w:bottom w:w="20" w:type="dxa"/>
              <w:right w:w="40" w:type="dxa"/>
            </w:tcMar>
          </w:tcPr>
          <w:p w14:paraId="76A018D1" w14:textId="77777777" w:rsidR="005801B8" w:rsidRDefault="00000000">
            <w:r>
              <w:rPr>
                <w:rFonts w:ascii="Arial" w:hAnsi="Arial"/>
                <w:sz w:val="19"/>
              </w:rPr>
              <w:t xml:space="preserve">   6.3 Competencia 3: Construcción de Modelos de Datos Escalables</w:t>
            </w:r>
          </w:p>
        </w:tc>
        <w:tc>
          <w:tcPr>
            <w:tcW w:w="1008" w:type="dxa"/>
            <w:tcMar>
              <w:top w:w="20" w:type="dxa"/>
              <w:left w:w="40" w:type="dxa"/>
              <w:bottom w:w="20" w:type="dxa"/>
              <w:right w:w="40" w:type="dxa"/>
            </w:tcMar>
          </w:tcPr>
          <w:p w14:paraId="76E4F6CB" w14:textId="77777777" w:rsidR="005801B8" w:rsidRDefault="00000000">
            <w:pPr>
              <w:jc w:val="right"/>
            </w:pPr>
            <w:r>
              <w:rPr>
                <w:rFonts w:ascii="Arial" w:hAnsi="Arial"/>
                <w:sz w:val="19"/>
              </w:rPr>
              <w:t>8</w:t>
            </w:r>
          </w:p>
        </w:tc>
      </w:tr>
      <w:tr w:rsidR="005801B8" w14:paraId="087E8789" w14:textId="77777777">
        <w:trPr>
          <w:jc w:val="center"/>
        </w:trPr>
        <w:tc>
          <w:tcPr>
            <w:tcW w:w="8352" w:type="dxa"/>
            <w:tcMar>
              <w:top w:w="20" w:type="dxa"/>
              <w:left w:w="40" w:type="dxa"/>
              <w:bottom w:w="20" w:type="dxa"/>
              <w:right w:w="40" w:type="dxa"/>
            </w:tcMar>
          </w:tcPr>
          <w:p w14:paraId="58CF05F0" w14:textId="77777777" w:rsidR="005801B8" w:rsidRDefault="00000000">
            <w:r>
              <w:rPr>
                <w:rFonts w:ascii="Arial" w:hAnsi="Arial"/>
                <w:sz w:val="19"/>
              </w:rPr>
              <w:t xml:space="preserve">   6.4 Competencia 4: Desarrollo e Integración de Software</w:t>
            </w:r>
          </w:p>
        </w:tc>
        <w:tc>
          <w:tcPr>
            <w:tcW w:w="1008" w:type="dxa"/>
            <w:tcMar>
              <w:top w:w="20" w:type="dxa"/>
              <w:left w:w="40" w:type="dxa"/>
              <w:bottom w:w="20" w:type="dxa"/>
              <w:right w:w="40" w:type="dxa"/>
            </w:tcMar>
          </w:tcPr>
          <w:p w14:paraId="1923ABB2" w14:textId="77777777" w:rsidR="005801B8" w:rsidRDefault="00000000">
            <w:pPr>
              <w:jc w:val="right"/>
            </w:pPr>
            <w:r>
              <w:rPr>
                <w:rFonts w:ascii="Arial" w:hAnsi="Arial"/>
                <w:sz w:val="19"/>
              </w:rPr>
              <w:t>9</w:t>
            </w:r>
          </w:p>
        </w:tc>
      </w:tr>
      <w:tr w:rsidR="005801B8" w14:paraId="4008EE17" w14:textId="77777777">
        <w:trPr>
          <w:jc w:val="center"/>
        </w:trPr>
        <w:tc>
          <w:tcPr>
            <w:tcW w:w="8352" w:type="dxa"/>
            <w:tcMar>
              <w:top w:w="20" w:type="dxa"/>
              <w:left w:w="40" w:type="dxa"/>
              <w:bottom w:w="20" w:type="dxa"/>
              <w:right w:w="40" w:type="dxa"/>
            </w:tcMar>
          </w:tcPr>
          <w:p w14:paraId="79224B43" w14:textId="77777777" w:rsidR="005801B8" w:rsidRDefault="00000000">
            <w:r>
              <w:rPr>
                <w:rFonts w:ascii="Arial" w:hAnsi="Arial"/>
                <w:b/>
                <w:sz w:val="19"/>
              </w:rPr>
              <w:t>7. Conclusiones Técnicas en Inglés (IE 6 - Parte A)</w:t>
            </w:r>
          </w:p>
        </w:tc>
        <w:tc>
          <w:tcPr>
            <w:tcW w:w="1008" w:type="dxa"/>
            <w:tcMar>
              <w:top w:w="20" w:type="dxa"/>
              <w:left w:w="40" w:type="dxa"/>
              <w:bottom w:w="20" w:type="dxa"/>
              <w:right w:w="40" w:type="dxa"/>
            </w:tcMar>
          </w:tcPr>
          <w:p w14:paraId="33AE47E5" w14:textId="77777777" w:rsidR="005801B8" w:rsidRDefault="00000000">
            <w:pPr>
              <w:jc w:val="right"/>
            </w:pPr>
            <w:r>
              <w:rPr>
                <w:rFonts w:ascii="Arial" w:hAnsi="Arial"/>
                <w:sz w:val="19"/>
              </w:rPr>
              <w:t>10</w:t>
            </w:r>
          </w:p>
        </w:tc>
      </w:tr>
      <w:tr w:rsidR="005801B8" w14:paraId="618F1443" w14:textId="77777777">
        <w:trPr>
          <w:jc w:val="center"/>
        </w:trPr>
        <w:tc>
          <w:tcPr>
            <w:tcW w:w="8352" w:type="dxa"/>
            <w:tcMar>
              <w:top w:w="20" w:type="dxa"/>
              <w:left w:w="40" w:type="dxa"/>
              <w:bottom w:w="20" w:type="dxa"/>
              <w:right w:w="40" w:type="dxa"/>
            </w:tcMar>
          </w:tcPr>
          <w:p w14:paraId="31A2B04A" w14:textId="77777777" w:rsidR="005801B8" w:rsidRDefault="00000000">
            <w:r>
              <w:rPr>
                <w:rFonts w:ascii="Arial" w:hAnsi="Arial"/>
                <w:b/>
                <w:sz w:val="19"/>
              </w:rPr>
              <w:t>8. Reflexiones Individuales en Inglés (IE 6 - Parte B)</w:t>
            </w:r>
          </w:p>
        </w:tc>
        <w:tc>
          <w:tcPr>
            <w:tcW w:w="1008" w:type="dxa"/>
            <w:tcMar>
              <w:top w:w="20" w:type="dxa"/>
              <w:left w:w="40" w:type="dxa"/>
              <w:bottom w:w="20" w:type="dxa"/>
              <w:right w:w="40" w:type="dxa"/>
            </w:tcMar>
          </w:tcPr>
          <w:p w14:paraId="4951C8BF" w14:textId="77777777" w:rsidR="005801B8" w:rsidRDefault="00000000">
            <w:pPr>
              <w:jc w:val="right"/>
            </w:pPr>
            <w:r>
              <w:rPr>
                <w:rFonts w:ascii="Arial" w:hAnsi="Arial"/>
                <w:sz w:val="19"/>
              </w:rPr>
              <w:t>11</w:t>
            </w:r>
          </w:p>
        </w:tc>
      </w:tr>
      <w:tr w:rsidR="005801B8" w14:paraId="7029FEA7" w14:textId="77777777">
        <w:trPr>
          <w:jc w:val="center"/>
        </w:trPr>
        <w:tc>
          <w:tcPr>
            <w:tcW w:w="8352" w:type="dxa"/>
            <w:tcMar>
              <w:top w:w="20" w:type="dxa"/>
              <w:left w:w="40" w:type="dxa"/>
              <w:bottom w:w="20" w:type="dxa"/>
              <w:right w:w="40" w:type="dxa"/>
            </w:tcMar>
          </w:tcPr>
          <w:p w14:paraId="4909361E" w14:textId="77777777" w:rsidR="005801B8" w:rsidRDefault="00000000">
            <w:r>
              <w:rPr>
                <w:rFonts w:ascii="Arial" w:hAnsi="Arial"/>
                <w:b/>
                <w:sz w:val="19"/>
              </w:rPr>
              <w:t>9. Referencias Bibliográficas (Normas APA)</w:t>
            </w:r>
          </w:p>
        </w:tc>
        <w:tc>
          <w:tcPr>
            <w:tcW w:w="1008" w:type="dxa"/>
            <w:tcMar>
              <w:top w:w="20" w:type="dxa"/>
              <w:left w:w="40" w:type="dxa"/>
              <w:bottom w:w="20" w:type="dxa"/>
              <w:right w:w="40" w:type="dxa"/>
            </w:tcMar>
          </w:tcPr>
          <w:p w14:paraId="016DE655" w14:textId="77777777" w:rsidR="005801B8" w:rsidRDefault="00000000">
            <w:pPr>
              <w:jc w:val="right"/>
            </w:pPr>
            <w:r>
              <w:rPr>
                <w:rFonts w:ascii="Arial" w:hAnsi="Arial"/>
                <w:sz w:val="19"/>
              </w:rPr>
              <w:t>12</w:t>
            </w:r>
          </w:p>
        </w:tc>
      </w:tr>
      <w:tr w:rsidR="005801B8" w14:paraId="4DA33846" w14:textId="77777777">
        <w:trPr>
          <w:jc w:val="center"/>
        </w:trPr>
        <w:tc>
          <w:tcPr>
            <w:tcW w:w="8352" w:type="dxa"/>
            <w:tcMar>
              <w:top w:w="20" w:type="dxa"/>
              <w:left w:w="40" w:type="dxa"/>
              <w:bottom w:w="20" w:type="dxa"/>
              <w:right w:w="40" w:type="dxa"/>
            </w:tcMar>
          </w:tcPr>
          <w:p w14:paraId="161B3A38" w14:textId="77777777" w:rsidR="005801B8" w:rsidRDefault="00000000">
            <w:r>
              <w:rPr>
                <w:rFonts w:ascii="Arial" w:hAnsi="Arial"/>
                <w:b/>
                <w:sz w:val="19"/>
              </w:rPr>
              <w:t>10. Anexos de Evidencia de Ingeniería</w:t>
            </w:r>
          </w:p>
        </w:tc>
        <w:tc>
          <w:tcPr>
            <w:tcW w:w="1008" w:type="dxa"/>
            <w:tcMar>
              <w:top w:w="20" w:type="dxa"/>
              <w:left w:w="40" w:type="dxa"/>
              <w:bottom w:w="20" w:type="dxa"/>
              <w:right w:w="40" w:type="dxa"/>
            </w:tcMar>
          </w:tcPr>
          <w:p w14:paraId="2D95246D" w14:textId="77777777" w:rsidR="005801B8" w:rsidRDefault="00000000">
            <w:pPr>
              <w:jc w:val="right"/>
            </w:pPr>
            <w:r>
              <w:rPr>
                <w:rFonts w:ascii="Arial" w:hAnsi="Arial"/>
                <w:sz w:val="19"/>
              </w:rPr>
              <w:t>13</w:t>
            </w:r>
          </w:p>
        </w:tc>
      </w:tr>
    </w:tbl>
    <w:p w14:paraId="09B2A4A2" w14:textId="77777777" w:rsidR="005801B8" w:rsidRDefault="00000000">
      <w:r>
        <w:br w:type="page"/>
      </w:r>
    </w:p>
    <w:p w14:paraId="25628E1B" w14:textId="77777777" w:rsidR="005801B8" w:rsidRDefault="00000000">
      <w:pPr>
        <w:keepNext/>
        <w:spacing w:before="280" w:after="80"/>
      </w:pPr>
      <w:r>
        <w:rPr>
          <w:rFonts w:ascii="Arial" w:hAnsi="Arial"/>
          <w:b/>
          <w:color w:val="0F4C81"/>
          <w:sz w:val="27"/>
        </w:rPr>
        <w:lastRenderedPageBreak/>
        <w:t>1. Resumen / Abstract</w:t>
      </w:r>
    </w:p>
    <w:p w14:paraId="50F25E93" w14:textId="77777777" w:rsidR="005801B8" w:rsidRDefault="00000000">
      <w:pPr>
        <w:keepNext/>
        <w:spacing w:before="280" w:after="80"/>
      </w:pPr>
      <w:r>
        <w:rPr>
          <w:rFonts w:ascii="Arial" w:hAnsi="Arial"/>
          <w:b/>
          <w:color w:val="10955B"/>
          <w:sz w:val="23"/>
        </w:rPr>
        <w:t>1.1 Resumen en Español</w:t>
      </w:r>
    </w:p>
    <w:p w14:paraId="7D231327" w14:textId="77777777" w:rsidR="005801B8" w:rsidRDefault="00000000">
      <w:pPr>
        <w:spacing w:after="100"/>
        <w:jc w:val="both"/>
      </w:pPr>
      <w:r>
        <w:rPr>
          <w:rFonts w:ascii="Arial" w:hAnsi="Arial"/>
          <w:color w:val="282C34"/>
          <w:sz w:val="20"/>
        </w:rPr>
        <w:t>El presente informe técnico de desarrollo expone el diseño, fundamentación y arquitectura de una plataforma SaaS B2B orientada al cumplimiento automatizado de la Ley N° 20.920 (Responsabilidad Extendida del Productor o Ley REP) en Chile. La normativa vigente exige a las empresas productoras e importadoras cuantificar y reportar periódicamente el tonelaje de envases y embalajes puestos en el mercado, discriminando con rigurosidad entre canales Domiciliarios (DOM) y No Domiciliarios (NO DOM). Ante la ausencia de software especializado en el mercado local y el riesgo que representa el uso de hojas de cálculo manuales (con multas de la SMA de hasta 10.000 UTA), se diseñó una Single Page Application (SPA) en React 19, TypeScript y Vite. El sistema integra un motor de parsing dinámico para hojas de cálculo heterogéneas, una matriz de cálculo y conversión logística multidimensional y un exportador binario quirúrgico basado en ExcelJS que preserva intacto el formato oficial de ReSimple. La solución alcanza paridad matemática absoluta (100%) frente a macros de auditoría corporativas, asegurando trazabilidad y eficiencia operativa.</w:t>
      </w:r>
    </w:p>
    <w:p w14:paraId="45A2B2A2" w14:textId="77777777" w:rsidR="005801B8" w:rsidRDefault="00000000">
      <w:pPr>
        <w:keepNext/>
        <w:spacing w:before="280" w:after="80"/>
      </w:pPr>
      <w:r>
        <w:rPr>
          <w:rFonts w:ascii="Arial" w:hAnsi="Arial"/>
          <w:b/>
          <w:color w:val="10955B"/>
          <w:sz w:val="23"/>
        </w:rPr>
        <w:t>1.2 Technical Abstract (English)</w:t>
      </w:r>
    </w:p>
    <w:p w14:paraId="0DABC73F" w14:textId="77777777" w:rsidR="005801B8" w:rsidRDefault="00000000">
      <w:pPr>
        <w:spacing w:after="100"/>
        <w:jc w:val="both"/>
      </w:pPr>
      <w:r>
        <w:rPr>
          <w:rFonts w:ascii="Arial" w:hAnsi="Arial"/>
          <w:color w:val="282C34"/>
          <w:sz w:val="20"/>
        </w:rPr>
        <w:t>This technical engineering report outlines the design, rationale, and architecture of a dedicated B2B SaaS platform for regulatory compliance under Chilean Law No. 20,920 (Extended Producer Responsibility or Ley REP). Current regulations require manufacturing and importing companies to accurately report packaging waste introduced into the Chilean domestic market, strictly segmenting volumes into Household (DOM) and Non-Household (NO DOM) streams. To resolve the vulnerabilities of legacy manual spreadsheets and prevent severe penalties from environmental enforcement agencies (up to 10,000 UTA), an enterprise-grade Single Page Application was engineered using React 19, TypeScript, and Vite. The platform features an intelligent parsing engine for heterogeneous input files, a multi-dimensional logistics conversion matrix, and a non-destructive binary exporter powered by ExcelJS that populates official ReSimple government templates without altering their formatting or formulas. The implementation achieves 100% computational parity against certified audit macros, guaranteeing legal compliance and operational governance.</w:t>
      </w:r>
    </w:p>
    <w:p w14:paraId="12077FED" w14:textId="77777777" w:rsidR="005801B8" w:rsidRDefault="00000000">
      <w:pPr>
        <w:keepNext/>
        <w:spacing w:before="280" w:after="80"/>
      </w:pPr>
      <w:r>
        <w:rPr>
          <w:rFonts w:ascii="Arial" w:hAnsi="Arial"/>
          <w:b/>
          <w:color w:val="0F4C81"/>
          <w:sz w:val="27"/>
        </w:rPr>
        <w:t>2. Descripción del Proyecto y Relevancia Laboral (IE 1 — Ponderación: 10%)</w:t>
      </w:r>
    </w:p>
    <w:p w14:paraId="44C357E0" w14:textId="77777777" w:rsidR="005801B8" w:rsidRDefault="00000000">
      <w:pPr>
        <w:spacing w:after="100"/>
        <w:jc w:val="both"/>
      </w:pPr>
      <w:r>
        <w:rPr>
          <w:rFonts w:ascii="Arial" w:hAnsi="Arial"/>
          <w:b/>
          <w:color w:val="282C34"/>
          <w:sz w:val="20"/>
        </w:rPr>
        <w:t xml:space="preserve">Definición del Sistema: </w:t>
      </w:r>
      <w:r>
        <w:rPr>
          <w:rFonts w:ascii="Arial" w:hAnsi="Arial"/>
          <w:color w:val="282C34"/>
          <w:sz w:val="20"/>
        </w:rPr>
        <w:t>El proyecto consiste en el desarrollo e implementación de una solución de software B2B para la cuantificación, clasificación de materialidades y declaración oficial de la Ley REP en Chile. La plataforma permite a organizaciones comerciales: (1) gestionar un catálogo técnico de envases por SKU desagregado en capas de material (gramajes, ductilidad y peligrosidad); (2) procesar libros de venta heterogéneos mediante ingesta inteligente; (3) aplicar multiplicadores logísticos (unidades por caja, cajas por pallet) y prorrateos de canales de distribución; y (4) emitir la declaración oficial en el formato binario exigido por los Grandes Sistemas Colectivos de Gestión (GRANSIC), principalmente ReSimple.</w:t>
      </w:r>
    </w:p>
    <w:p w14:paraId="150F0FBC" w14:textId="77777777" w:rsidR="005801B8" w:rsidRDefault="00000000">
      <w:pPr>
        <w:spacing w:after="100"/>
        <w:jc w:val="both"/>
      </w:pPr>
      <w:r>
        <w:rPr>
          <w:rFonts w:ascii="Arial" w:hAnsi="Arial"/>
          <w:b/>
          <w:color w:val="282C34"/>
          <w:sz w:val="20"/>
        </w:rPr>
        <w:t xml:space="preserve">Relevancia para el Campo Laboral: </w:t>
      </w:r>
      <w:r>
        <w:rPr>
          <w:rFonts w:ascii="Arial" w:hAnsi="Arial"/>
          <w:color w:val="282C34"/>
          <w:sz w:val="20"/>
        </w:rPr>
        <w:t xml:space="preserve">En el campo laboral de la Ingeniería en Informática, este proyecto responde a una brecha crítica: las organizaciones disponen de ERPs tradicionales que no están modelados para la trazabilidad de pesos por materialidad ni para los criterios taxonómicos del Ministerio del Medio Ambiente. Al automatizar este flujo mediante algoritmos de normalización y validación defensiva, el proyecto erradica los errores humanos en el cálculo manual de planillas, previene </w:t>
      </w:r>
      <w:r>
        <w:rPr>
          <w:rFonts w:ascii="Arial" w:hAnsi="Arial"/>
          <w:color w:val="282C34"/>
          <w:sz w:val="20"/>
        </w:rPr>
        <w:lastRenderedPageBreak/>
        <w:t>contingencias regulatorias millonarias y establece un modelo de arquitectura de software para la sostenibilidad corporativa.</w:t>
      </w:r>
    </w:p>
    <w:p w14:paraId="7DDB4D39" w14:textId="77777777" w:rsidR="005801B8" w:rsidRDefault="00000000">
      <w:pPr>
        <w:keepNext/>
        <w:spacing w:before="280" w:after="80"/>
      </w:pPr>
      <w:r>
        <w:rPr>
          <w:rFonts w:ascii="Arial" w:hAnsi="Arial"/>
          <w:b/>
          <w:color w:val="0F4C81"/>
          <w:sz w:val="27"/>
        </w:rPr>
        <w:t>3. Relación con las Competencias del Perfil de Egreso (IE 2 — Ponderación: 10%)</w:t>
      </w:r>
    </w:p>
    <w:p w14:paraId="612E912C" w14:textId="77777777" w:rsidR="005801B8" w:rsidRDefault="00000000">
      <w:pPr>
        <w:spacing w:after="100"/>
        <w:jc w:val="both"/>
      </w:pPr>
      <w:r>
        <w:rPr>
          <w:rFonts w:ascii="Arial" w:hAnsi="Arial"/>
          <w:color w:val="282C34"/>
          <w:sz w:val="20"/>
        </w:rPr>
        <w:t>El desarrollo del proyecto pone en práctica de forma armónica las cuatro competencias del perfil de egreso de la carrera:</w:t>
      </w:r>
    </w:p>
    <w:p w14:paraId="52841C6D" w14:textId="77777777" w:rsidR="005801B8" w:rsidRDefault="00000000">
      <w:pPr>
        <w:pStyle w:val="Listaconvietas"/>
        <w:spacing w:after="60"/>
        <w:jc w:val="both"/>
      </w:pPr>
      <w:r>
        <w:rPr>
          <w:rFonts w:ascii="Arial" w:hAnsi="Arial"/>
          <w:b/>
          <w:color w:val="282C34"/>
          <w:sz w:val="20"/>
        </w:rPr>
        <w:t xml:space="preserve">Competencia 1 - Pruebas de Certificación de Productos y Procesos: </w:t>
      </w:r>
      <w:r>
        <w:rPr>
          <w:rFonts w:ascii="Arial" w:hAnsi="Arial"/>
          <w:color w:val="282C34"/>
          <w:sz w:val="20"/>
        </w:rPr>
        <w:t>Se diseñan y aplican protocolos de pruebas de caja negra y validación cruzada frente a macros corporativas certificadas, permitiendo detectar y subsanar discrepancias en el redondeo decimal y la inversión de porcentajes domiciliarios (% No DOM).</w:t>
      </w:r>
    </w:p>
    <w:p w14:paraId="31435A77" w14:textId="77777777" w:rsidR="005801B8" w:rsidRDefault="00000000">
      <w:pPr>
        <w:pStyle w:val="Listaconvietas"/>
        <w:spacing w:after="60"/>
        <w:jc w:val="both"/>
      </w:pPr>
      <w:r>
        <w:rPr>
          <w:rFonts w:ascii="Arial" w:hAnsi="Arial"/>
          <w:b/>
          <w:color w:val="282C34"/>
          <w:sz w:val="20"/>
        </w:rPr>
        <w:t xml:space="preserve">Competencia 2 - Gestión de Proyectos Informáticos: </w:t>
      </w:r>
      <w:r>
        <w:rPr>
          <w:rFonts w:ascii="Arial" w:hAnsi="Arial"/>
          <w:color w:val="282C34"/>
          <w:sz w:val="20"/>
        </w:rPr>
        <w:t>Se planifica y controla el proyecto mediante una metodología ágil escalativa (incremental), gestionando los riesgos normativos, la distribución de tareas técnicas en equipo y el seguimiento mediante tableros Kanban.</w:t>
      </w:r>
    </w:p>
    <w:p w14:paraId="7FF24B09" w14:textId="77777777" w:rsidR="005801B8" w:rsidRDefault="00000000">
      <w:pPr>
        <w:pStyle w:val="Listaconvietas"/>
        <w:spacing w:after="60"/>
        <w:jc w:val="both"/>
      </w:pPr>
      <w:r>
        <w:rPr>
          <w:rFonts w:ascii="Arial" w:hAnsi="Arial"/>
          <w:b/>
          <w:color w:val="282C34"/>
          <w:sz w:val="20"/>
        </w:rPr>
        <w:t xml:space="preserve">Competencia 3 - Construcción de Modelos de Datos Escalables: </w:t>
      </w:r>
      <w:r>
        <w:rPr>
          <w:rFonts w:ascii="Arial" w:hAnsi="Arial"/>
          <w:color w:val="282C34"/>
          <w:sz w:val="20"/>
        </w:rPr>
        <w:t>Se modelan estructuras de datos multi-tenant por Razón Social (`razonSocialId`) y registros temporales inmutables (`razonSocialId::year::month`), garantizando la escalabilidad futura y la inmutabilidad de los datos históricos de declaración.</w:t>
      </w:r>
    </w:p>
    <w:p w14:paraId="0D35A73C" w14:textId="77777777" w:rsidR="005801B8" w:rsidRDefault="00000000">
      <w:pPr>
        <w:pStyle w:val="Listaconvietas"/>
        <w:spacing w:after="60"/>
        <w:jc w:val="both"/>
      </w:pPr>
      <w:r>
        <w:rPr>
          <w:rFonts w:ascii="Arial" w:hAnsi="Arial"/>
          <w:b/>
          <w:color w:val="282C34"/>
          <w:sz w:val="20"/>
        </w:rPr>
        <w:t xml:space="preserve">Competencia 4 - Desarrollo e Integración de Soluciones de Software: </w:t>
      </w:r>
      <w:r>
        <w:rPr>
          <w:rFonts w:ascii="Arial" w:hAnsi="Arial"/>
          <w:color w:val="282C34"/>
          <w:sz w:val="20"/>
        </w:rPr>
        <w:t>Se construye una SPA desacoplada y fuertemente tipada en React 19, TypeScript estricto y Tailwind CSS, integrando librerías especializadas de manipulación de archivos (`exceljs` y `xlsx`).</w:t>
      </w:r>
    </w:p>
    <w:p w14:paraId="5E5D7226" w14:textId="77777777" w:rsidR="005801B8" w:rsidRDefault="00000000">
      <w:pPr>
        <w:keepNext/>
        <w:spacing w:before="280" w:after="80"/>
      </w:pPr>
      <w:r>
        <w:rPr>
          <w:rFonts w:ascii="Arial" w:hAnsi="Arial"/>
          <w:b/>
          <w:color w:val="0F4C81"/>
          <w:sz w:val="27"/>
        </w:rPr>
        <w:t>4. Relación con los Intereses Profesionales (IE 3 — Ponderación: 10%)</w:t>
      </w:r>
    </w:p>
    <w:p w14:paraId="41F11557" w14:textId="77777777" w:rsidR="005801B8" w:rsidRDefault="00000000">
      <w:pPr>
        <w:spacing w:after="100"/>
        <w:jc w:val="both"/>
      </w:pPr>
      <w:r>
        <w:rPr>
          <w:rFonts w:ascii="Arial" w:hAnsi="Arial"/>
          <w:color w:val="282C34"/>
          <w:sz w:val="20"/>
        </w:rPr>
        <w:t>El proyecto se alinea plenamente con la vocación técnica del equipo en las disciplinas de Arquitectura de Software B2B, Ingeniería de Datos y Desarrollo Web Moderno. Afrontar desafíos de alta exigencia algorítmica —como la ingesta de archivos no estructurados, el tipado estricto sin tipo `any` y la manipulación binaria de documentos OOXML— consolida habilidades indispensables para desempeñarse en la industria tecnológica como Ingenieros de Software y Líderes Técnicos.</w:t>
      </w:r>
    </w:p>
    <w:p w14:paraId="58CC75E8" w14:textId="77777777" w:rsidR="005801B8" w:rsidRDefault="00000000">
      <w:pPr>
        <w:keepNext/>
        <w:spacing w:before="280" w:after="80"/>
      </w:pPr>
      <w:r>
        <w:rPr>
          <w:rFonts w:ascii="Arial" w:hAnsi="Arial"/>
          <w:b/>
          <w:color w:val="0F4C81"/>
          <w:sz w:val="27"/>
        </w:rPr>
        <w:t>5. Factibilidad de Desarrollo y Mitigación de Riesgos (IE 4 — Ponderación: 10%)</w:t>
      </w:r>
    </w:p>
    <w:p w14:paraId="36D4342D" w14:textId="77777777" w:rsidR="005801B8" w:rsidRDefault="00000000">
      <w:pPr>
        <w:spacing w:after="100"/>
        <w:jc w:val="both"/>
      </w:pPr>
      <w:r>
        <w:rPr>
          <w:rFonts w:ascii="Arial" w:hAnsi="Arial"/>
          <w:color w:val="282C34"/>
          <w:sz w:val="20"/>
        </w:rPr>
        <w:t>La viabilidad del proyecto dentro del marco de la asignatura Capstone se fundamenta en tres factores:</w:t>
      </w:r>
    </w:p>
    <w:p w14:paraId="05E27599" w14:textId="77777777" w:rsidR="005801B8" w:rsidRDefault="00000000">
      <w:pPr>
        <w:pStyle w:val="Listaconvietas"/>
        <w:spacing w:after="60"/>
        <w:jc w:val="both"/>
      </w:pPr>
      <w:r>
        <w:rPr>
          <w:rFonts w:ascii="Arial" w:hAnsi="Arial"/>
          <w:b/>
          <w:color w:val="282C34"/>
          <w:sz w:val="20"/>
        </w:rPr>
        <w:t xml:space="preserve">Viabilidad Temporal y Recursos: </w:t>
      </w:r>
      <w:r>
        <w:rPr>
          <w:rFonts w:ascii="Arial" w:hAnsi="Arial"/>
          <w:color w:val="282C34"/>
          <w:sz w:val="20"/>
        </w:rPr>
        <w:t>La carga semestral y las sesiones de taller son suficientes gracias a la estructuración por fases incrementales. Se cuenta con un stack ágil (React 19, Vite, TypeScript) y herramientas avanzadas de desarrollo asistido (Cursor IDE).</w:t>
      </w:r>
    </w:p>
    <w:p w14:paraId="5BC61A7D" w14:textId="77777777" w:rsidR="005801B8" w:rsidRDefault="00000000">
      <w:pPr>
        <w:pStyle w:val="Listaconvietas"/>
        <w:spacing w:after="60"/>
        <w:jc w:val="both"/>
      </w:pPr>
      <w:r>
        <w:rPr>
          <w:rFonts w:ascii="Arial" w:hAnsi="Arial"/>
          <w:b/>
          <w:color w:val="282C34"/>
          <w:sz w:val="20"/>
        </w:rPr>
        <w:t xml:space="preserve">Facilitadores Externos: </w:t>
      </w:r>
      <w:r>
        <w:rPr>
          <w:rFonts w:ascii="Arial" w:hAnsi="Arial"/>
          <w:color w:val="282C34"/>
          <w:sz w:val="20"/>
        </w:rPr>
        <w:t>Disponibilidad de la documentación oficial de la Ley REP, las plantillas vigentes de ReSimple y libros de ventas reales suministrados por empresas del sector (ej. Prinorte).</w:t>
      </w:r>
    </w:p>
    <w:p w14:paraId="59F3182F" w14:textId="77777777" w:rsidR="005801B8" w:rsidRDefault="00000000">
      <w:pPr>
        <w:pStyle w:val="Listaconvietas"/>
        <w:spacing w:after="60"/>
        <w:jc w:val="both"/>
      </w:pPr>
      <w:r>
        <w:rPr>
          <w:rFonts w:ascii="Arial" w:hAnsi="Arial"/>
          <w:b/>
          <w:color w:val="282C34"/>
          <w:sz w:val="20"/>
        </w:rPr>
        <w:t xml:space="preserve">Obstaculizadores y Plan de Mitigación: </w:t>
      </w:r>
      <w:r>
        <w:rPr>
          <w:rFonts w:ascii="Arial" w:hAnsi="Arial"/>
          <w:color w:val="282C34"/>
          <w:sz w:val="20"/>
        </w:rPr>
        <w:t>Las plantillas de ReSimple presentan variaciones estructurales y desalineaciones entre filas DOM y NO DOM. Esto se mitiga mediante un módulo de normalización agresiva de texto (`normalizeText`) y registros de índices independientes (`domIndexRegistry` y `noDomIndexRegistry`).</w:t>
      </w:r>
    </w:p>
    <w:p w14:paraId="5DF396B1" w14:textId="77777777" w:rsidR="005801B8" w:rsidRDefault="00000000">
      <w:pPr>
        <w:keepNext/>
        <w:spacing w:before="280" w:after="80"/>
      </w:pPr>
      <w:r>
        <w:rPr>
          <w:rFonts w:ascii="Arial" w:hAnsi="Arial"/>
          <w:b/>
          <w:color w:val="0F4C81"/>
          <w:sz w:val="27"/>
        </w:rPr>
        <w:lastRenderedPageBreak/>
        <w:t>6. Cumplimiento de Indicadores de Calidad Disciplinarios (IE 5 — Ponderación: 50%)</w:t>
      </w:r>
    </w:p>
    <w:p w14:paraId="64E8F969" w14:textId="77777777" w:rsidR="005801B8" w:rsidRDefault="00000000">
      <w:pPr>
        <w:spacing w:after="100"/>
        <w:jc w:val="both"/>
      </w:pPr>
      <w:r>
        <w:rPr>
          <w:rFonts w:ascii="Arial" w:hAnsi="Arial"/>
          <w:color w:val="282C34"/>
          <w:sz w:val="20"/>
        </w:rPr>
        <w:t>Esta sección detalla el cumplimiento riguroso del 100% de los estándares de calidad definidos por la Escuela de Informática para evaluar las competencias del perfil de egreso en el diseño del software:</w:t>
      </w:r>
    </w:p>
    <w:tbl>
      <w:tblPr>
        <w:tblW w:w="0" w:type="auto"/>
        <w:jc w:val="center"/>
        <w:tblLook w:val="04A0" w:firstRow="1" w:lastRow="0" w:firstColumn="1" w:lastColumn="0" w:noHBand="0" w:noVBand="1"/>
      </w:tblPr>
      <w:tblGrid>
        <w:gridCol w:w="3120"/>
        <w:gridCol w:w="3120"/>
        <w:gridCol w:w="3120"/>
      </w:tblGrid>
      <w:tr w:rsidR="005801B8" w14:paraId="57046067" w14:textId="77777777">
        <w:trPr>
          <w:jc w:val="center"/>
        </w:trPr>
        <w:tc>
          <w:tcPr>
            <w:tcW w:w="3120" w:type="dxa"/>
            <w:shd w:val="clear" w:color="auto" w:fill="10955B"/>
            <w:tcMar>
              <w:top w:w="70" w:type="dxa"/>
              <w:left w:w="90" w:type="dxa"/>
              <w:bottom w:w="70" w:type="dxa"/>
              <w:right w:w="90" w:type="dxa"/>
            </w:tcMar>
          </w:tcPr>
          <w:p w14:paraId="58B52DAD" w14:textId="77777777" w:rsidR="005801B8" w:rsidRDefault="00000000">
            <w:r>
              <w:rPr>
                <w:rFonts w:ascii="Arial" w:hAnsi="Arial"/>
                <w:b/>
                <w:color w:val="FFFFFF"/>
                <w:sz w:val="17"/>
              </w:rPr>
              <w:t>Competencia Perfil de Egreso</w:t>
            </w:r>
          </w:p>
        </w:tc>
        <w:tc>
          <w:tcPr>
            <w:tcW w:w="3120" w:type="dxa"/>
            <w:shd w:val="clear" w:color="auto" w:fill="10955B"/>
            <w:tcMar>
              <w:top w:w="70" w:type="dxa"/>
              <w:left w:w="90" w:type="dxa"/>
              <w:bottom w:w="70" w:type="dxa"/>
              <w:right w:w="90" w:type="dxa"/>
            </w:tcMar>
          </w:tcPr>
          <w:p w14:paraId="39A61B57" w14:textId="77777777" w:rsidR="005801B8" w:rsidRDefault="00000000">
            <w:r>
              <w:rPr>
                <w:rFonts w:ascii="Arial" w:hAnsi="Arial"/>
                <w:b/>
                <w:color w:val="FFFFFF"/>
                <w:sz w:val="17"/>
              </w:rPr>
              <w:t>Indicador de Calidad</w:t>
            </w:r>
          </w:p>
        </w:tc>
        <w:tc>
          <w:tcPr>
            <w:tcW w:w="3120" w:type="dxa"/>
            <w:shd w:val="clear" w:color="auto" w:fill="10955B"/>
            <w:tcMar>
              <w:top w:w="70" w:type="dxa"/>
              <w:left w:w="90" w:type="dxa"/>
              <w:bottom w:w="70" w:type="dxa"/>
              <w:right w:w="90" w:type="dxa"/>
            </w:tcMar>
          </w:tcPr>
          <w:p w14:paraId="3473BC1C" w14:textId="77777777" w:rsidR="005801B8" w:rsidRDefault="00000000">
            <w:r>
              <w:rPr>
                <w:rFonts w:ascii="Arial" w:hAnsi="Arial"/>
                <w:b/>
                <w:color w:val="FFFFFF"/>
                <w:sz w:val="17"/>
              </w:rPr>
              <w:t>Evidencia y Aplicación de Ingeniería en el Proyecto</w:t>
            </w:r>
          </w:p>
        </w:tc>
      </w:tr>
      <w:tr w:rsidR="005801B8" w14:paraId="1A87977A" w14:textId="77777777">
        <w:trPr>
          <w:jc w:val="center"/>
        </w:trPr>
        <w:tc>
          <w:tcPr>
            <w:tcW w:w="3120" w:type="dxa"/>
            <w:shd w:val="clear" w:color="auto" w:fill="F9FAFB"/>
            <w:tcMar>
              <w:top w:w="50" w:type="dxa"/>
              <w:left w:w="70" w:type="dxa"/>
              <w:bottom w:w="50" w:type="dxa"/>
              <w:right w:w="70" w:type="dxa"/>
            </w:tcMar>
          </w:tcPr>
          <w:p w14:paraId="5DF32E47" w14:textId="77777777" w:rsidR="005801B8" w:rsidRDefault="00000000">
            <w:r>
              <w:rPr>
                <w:rFonts w:ascii="Arial" w:hAnsi="Arial"/>
                <w:sz w:val="16"/>
              </w:rPr>
              <w:t>1. Pruebas de Certificación</w:t>
            </w:r>
          </w:p>
        </w:tc>
        <w:tc>
          <w:tcPr>
            <w:tcW w:w="3120" w:type="dxa"/>
            <w:shd w:val="clear" w:color="auto" w:fill="F9FAFB"/>
            <w:tcMar>
              <w:top w:w="50" w:type="dxa"/>
              <w:left w:w="70" w:type="dxa"/>
              <w:bottom w:w="50" w:type="dxa"/>
              <w:right w:w="70" w:type="dxa"/>
            </w:tcMar>
          </w:tcPr>
          <w:p w14:paraId="554331FC" w14:textId="77777777" w:rsidR="005801B8" w:rsidRDefault="00000000">
            <w:r>
              <w:rPr>
                <w:rFonts w:ascii="Arial" w:hAnsi="Arial"/>
                <w:sz w:val="16"/>
              </w:rPr>
              <w:t>1.1 Diseña pruebas de validación según buenas prácticas.</w:t>
            </w:r>
          </w:p>
        </w:tc>
        <w:tc>
          <w:tcPr>
            <w:tcW w:w="3120" w:type="dxa"/>
            <w:shd w:val="clear" w:color="auto" w:fill="F9FAFB"/>
            <w:tcMar>
              <w:top w:w="50" w:type="dxa"/>
              <w:left w:w="70" w:type="dxa"/>
              <w:bottom w:w="50" w:type="dxa"/>
              <w:right w:w="70" w:type="dxa"/>
            </w:tcMar>
          </w:tcPr>
          <w:p w14:paraId="0DE1625F" w14:textId="77777777" w:rsidR="005801B8" w:rsidRDefault="00000000">
            <w:r>
              <w:rPr>
                <w:rFonts w:ascii="Arial" w:hAnsi="Arial"/>
                <w:sz w:val="16"/>
              </w:rPr>
              <w:t>Diseño de un plan de pruebas de caja negra que somete al motor a escenarios reales con volúmenes masivos de líneas de venta.</w:t>
            </w:r>
          </w:p>
        </w:tc>
      </w:tr>
      <w:tr w:rsidR="005801B8" w14:paraId="70B82FAA" w14:textId="77777777">
        <w:trPr>
          <w:jc w:val="center"/>
        </w:trPr>
        <w:tc>
          <w:tcPr>
            <w:tcW w:w="3120" w:type="dxa"/>
            <w:shd w:val="clear" w:color="auto" w:fill="FFFFFF"/>
            <w:tcMar>
              <w:top w:w="50" w:type="dxa"/>
              <w:left w:w="70" w:type="dxa"/>
              <w:bottom w:w="50" w:type="dxa"/>
              <w:right w:w="70" w:type="dxa"/>
            </w:tcMar>
          </w:tcPr>
          <w:p w14:paraId="5ECAE94D" w14:textId="77777777" w:rsidR="005801B8" w:rsidRDefault="00000000">
            <w:r>
              <w:rPr>
                <w:rFonts w:ascii="Arial" w:hAnsi="Arial"/>
                <w:sz w:val="16"/>
              </w:rPr>
              <w:t>1. Pruebas de Certificación</w:t>
            </w:r>
          </w:p>
        </w:tc>
        <w:tc>
          <w:tcPr>
            <w:tcW w:w="3120" w:type="dxa"/>
            <w:shd w:val="clear" w:color="auto" w:fill="FFFFFF"/>
            <w:tcMar>
              <w:top w:w="50" w:type="dxa"/>
              <w:left w:w="70" w:type="dxa"/>
              <w:bottom w:w="50" w:type="dxa"/>
              <w:right w:w="70" w:type="dxa"/>
            </w:tcMar>
          </w:tcPr>
          <w:p w14:paraId="296521D7" w14:textId="77777777" w:rsidR="005801B8" w:rsidRDefault="00000000">
            <w:r>
              <w:rPr>
                <w:rFonts w:ascii="Arial" w:hAnsi="Arial"/>
                <w:sz w:val="16"/>
              </w:rPr>
              <w:t>1.2 Aplica pruebas de validación de productos y procesos.</w:t>
            </w:r>
          </w:p>
        </w:tc>
        <w:tc>
          <w:tcPr>
            <w:tcW w:w="3120" w:type="dxa"/>
            <w:shd w:val="clear" w:color="auto" w:fill="FFFFFF"/>
            <w:tcMar>
              <w:top w:w="50" w:type="dxa"/>
              <w:left w:w="70" w:type="dxa"/>
              <w:bottom w:w="50" w:type="dxa"/>
              <w:right w:w="70" w:type="dxa"/>
            </w:tcMar>
          </w:tcPr>
          <w:p w14:paraId="27CFFA0B" w14:textId="77777777" w:rsidR="005801B8" w:rsidRDefault="00000000">
            <w:r>
              <w:rPr>
                <w:rFonts w:ascii="Arial" w:hAnsi="Arial"/>
                <w:sz w:val="16"/>
              </w:rPr>
              <w:t>Ejecución de validación cruzada contra la macro corporativa de Mayo 2026, verificando cada decimal de materialidad acumulada.</w:t>
            </w:r>
          </w:p>
        </w:tc>
      </w:tr>
      <w:tr w:rsidR="005801B8" w14:paraId="13896BEE" w14:textId="77777777">
        <w:trPr>
          <w:jc w:val="center"/>
        </w:trPr>
        <w:tc>
          <w:tcPr>
            <w:tcW w:w="3120" w:type="dxa"/>
            <w:shd w:val="clear" w:color="auto" w:fill="F9FAFB"/>
            <w:tcMar>
              <w:top w:w="50" w:type="dxa"/>
              <w:left w:w="70" w:type="dxa"/>
              <w:bottom w:w="50" w:type="dxa"/>
              <w:right w:w="70" w:type="dxa"/>
            </w:tcMar>
          </w:tcPr>
          <w:p w14:paraId="65098B62" w14:textId="77777777" w:rsidR="005801B8" w:rsidRDefault="00000000">
            <w:r>
              <w:rPr>
                <w:rFonts w:ascii="Arial" w:hAnsi="Arial"/>
                <w:sz w:val="16"/>
              </w:rPr>
              <w:t>1. Pruebas de Certificación</w:t>
            </w:r>
          </w:p>
        </w:tc>
        <w:tc>
          <w:tcPr>
            <w:tcW w:w="3120" w:type="dxa"/>
            <w:shd w:val="clear" w:color="auto" w:fill="F9FAFB"/>
            <w:tcMar>
              <w:top w:w="50" w:type="dxa"/>
              <w:left w:w="70" w:type="dxa"/>
              <w:bottom w:w="50" w:type="dxa"/>
              <w:right w:w="70" w:type="dxa"/>
            </w:tcMar>
          </w:tcPr>
          <w:p w14:paraId="3A352DE8" w14:textId="77777777" w:rsidR="005801B8" w:rsidRDefault="00000000">
            <w:r>
              <w:rPr>
                <w:rFonts w:ascii="Arial" w:hAnsi="Arial"/>
                <w:sz w:val="16"/>
              </w:rPr>
              <w:t>1.3 Desarrolla mejoras al producto en base a resultados.</w:t>
            </w:r>
          </w:p>
        </w:tc>
        <w:tc>
          <w:tcPr>
            <w:tcW w:w="3120" w:type="dxa"/>
            <w:shd w:val="clear" w:color="auto" w:fill="F9FAFB"/>
            <w:tcMar>
              <w:top w:w="50" w:type="dxa"/>
              <w:left w:w="70" w:type="dxa"/>
              <w:bottom w:w="50" w:type="dxa"/>
              <w:right w:w="70" w:type="dxa"/>
            </w:tcMar>
          </w:tcPr>
          <w:p w14:paraId="252EE810" w14:textId="77777777" w:rsidR="005801B8" w:rsidRDefault="00000000">
            <w:r>
              <w:rPr>
                <w:rFonts w:ascii="Arial" w:hAnsi="Arial"/>
                <w:sz w:val="16"/>
              </w:rPr>
              <w:t>Corrección de la regla de conversión para ratios No Domiciliarios (invirtiendo el cálculo a `1 - pct`) y desacoplamiento de filas DOM/NO DOM.</w:t>
            </w:r>
          </w:p>
        </w:tc>
      </w:tr>
      <w:tr w:rsidR="005801B8" w14:paraId="4518F882" w14:textId="77777777">
        <w:trPr>
          <w:jc w:val="center"/>
        </w:trPr>
        <w:tc>
          <w:tcPr>
            <w:tcW w:w="3120" w:type="dxa"/>
            <w:shd w:val="clear" w:color="auto" w:fill="FFFFFF"/>
            <w:tcMar>
              <w:top w:w="50" w:type="dxa"/>
              <w:left w:w="70" w:type="dxa"/>
              <w:bottom w:w="50" w:type="dxa"/>
              <w:right w:w="70" w:type="dxa"/>
            </w:tcMar>
          </w:tcPr>
          <w:p w14:paraId="19FE5331" w14:textId="77777777" w:rsidR="005801B8" w:rsidRDefault="00000000">
            <w:r>
              <w:rPr>
                <w:rFonts w:ascii="Arial" w:hAnsi="Arial"/>
                <w:sz w:val="16"/>
              </w:rPr>
              <w:t>2. Gestión de Proyectos</w:t>
            </w:r>
          </w:p>
        </w:tc>
        <w:tc>
          <w:tcPr>
            <w:tcW w:w="3120" w:type="dxa"/>
            <w:shd w:val="clear" w:color="auto" w:fill="FFFFFF"/>
            <w:tcMar>
              <w:top w:w="50" w:type="dxa"/>
              <w:left w:w="70" w:type="dxa"/>
              <w:bottom w:w="50" w:type="dxa"/>
              <w:right w:w="70" w:type="dxa"/>
            </w:tcMar>
          </w:tcPr>
          <w:p w14:paraId="4CCA4E73" w14:textId="77777777" w:rsidR="005801B8" w:rsidRDefault="00000000">
            <w:r>
              <w:rPr>
                <w:rFonts w:ascii="Arial" w:hAnsi="Arial"/>
                <w:sz w:val="16"/>
              </w:rPr>
              <w:t>2.1 Planifica proyectos ofreciendo alternativas de decisión.</w:t>
            </w:r>
          </w:p>
        </w:tc>
        <w:tc>
          <w:tcPr>
            <w:tcW w:w="3120" w:type="dxa"/>
            <w:shd w:val="clear" w:color="auto" w:fill="FFFFFF"/>
            <w:tcMar>
              <w:top w:w="50" w:type="dxa"/>
              <w:left w:w="70" w:type="dxa"/>
              <w:bottom w:w="50" w:type="dxa"/>
              <w:right w:w="70" w:type="dxa"/>
            </w:tcMar>
          </w:tcPr>
          <w:p w14:paraId="08306ED8" w14:textId="77777777" w:rsidR="005801B8" w:rsidRDefault="00000000">
            <w:r>
              <w:rPr>
                <w:rFonts w:ascii="Arial" w:hAnsi="Arial"/>
                <w:sz w:val="16"/>
              </w:rPr>
              <w:t>Estructuración del desarrollo en una metodología escalativa de 4 escalones, priorizando hitos críticos de cálculo.</w:t>
            </w:r>
          </w:p>
        </w:tc>
      </w:tr>
      <w:tr w:rsidR="005801B8" w14:paraId="6DC8DB67" w14:textId="77777777">
        <w:trPr>
          <w:jc w:val="center"/>
        </w:trPr>
        <w:tc>
          <w:tcPr>
            <w:tcW w:w="3120" w:type="dxa"/>
            <w:shd w:val="clear" w:color="auto" w:fill="F9FAFB"/>
            <w:tcMar>
              <w:top w:w="50" w:type="dxa"/>
              <w:left w:w="70" w:type="dxa"/>
              <w:bottom w:w="50" w:type="dxa"/>
              <w:right w:w="70" w:type="dxa"/>
            </w:tcMar>
          </w:tcPr>
          <w:p w14:paraId="6A027B3A" w14:textId="77777777" w:rsidR="005801B8" w:rsidRDefault="00000000">
            <w:r>
              <w:rPr>
                <w:rFonts w:ascii="Arial" w:hAnsi="Arial"/>
                <w:sz w:val="16"/>
              </w:rPr>
              <w:t>2. Gestión de Proyectos</w:t>
            </w:r>
          </w:p>
        </w:tc>
        <w:tc>
          <w:tcPr>
            <w:tcW w:w="3120" w:type="dxa"/>
            <w:shd w:val="clear" w:color="auto" w:fill="F9FAFB"/>
            <w:tcMar>
              <w:top w:w="50" w:type="dxa"/>
              <w:left w:w="70" w:type="dxa"/>
              <w:bottom w:w="50" w:type="dxa"/>
              <w:right w:w="70" w:type="dxa"/>
            </w:tcMar>
          </w:tcPr>
          <w:p w14:paraId="7C3E3E67" w14:textId="77777777" w:rsidR="005801B8" w:rsidRDefault="00000000">
            <w:r>
              <w:rPr>
                <w:rFonts w:ascii="Arial" w:hAnsi="Arial"/>
                <w:sz w:val="16"/>
              </w:rPr>
              <w:t>2.2 Controla proyectos para la toma de decisiones.</w:t>
            </w:r>
          </w:p>
        </w:tc>
        <w:tc>
          <w:tcPr>
            <w:tcW w:w="3120" w:type="dxa"/>
            <w:shd w:val="clear" w:color="auto" w:fill="F9FAFB"/>
            <w:tcMar>
              <w:top w:w="50" w:type="dxa"/>
              <w:left w:w="70" w:type="dxa"/>
              <w:bottom w:w="50" w:type="dxa"/>
              <w:right w:w="70" w:type="dxa"/>
            </w:tcMar>
          </w:tcPr>
          <w:p w14:paraId="7AECE98E" w14:textId="77777777" w:rsidR="005801B8" w:rsidRDefault="00000000">
            <w:r>
              <w:rPr>
                <w:rFonts w:ascii="Arial" w:hAnsi="Arial"/>
                <w:sz w:val="16"/>
              </w:rPr>
              <w:t>Monitoreo continuo de tareas mediante tablero Kanban, control de versiones en Git y gestión proactiva de deuda técnica.</w:t>
            </w:r>
          </w:p>
        </w:tc>
      </w:tr>
      <w:tr w:rsidR="005801B8" w14:paraId="76B27218" w14:textId="77777777">
        <w:trPr>
          <w:jc w:val="center"/>
        </w:trPr>
        <w:tc>
          <w:tcPr>
            <w:tcW w:w="3120" w:type="dxa"/>
            <w:shd w:val="clear" w:color="auto" w:fill="FFFFFF"/>
            <w:tcMar>
              <w:top w:w="50" w:type="dxa"/>
              <w:left w:w="70" w:type="dxa"/>
              <w:bottom w:w="50" w:type="dxa"/>
              <w:right w:w="70" w:type="dxa"/>
            </w:tcMar>
          </w:tcPr>
          <w:p w14:paraId="4D95F122" w14:textId="77777777" w:rsidR="005801B8" w:rsidRDefault="00000000">
            <w:r>
              <w:rPr>
                <w:rFonts w:ascii="Arial" w:hAnsi="Arial"/>
                <w:sz w:val="16"/>
              </w:rPr>
              <w:t>3. Modelos de Datos</w:t>
            </w:r>
          </w:p>
        </w:tc>
        <w:tc>
          <w:tcPr>
            <w:tcW w:w="3120" w:type="dxa"/>
            <w:shd w:val="clear" w:color="auto" w:fill="FFFFFF"/>
            <w:tcMar>
              <w:top w:w="50" w:type="dxa"/>
              <w:left w:w="70" w:type="dxa"/>
              <w:bottom w:w="50" w:type="dxa"/>
              <w:right w:w="70" w:type="dxa"/>
            </w:tcMar>
          </w:tcPr>
          <w:p w14:paraId="0C5082CA" w14:textId="77777777" w:rsidR="005801B8" w:rsidRDefault="00000000">
            <w:r>
              <w:rPr>
                <w:rFonts w:ascii="Arial" w:hAnsi="Arial"/>
                <w:sz w:val="16"/>
              </w:rPr>
              <w:t>3.1 Diseña modelos de datos definidos y escalables.</w:t>
            </w:r>
          </w:p>
        </w:tc>
        <w:tc>
          <w:tcPr>
            <w:tcW w:w="3120" w:type="dxa"/>
            <w:shd w:val="clear" w:color="auto" w:fill="FFFFFF"/>
            <w:tcMar>
              <w:top w:w="50" w:type="dxa"/>
              <w:left w:w="70" w:type="dxa"/>
              <w:bottom w:w="50" w:type="dxa"/>
              <w:right w:w="70" w:type="dxa"/>
            </w:tcMar>
          </w:tcPr>
          <w:p w14:paraId="07B64645" w14:textId="77777777" w:rsidR="005801B8" w:rsidRDefault="00000000">
            <w:r>
              <w:rPr>
                <w:rFonts w:ascii="Arial" w:hAnsi="Arial"/>
                <w:sz w:val="16"/>
              </w:rPr>
              <w:t>Modelado conceptual multi-tenant (`RazonSocial`) con snapshots inmutables (`razonSocialId::year::month`) y contratos tipados.</w:t>
            </w:r>
          </w:p>
        </w:tc>
      </w:tr>
      <w:tr w:rsidR="005801B8" w14:paraId="7B604B71" w14:textId="77777777">
        <w:trPr>
          <w:jc w:val="center"/>
        </w:trPr>
        <w:tc>
          <w:tcPr>
            <w:tcW w:w="3120" w:type="dxa"/>
            <w:shd w:val="clear" w:color="auto" w:fill="F9FAFB"/>
            <w:tcMar>
              <w:top w:w="50" w:type="dxa"/>
              <w:left w:w="70" w:type="dxa"/>
              <w:bottom w:w="50" w:type="dxa"/>
              <w:right w:w="70" w:type="dxa"/>
            </w:tcMar>
          </w:tcPr>
          <w:p w14:paraId="36D0094A" w14:textId="77777777" w:rsidR="005801B8" w:rsidRDefault="00000000">
            <w:r>
              <w:rPr>
                <w:rFonts w:ascii="Arial" w:hAnsi="Arial"/>
                <w:sz w:val="16"/>
              </w:rPr>
              <w:t>3. Modelos de Datos</w:t>
            </w:r>
          </w:p>
        </w:tc>
        <w:tc>
          <w:tcPr>
            <w:tcW w:w="3120" w:type="dxa"/>
            <w:shd w:val="clear" w:color="auto" w:fill="F9FAFB"/>
            <w:tcMar>
              <w:top w:w="50" w:type="dxa"/>
              <w:left w:w="70" w:type="dxa"/>
              <w:bottom w:w="50" w:type="dxa"/>
              <w:right w:w="70" w:type="dxa"/>
            </w:tcMar>
          </w:tcPr>
          <w:p w14:paraId="66013E69" w14:textId="77777777" w:rsidR="005801B8" w:rsidRDefault="00000000">
            <w:r>
              <w:rPr>
                <w:rFonts w:ascii="Arial" w:hAnsi="Arial"/>
                <w:sz w:val="16"/>
              </w:rPr>
              <w:t>3.2 Implementa modelos de datos según diseño.</w:t>
            </w:r>
          </w:p>
        </w:tc>
        <w:tc>
          <w:tcPr>
            <w:tcW w:w="3120" w:type="dxa"/>
            <w:shd w:val="clear" w:color="auto" w:fill="F9FAFB"/>
            <w:tcMar>
              <w:top w:w="50" w:type="dxa"/>
              <w:left w:w="70" w:type="dxa"/>
              <w:bottom w:w="50" w:type="dxa"/>
              <w:right w:w="70" w:type="dxa"/>
            </w:tcMar>
          </w:tcPr>
          <w:p w14:paraId="58C43CE0" w14:textId="77777777" w:rsidR="005801B8" w:rsidRDefault="00000000">
            <w:r>
              <w:rPr>
                <w:rFonts w:ascii="Arial" w:hAnsi="Arial"/>
                <w:sz w:val="16"/>
              </w:rPr>
              <w:t>Implementación en TypeScript de interfaces estandarizadas (`ProductSku`, `RepMatrixEntry`) y persistencia local desacoplada.</w:t>
            </w:r>
          </w:p>
        </w:tc>
      </w:tr>
      <w:tr w:rsidR="005801B8" w14:paraId="381BA93B" w14:textId="77777777">
        <w:trPr>
          <w:jc w:val="center"/>
        </w:trPr>
        <w:tc>
          <w:tcPr>
            <w:tcW w:w="3120" w:type="dxa"/>
            <w:shd w:val="clear" w:color="auto" w:fill="FFFFFF"/>
            <w:tcMar>
              <w:top w:w="50" w:type="dxa"/>
              <w:left w:w="70" w:type="dxa"/>
              <w:bottom w:w="50" w:type="dxa"/>
              <w:right w:w="70" w:type="dxa"/>
            </w:tcMar>
          </w:tcPr>
          <w:p w14:paraId="383B27BC" w14:textId="77777777" w:rsidR="005801B8" w:rsidRDefault="00000000">
            <w:r>
              <w:rPr>
                <w:rFonts w:ascii="Arial" w:hAnsi="Arial"/>
                <w:sz w:val="16"/>
              </w:rPr>
              <w:t>4. Solución de Software</w:t>
            </w:r>
          </w:p>
        </w:tc>
        <w:tc>
          <w:tcPr>
            <w:tcW w:w="3120" w:type="dxa"/>
            <w:shd w:val="clear" w:color="auto" w:fill="FFFFFF"/>
            <w:tcMar>
              <w:top w:w="50" w:type="dxa"/>
              <w:left w:w="70" w:type="dxa"/>
              <w:bottom w:w="50" w:type="dxa"/>
              <w:right w:w="70" w:type="dxa"/>
            </w:tcMar>
          </w:tcPr>
          <w:p w14:paraId="50703089" w14:textId="77777777" w:rsidR="005801B8" w:rsidRDefault="00000000">
            <w:r>
              <w:rPr>
                <w:rFonts w:ascii="Arial" w:hAnsi="Arial"/>
                <w:sz w:val="16"/>
              </w:rPr>
              <w:t>4.1 Construye solución sistematizando el desarrollo.</w:t>
            </w:r>
          </w:p>
        </w:tc>
        <w:tc>
          <w:tcPr>
            <w:tcW w:w="3120" w:type="dxa"/>
            <w:shd w:val="clear" w:color="auto" w:fill="FFFFFF"/>
            <w:tcMar>
              <w:top w:w="50" w:type="dxa"/>
              <w:left w:w="70" w:type="dxa"/>
              <w:bottom w:w="50" w:type="dxa"/>
              <w:right w:w="70" w:type="dxa"/>
            </w:tcMar>
          </w:tcPr>
          <w:p w14:paraId="7B02DE6B" w14:textId="77777777" w:rsidR="005801B8" w:rsidRDefault="00000000">
            <w:r>
              <w:rPr>
                <w:rFonts w:ascii="Arial" w:hAnsi="Arial"/>
                <w:sz w:val="16"/>
              </w:rPr>
              <w:t>Construcción de una SPA en React 19 y Vite con separación estricta de responsabilidades entre lógica (`lib/`) y presentación (`components/`).</w:t>
            </w:r>
          </w:p>
        </w:tc>
      </w:tr>
      <w:tr w:rsidR="005801B8" w14:paraId="448993A1" w14:textId="77777777">
        <w:trPr>
          <w:jc w:val="center"/>
        </w:trPr>
        <w:tc>
          <w:tcPr>
            <w:tcW w:w="3120" w:type="dxa"/>
            <w:shd w:val="clear" w:color="auto" w:fill="F9FAFB"/>
            <w:tcMar>
              <w:top w:w="50" w:type="dxa"/>
              <w:left w:w="70" w:type="dxa"/>
              <w:bottom w:w="50" w:type="dxa"/>
              <w:right w:w="70" w:type="dxa"/>
            </w:tcMar>
          </w:tcPr>
          <w:p w14:paraId="183807BD" w14:textId="77777777" w:rsidR="005801B8" w:rsidRDefault="00000000">
            <w:r>
              <w:rPr>
                <w:rFonts w:ascii="Arial" w:hAnsi="Arial"/>
                <w:sz w:val="16"/>
              </w:rPr>
              <w:t>4. Solución de Software</w:t>
            </w:r>
          </w:p>
        </w:tc>
        <w:tc>
          <w:tcPr>
            <w:tcW w:w="3120" w:type="dxa"/>
            <w:shd w:val="clear" w:color="auto" w:fill="F9FAFB"/>
            <w:tcMar>
              <w:top w:w="50" w:type="dxa"/>
              <w:left w:w="70" w:type="dxa"/>
              <w:bottom w:w="50" w:type="dxa"/>
              <w:right w:w="70" w:type="dxa"/>
            </w:tcMar>
          </w:tcPr>
          <w:p w14:paraId="388DA631" w14:textId="77777777" w:rsidR="005801B8" w:rsidRDefault="00000000">
            <w:r>
              <w:rPr>
                <w:rFonts w:ascii="Arial" w:hAnsi="Arial"/>
                <w:sz w:val="16"/>
              </w:rPr>
              <w:t>4.2 Integra distintos componentes de software.</w:t>
            </w:r>
          </w:p>
        </w:tc>
        <w:tc>
          <w:tcPr>
            <w:tcW w:w="3120" w:type="dxa"/>
            <w:shd w:val="clear" w:color="auto" w:fill="F9FAFB"/>
            <w:tcMar>
              <w:top w:w="50" w:type="dxa"/>
              <w:left w:w="70" w:type="dxa"/>
              <w:bottom w:w="50" w:type="dxa"/>
              <w:right w:w="70" w:type="dxa"/>
            </w:tcMar>
          </w:tcPr>
          <w:p w14:paraId="2D2D790C" w14:textId="77777777" w:rsidR="005801B8" w:rsidRDefault="00000000">
            <w:r>
              <w:rPr>
                <w:rFonts w:ascii="Arial" w:hAnsi="Arial"/>
                <w:sz w:val="16"/>
              </w:rPr>
              <w:t>Integración sinérgica de componentes UI (Tailwind 4, Lucide), parsers de hojas de cálculo (SheetJS) y generadores binarios (ExcelJS).</w:t>
            </w:r>
          </w:p>
        </w:tc>
      </w:tr>
      <w:tr w:rsidR="005801B8" w14:paraId="1C889012" w14:textId="77777777">
        <w:trPr>
          <w:jc w:val="center"/>
        </w:trPr>
        <w:tc>
          <w:tcPr>
            <w:tcW w:w="3120" w:type="dxa"/>
            <w:shd w:val="clear" w:color="auto" w:fill="FFFFFF"/>
            <w:tcMar>
              <w:top w:w="50" w:type="dxa"/>
              <w:left w:w="70" w:type="dxa"/>
              <w:bottom w:w="50" w:type="dxa"/>
              <w:right w:w="70" w:type="dxa"/>
            </w:tcMar>
          </w:tcPr>
          <w:p w14:paraId="6CF17242" w14:textId="77777777" w:rsidR="005801B8" w:rsidRDefault="00000000">
            <w:r>
              <w:rPr>
                <w:rFonts w:ascii="Arial" w:hAnsi="Arial"/>
                <w:sz w:val="16"/>
              </w:rPr>
              <w:t>4. Solución de Software</w:t>
            </w:r>
          </w:p>
        </w:tc>
        <w:tc>
          <w:tcPr>
            <w:tcW w:w="3120" w:type="dxa"/>
            <w:shd w:val="clear" w:color="auto" w:fill="FFFFFF"/>
            <w:tcMar>
              <w:top w:w="50" w:type="dxa"/>
              <w:left w:w="70" w:type="dxa"/>
              <w:bottom w:w="50" w:type="dxa"/>
              <w:right w:w="70" w:type="dxa"/>
            </w:tcMar>
          </w:tcPr>
          <w:p w14:paraId="05B947F7" w14:textId="77777777" w:rsidR="005801B8" w:rsidRDefault="00000000">
            <w:r>
              <w:rPr>
                <w:rFonts w:ascii="Arial" w:hAnsi="Arial"/>
                <w:sz w:val="16"/>
              </w:rPr>
              <w:t>4.3 Implanta una solución asegurando objetivos.</w:t>
            </w:r>
          </w:p>
        </w:tc>
        <w:tc>
          <w:tcPr>
            <w:tcW w:w="3120" w:type="dxa"/>
            <w:shd w:val="clear" w:color="auto" w:fill="FFFFFF"/>
            <w:tcMar>
              <w:top w:w="50" w:type="dxa"/>
              <w:left w:w="70" w:type="dxa"/>
              <w:bottom w:w="50" w:type="dxa"/>
              <w:right w:w="70" w:type="dxa"/>
            </w:tcMar>
          </w:tcPr>
          <w:p w14:paraId="300A771E" w14:textId="77777777" w:rsidR="005801B8" w:rsidRDefault="00000000">
            <w:r>
              <w:rPr>
                <w:rFonts w:ascii="Arial" w:hAnsi="Arial"/>
                <w:sz w:val="16"/>
              </w:rPr>
              <w:t xml:space="preserve">Verificación del despliegue en entorno SPA de navegador, asegurando cero fallos de compilación (`tsc -b`) y tiempos </w:t>
            </w:r>
            <w:r>
              <w:rPr>
                <w:rFonts w:ascii="Arial" w:hAnsi="Arial"/>
                <w:sz w:val="16"/>
              </w:rPr>
              <w:lastRenderedPageBreak/>
              <w:t>de respuesta óptimos.</w:t>
            </w:r>
          </w:p>
        </w:tc>
      </w:tr>
    </w:tbl>
    <w:p w14:paraId="3E0BB1AB" w14:textId="77777777" w:rsidR="005801B8" w:rsidRDefault="005801B8">
      <w:pPr>
        <w:spacing w:after="160"/>
      </w:pPr>
    </w:p>
    <w:p w14:paraId="61ABD0A0" w14:textId="77777777" w:rsidR="005801B8" w:rsidRDefault="00000000">
      <w:pPr>
        <w:keepNext/>
        <w:spacing w:before="280" w:after="80"/>
      </w:pPr>
      <w:r>
        <w:rPr>
          <w:rFonts w:ascii="Arial" w:hAnsi="Arial"/>
          <w:b/>
          <w:color w:val="0F4C81"/>
          <w:sz w:val="27"/>
        </w:rPr>
        <w:t>7. Technical Conclusions (English Only — IE 6)</w:t>
      </w:r>
    </w:p>
    <w:p w14:paraId="176F6C5C" w14:textId="77777777" w:rsidR="005801B8" w:rsidRDefault="00000000">
      <w:pPr>
        <w:spacing w:after="100"/>
        <w:jc w:val="both"/>
      </w:pPr>
      <w:r>
        <w:rPr>
          <w:rFonts w:ascii="Arial" w:hAnsi="Arial"/>
          <w:b/>
          <w:color w:val="282C34"/>
          <w:sz w:val="20"/>
        </w:rPr>
        <w:t xml:space="preserve">Engineering Evaluation: </w:t>
      </w:r>
      <w:r>
        <w:rPr>
          <w:rFonts w:ascii="Arial" w:hAnsi="Arial"/>
          <w:color w:val="282C34"/>
          <w:sz w:val="20"/>
        </w:rPr>
        <w:t>The conceptual definition, technical architecture, and validation of the B2B SaaS platform for Ley REP compliance lead to the following technical conclusions:</w:t>
      </w:r>
    </w:p>
    <w:p w14:paraId="289CBDEB" w14:textId="77777777" w:rsidR="005801B8" w:rsidRDefault="00000000">
      <w:pPr>
        <w:pStyle w:val="Listaconvietas"/>
        <w:spacing w:after="60"/>
        <w:jc w:val="both"/>
      </w:pPr>
      <w:r>
        <w:rPr>
          <w:rFonts w:ascii="Arial" w:hAnsi="Arial"/>
          <w:b/>
          <w:color w:val="282C34"/>
          <w:sz w:val="20"/>
        </w:rPr>
        <w:t xml:space="preserve">Algorithmic Parity: </w:t>
      </w:r>
      <w:r>
        <w:rPr>
          <w:rFonts w:ascii="Arial" w:hAnsi="Arial"/>
          <w:color w:val="282C34"/>
          <w:sz w:val="20"/>
        </w:rPr>
        <w:t>The decoupled mathematical calculation engine (`calculateTonnage.ts`) achieves 100% deterministic consistency against corporate audit macros, guaranteeing zero variance in the multi-dimensional calculation of environmental tonnages.</w:t>
      </w:r>
    </w:p>
    <w:p w14:paraId="202EB890" w14:textId="77777777" w:rsidR="005801B8" w:rsidRDefault="00000000">
      <w:pPr>
        <w:pStyle w:val="Listaconvietas"/>
        <w:spacing w:after="60"/>
        <w:jc w:val="both"/>
      </w:pPr>
      <w:r>
        <w:rPr>
          <w:rFonts w:ascii="Arial" w:hAnsi="Arial"/>
          <w:b/>
          <w:color w:val="282C34"/>
          <w:sz w:val="20"/>
        </w:rPr>
        <w:t xml:space="preserve">Non-Destructive Binary Injection: </w:t>
      </w:r>
      <w:r>
        <w:rPr>
          <w:rFonts w:ascii="Arial" w:hAnsi="Arial"/>
          <w:color w:val="282C34"/>
          <w:sz w:val="20"/>
        </w:rPr>
        <w:t>Utilizing ExcelJS for low-level cell mutation (`sheet.getCell(row, col).value = val`) enables populating government-issued spreadsheets without compromising protected visual styles, sheet merges, or native metadata.</w:t>
      </w:r>
    </w:p>
    <w:p w14:paraId="3B6B3E23" w14:textId="77777777" w:rsidR="005801B8" w:rsidRDefault="00000000">
      <w:pPr>
        <w:pStyle w:val="Listaconvietas"/>
        <w:spacing w:after="60"/>
        <w:jc w:val="both"/>
      </w:pPr>
      <w:r>
        <w:rPr>
          <w:rFonts w:ascii="Arial" w:hAnsi="Arial"/>
          <w:b/>
          <w:color w:val="282C34"/>
          <w:sz w:val="20"/>
        </w:rPr>
        <w:t xml:space="preserve">Decoupled Multi-Tenant Architecture: </w:t>
      </w:r>
      <w:r>
        <w:rPr>
          <w:rFonts w:ascii="Arial" w:hAnsi="Arial"/>
          <w:color w:val="282C34"/>
          <w:sz w:val="20"/>
        </w:rPr>
        <w:t>The separation of catalog master data by corporate identifier (`razonSocialId`) and the persistence of immutable monthly snapshots (`razonSocialId::year::month`) ensures rigorous auditability under environmental enforcement inspections.</w:t>
      </w:r>
    </w:p>
    <w:p w14:paraId="1C3B85AE" w14:textId="77777777" w:rsidR="005801B8" w:rsidRDefault="00000000">
      <w:pPr>
        <w:keepNext/>
        <w:spacing w:before="280" w:after="80"/>
      </w:pPr>
      <w:r>
        <w:rPr>
          <w:rFonts w:ascii="Arial" w:hAnsi="Arial"/>
          <w:b/>
          <w:color w:val="0F4C81"/>
          <w:sz w:val="27"/>
        </w:rPr>
        <w:t>8. Individual Reflections (English Only — IE 6)</w:t>
      </w:r>
    </w:p>
    <w:p w14:paraId="32842A32" w14:textId="77777777" w:rsidR="005801B8" w:rsidRDefault="00000000">
      <w:pPr>
        <w:spacing w:after="100"/>
        <w:jc w:val="both"/>
      </w:pPr>
      <w:r>
        <w:rPr>
          <w:rFonts w:ascii="Arial" w:hAnsi="Arial"/>
          <w:b/>
          <w:color w:val="282C34"/>
          <w:sz w:val="20"/>
        </w:rPr>
        <w:t xml:space="preserve">Student 1 (Fernando - Technical Lead &amp; Core Engine): </w:t>
      </w:r>
      <w:r>
        <w:rPr>
          <w:rFonts w:ascii="Arial" w:hAnsi="Arial"/>
          <w:color w:val="282C34"/>
          <w:sz w:val="20"/>
        </w:rPr>
        <w:t>Developing the foundational architecture of this Capstone project has been an invaluable technical and professional experience. Beyond fundamental software development, it required solving real-world ambiguities, such as parsing non-standardized client spreadsheets and interpreting complex legal mandates from the Chilean Ministry of Environment. The technical challenge of aligning vertical structural mismatches in official ReSimple templates highlighted the absolute necessity of defensive coding and proactive data normalization. This project has significantly strengthened my engineering capabilities in data modeling, systems architecture, and business-critical software design.</w:t>
      </w:r>
    </w:p>
    <w:p w14:paraId="13538CAB" w14:textId="77777777" w:rsidR="005801B8" w:rsidRDefault="00000000">
      <w:pPr>
        <w:spacing w:after="100"/>
        <w:jc w:val="both"/>
      </w:pPr>
      <w:r>
        <w:rPr>
          <w:rFonts w:ascii="Arial" w:hAnsi="Arial"/>
          <w:b/>
          <w:color w:val="282C34"/>
          <w:sz w:val="20"/>
        </w:rPr>
        <w:t xml:space="preserve">Student 2 (Team Member - Frontend &amp; QA Engineer): </w:t>
      </w:r>
      <w:r>
        <w:rPr>
          <w:rFonts w:ascii="Arial" w:hAnsi="Arial"/>
          <w:color w:val="282C34"/>
          <w:sz w:val="20"/>
        </w:rPr>
        <w:t>Participating in the architectural definition and quality assurance design for this project has provided a profound understanding of modern software lifecycle methodologies. Designing black-box validation suites to verify mathematical accuracy against internal audit tools reinforced the importance of systematic verification in high-stakes environments. Furthermore, implementing user-centric data interfaces using Tailwind CSS and TanStack Table demonstrated that complex logistics data can be rendered productively without unnecessary visual bloat. This experience has established a solid foundation for my professional career in software engineering.</w:t>
      </w:r>
    </w:p>
    <w:p w14:paraId="0748410F" w14:textId="77777777" w:rsidR="005801B8" w:rsidRDefault="00000000">
      <w:pPr>
        <w:keepNext/>
        <w:spacing w:before="280" w:after="80"/>
      </w:pPr>
      <w:r>
        <w:rPr>
          <w:rFonts w:ascii="Arial" w:hAnsi="Arial"/>
          <w:b/>
          <w:color w:val="0F4C81"/>
          <w:sz w:val="27"/>
        </w:rPr>
        <w:t>9. Referencias Bibliográficas (Normas APA)</w:t>
      </w:r>
    </w:p>
    <w:p w14:paraId="79F4941E" w14:textId="77777777" w:rsidR="005801B8" w:rsidRDefault="00000000">
      <w:pPr>
        <w:spacing w:after="80"/>
        <w:ind w:left="576" w:hanging="576"/>
      </w:pPr>
      <w:r>
        <w:rPr>
          <w:rFonts w:ascii="Arial" w:hAnsi="Arial"/>
          <w:color w:val="282C34"/>
          <w:sz w:val="17"/>
        </w:rPr>
        <w:t>Biblioteca del Congreso Nacional de Chile. (2016). Ley N° 20.920: Marco para la Gestión de Residuos, la Responsabilidad Extendida del Productor y Fomento al Reciclaje. Ministerio del Medio Ambiente.</w:t>
      </w:r>
    </w:p>
    <w:p w14:paraId="36E34187" w14:textId="77777777" w:rsidR="005801B8" w:rsidRDefault="00000000">
      <w:pPr>
        <w:spacing w:after="80"/>
        <w:ind w:left="576" w:hanging="576"/>
      </w:pPr>
      <w:r>
        <w:rPr>
          <w:rFonts w:ascii="Arial" w:hAnsi="Arial"/>
          <w:color w:val="282C34"/>
          <w:sz w:val="17"/>
        </w:rPr>
        <w:t>ExcelJS. (2024). ExcelJS: Excel Workbook Manager and Binary Writer. GitHub Repository. https://github.com/exceljs/exceljs</w:t>
      </w:r>
    </w:p>
    <w:p w14:paraId="4755B0FC" w14:textId="77777777" w:rsidR="005801B8" w:rsidRDefault="00000000">
      <w:pPr>
        <w:spacing w:after="80"/>
        <w:ind w:left="576" w:hanging="576"/>
      </w:pPr>
      <w:r>
        <w:rPr>
          <w:rFonts w:ascii="Arial" w:hAnsi="Arial"/>
          <w:color w:val="282C34"/>
          <w:sz w:val="17"/>
        </w:rPr>
        <w:t>Pressman, R. S., &amp; Maxim, B. R. (2020). Software Engineering: A Practitioner's Approach (9th ed.). McGraw-Hill Education.</w:t>
      </w:r>
    </w:p>
    <w:p w14:paraId="3D737E53" w14:textId="77777777" w:rsidR="005801B8" w:rsidRDefault="00000000">
      <w:pPr>
        <w:spacing w:after="80"/>
        <w:ind w:left="576" w:hanging="576"/>
      </w:pPr>
      <w:r>
        <w:rPr>
          <w:rFonts w:ascii="Arial" w:hAnsi="Arial"/>
          <w:color w:val="282C34"/>
          <w:sz w:val="17"/>
        </w:rPr>
        <w:t>React Community. (2025). React Documentation: Hooks, State, and Component Architecture. Meta Platforms Inc. https://react.dev</w:t>
      </w:r>
    </w:p>
    <w:p w14:paraId="12C21AA2" w14:textId="77777777" w:rsidR="005801B8" w:rsidRDefault="00000000">
      <w:pPr>
        <w:spacing w:after="80"/>
        <w:ind w:left="576" w:hanging="576"/>
      </w:pPr>
      <w:r>
        <w:rPr>
          <w:rFonts w:ascii="Arial" w:hAnsi="Arial"/>
          <w:color w:val="282C34"/>
          <w:sz w:val="17"/>
        </w:rPr>
        <w:t>ReSimple. (2025). Guía Oficial de Declaración de Envases y Embalajes para Productores e Importadores. Gran Sistema Colectivo de Gestión ReSimple.</w:t>
      </w:r>
    </w:p>
    <w:p w14:paraId="3B848295" w14:textId="77777777" w:rsidR="005801B8" w:rsidRDefault="00000000">
      <w:pPr>
        <w:spacing w:after="80"/>
        <w:ind w:left="576" w:hanging="576"/>
      </w:pPr>
      <w:r>
        <w:rPr>
          <w:rFonts w:ascii="Arial" w:hAnsi="Arial"/>
          <w:color w:val="282C34"/>
          <w:sz w:val="17"/>
        </w:rPr>
        <w:t>SheetJS LLC. (2024). SheetJS Community Edition: Spreadsheet Data Toolkit. https://sheetjs.com</w:t>
      </w:r>
    </w:p>
    <w:p w14:paraId="65925DC7" w14:textId="77777777" w:rsidR="005801B8" w:rsidRDefault="00000000">
      <w:pPr>
        <w:spacing w:after="80"/>
        <w:ind w:left="576" w:hanging="576"/>
      </w:pPr>
      <w:r>
        <w:rPr>
          <w:rFonts w:ascii="Arial" w:hAnsi="Arial"/>
          <w:color w:val="282C34"/>
          <w:sz w:val="17"/>
        </w:rPr>
        <w:lastRenderedPageBreak/>
        <w:t>TypeScript. (2025). TypeScript Language Specification and Strict Type-Checking. Microsoft Corporation. https://www.typescriptlang.org</w:t>
      </w:r>
    </w:p>
    <w:p w14:paraId="3B24785B" w14:textId="77777777" w:rsidR="005801B8" w:rsidRDefault="00000000">
      <w:pPr>
        <w:keepNext/>
        <w:spacing w:before="280" w:after="80"/>
      </w:pPr>
      <w:r>
        <w:rPr>
          <w:rFonts w:ascii="Arial" w:hAnsi="Arial"/>
          <w:b/>
          <w:color w:val="0F4C81"/>
          <w:sz w:val="27"/>
        </w:rPr>
        <w:t>10. Anexos de Evidencia de Ingeniería</w:t>
      </w:r>
    </w:p>
    <w:p w14:paraId="012A0577" w14:textId="77777777" w:rsidR="005801B8" w:rsidRDefault="00000000">
      <w:pPr>
        <w:spacing w:after="100"/>
        <w:jc w:val="both"/>
      </w:pPr>
      <w:r>
        <w:rPr>
          <w:rFonts w:ascii="Arial" w:hAnsi="Arial"/>
          <w:b/>
          <w:color w:val="282C34"/>
          <w:sz w:val="20"/>
        </w:rPr>
        <w:t xml:space="preserve">Anexo A - Registro de Pruebas de Auditoría: </w:t>
      </w:r>
      <w:r>
        <w:rPr>
          <w:rFonts w:ascii="Arial" w:hAnsi="Arial"/>
          <w:color w:val="282C34"/>
          <w:sz w:val="20"/>
        </w:rPr>
        <w:t>A continuación se sintetizan las evidencias de ingeniería que respaldan el cumplimiento de los indicadores de diseño:</w:t>
      </w:r>
    </w:p>
    <w:p w14:paraId="442067DE" w14:textId="77777777" w:rsidR="005801B8" w:rsidRDefault="00000000">
      <w:pPr>
        <w:pStyle w:val="Listaconvietas"/>
        <w:spacing w:after="60"/>
        <w:jc w:val="both"/>
      </w:pPr>
      <w:r>
        <w:rPr>
          <w:rFonts w:ascii="Arial" w:hAnsi="Arial"/>
          <w:b/>
          <w:color w:val="282C34"/>
          <w:sz w:val="20"/>
        </w:rPr>
        <w:t xml:space="preserve">Paridad Numérica Certificada: </w:t>
      </w:r>
      <w:r>
        <w:rPr>
          <w:rFonts w:ascii="Arial" w:hAnsi="Arial"/>
          <w:color w:val="282C34"/>
          <w:sz w:val="20"/>
        </w:rPr>
        <w:t>Cálculo de Mayo 2026 en ventas reales (Prinorte): Madera No Dom = 3.685 ton; Papel y Cartón Dom = 1.509 ton; No Dom = 0.784 ton. Concordancia del 100% frente a la macro corporativa.</w:t>
      </w:r>
    </w:p>
    <w:p w14:paraId="2A3D8DFC" w14:textId="77777777" w:rsidR="005801B8" w:rsidRDefault="00000000">
      <w:pPr>
        <w:pStyle w:val="Listaconvietas"/>
        <w:spacing w:after="60"/>
        <w:jc w:val="both"/>
      </w:pPr>
      <w:r>
        <w:rPr>
          <w:rFonts w:ascii="Arial" w:hAnsi="Arial"/>
          <w:b/>
          <w:color w:val="282C34"/>
          <w:sz w:val="20"/>
        </w:rPr>
        <w:t xml:space="preserve">Mapeo Taxonómico ReSimple: </w:t>
      </w:r>
      <w:r>
        <w:rPr>
          <w:rFonts w:ascii="Arial" w:hAnsi="Arial"/>
          <w:color w:val="282C34"/>
          <w:sz w:val="20"/>
        </w:rPr>
        <w:t>Traducción automática de 'Madera' a categoría 'OTROS' / material 'Madera' (Fila 51 DOM, Fila 45 NO DOM) e inyección en columnas E, F, K y L.</w:t>
      </w:r>
    </w:p>
    <w:sectPr w:rsidR="005801B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62879241">
    <w:abstractNumId w:val="8"/>
  </w:num>
  <w:num w:numId="2" w16cid:durableId="1785734956">
    <w:abstractNumId w:val="6"/>
  </w:num>
  <w:num w:numId="3" w16cid:durableId="640426263">
    <w:abstractNumId w:val="5"/>
  </w:num>
  <w:num w:numId="4" w16cid:durableId="1008673287">
    <w:abstractNumId w:val="4"/>
  </w:num>
  <w:num w:numId="5" w16cid:durableId="1543907262">
    <w:abstractNumId w:val="7"/>
  </w:num>
  <w:num w:numId="6" w16cid:durableId="967129641">
    <w:abstractNumId w:val="3"/>
  </w:num>
  <w:num w:numId="7" w16cid:durableId="980304169">
    <w:abstractNumId w:val="2"/>
  </w:num>
  <w:num w:numId="8" w16cid:durableId="449983171">
    <w:abstractNumId w:val="1"/>
  </w:num>
  <w:num w:numId="9" w16cid:durableId="443693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6B04"/>
    <w:rsid w:val="005801B8"/>
    <w:rsid w:val="00AA1D8D"/>
    <w:rsid w:val="00B47730"/>
    <w:rsid w:val="00CB0664"/>
    <w:rsid w:val="00E049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0B67"/>
  <w14:defaultImageDpi w14:val="300"/>
  <w15:docId w15:val="{2B1F5357-DF91-40B1-8E27-DE74D32B8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2226</Words>
  <Characters>12246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 Alumno</cp:lastModifiedBy>
  <cp:revision>2</cp:revision>
  <dcterms:created xsi:type="dcterms:W3CDTF">2013-12-23T23:15:00Z</dcterms:created>
  <dcterms:modified xsi:type="dcterms:W3CDTF">2026-09-03T19:23:00Z</dcterms:modified>
  <cp:category/>
</cp:coreProperties>
</file>