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E14F" w14:textId="03CEBAB4" w:rsidR="00E55855" w:rsidRPr="00E55855" w:rsidRDefault="00E55855">
      <w:pPr>
        <w:rPr>
          <w:color w:val="FF0000"/>
        </w:rPr>
      </w:pPr>
      <w:r w:rsidRPr="00E55855">
        <w:rPr>
          <w:color w:val="FF0000"/>
        </w:rPr>
        <w:t>Regarding the evaluation process, you mention that "After training, each client evaluates the model on a shared test set." Please clarify whether clients possess their own testing data in addition to this shared set. Providing more detail on the composition and purpose of the shared test set would be beneficial.</w:t>
      </w:r>
    </w:p>
    <w:p w14:paraId="5C78532F" w14:textId="0A4C17DB" w:rsidR="00130D6C" w:rsidRDefault="00986887">
      <w:r w:rsidRPr="00986887">
        <w:t>Clarifying the evaluation procedure</w:t>
      </w:r>
    </w:p>
    <w:p w14:paraId="3D5B4592" w14:textId="17640B3A" w:rsidR="00986887" w:rsidRDefault="00986887">
      <w:r w:rsidRPr="00986887">
        <w:rPr>
          <w:b/>
          <w:bCs/>
        </w:rPr>
        <w:t>No client-specific test sets are used.</w:t>
      </w:r>
      <w:r w:rsidRPr="00986887">
        <w:br/>
        <w:t xml:space="preserve">Each client owns </w:t>
      </w:r>
      <w:r w:rsidRPr="00986887">
        <w:rPr>
          <w:b/>
          <w:bCs/>
        </w:rPr>
        <w:t>only its local training shard</w:t>
      </w:r>
      <w:r w:rsidRPr="00986887">
        <w:t xml:space="preserve"> (10 % of the </w:t>
      </w:r>
      <w:r>
        <w:t>6</w:t>
      </w:r>
      <w:r w:rsidRPr="00986887">
        <w:t>0 000 MNIST training images in our final experiments).</w:t>
      </w:r>
      <w:r w:rsidRPr="00986887">
        <w:br/>
        <w:t xml:space="preserve">Clients do </w:t>
      </w:r>
      <w:r w:rsidRPr="00986887">
        <w:rPr>
          <w:b/>
          <w:bCs/>
        </w:rPr>
        <w:t>not</w:t>
      </w:r>
      <w:r w:rsidRPr="00986887">
        <w:t xml:space="preserve"> keep a private test/validation split; this keeps the storage footprint identical across devices and eliminates variability in evaluation statistics that would arise from ten different test distributions.</w:t>
      </w:r>
    </w:p>
    <w:p w14:paraId="0F256F9E" w14:textId="34CCCB27" w:rsidR="00986887" w:rsidRDefault="00986887">
      <w:r w:rsidRPr="00986887">
        <w:rPr>
          <w:b/>
          <w:bCs/>
        </w:rPr>
        <w:t>What is the “shared test set”?</w:t>
      </w:r>
      <w:r w:rsidRPr="00986887">
        <w:br/>
        <w:t xml:space="preserve">We distribute </w:t>
      </w:r>
      <w:r w:rsidRPr="00986887">
        <w:rPr>
          <w:b/>
          <w:bCs/>
        </w:rPr>
        <w:t xml:space="preserve">one identical, hold-out dataset (MNIST test split, </w:t>
      </w:r>
      <w:r w:rsidR="00D8145E">
        <w:rPr>
          <w:b/>
          <w:bCs/>
        </w:rPr>
        <w:t>10</w:t>
      </w:r>
      <w:r w:rsidRPr="00986887">
        <w:rPr>
          <w:b/>
          <w:bCs/>
        </w:rPr>
        <w:t xml:space="preserve"> 000 images)</w:t>
      </w:r>
      <w:r w:rsidRPr="00986887">
        <w:t xml:space="preserve"> to every client </w:t>
      </w:r>
      <w:r w:rsidRPr="00986887">
        <w:rPr>
          <w:i/>
          <w:iCs/>
        </w:rPr>
        <w:t>after</w:t>
      </w:r>
      <w:r w:rsidRPr="00986887">
        <w:t xml:space="preserve"> each communication round:</w:t>
      </w:r>
    </w:p>
    <w:p w14:paraId="02AE44B4" w14:textId="671765F4" w:rsidR="00986887" w:rsidRPr="00986887" w:rsidRDefault="00986887" w:rsidP="00986887">
      <w:pPr>
        <w:pStyle w:val="ListParagraph"/>
        <w:numPr>
          <w:ilvl w:val="0"/>
          <w:numId w:val="1"/>
        </w:numPr>
      </w:pPr>
      <w:r w:rsidRPr="00986887">
        <w:rPr>
          <w:b/>
          <w:bCs/>
        </w:rPr>
        <w:t>Server broadcast</w:t>
      </w:r>
      <w:r w:rsidRPr="00986887">
        <w:t xml:space="preserve"> – The server includes a 10 000-sample tensor object (≈ 28 MB) in the evaluate instruction.</w:t>
      </w:r>
    </w:p>
    <w:p w14:paraId="728E58B2" w14:textId="1D78FD36" w:rsidR="00986887" w:rsidRPr="00986887" w:rsidRDefault="00986887" w:rsidP="00986887">
      <w:pPr>
        <w:pStyle w:val="ListParagraph"/>
        <w:numPr>
          <w:ilvl w:val="0"/>
          <w:numId w:val="1"/>
        </w:numPr>
      </w:pPr>
      <w:r w:rsidRPr="00986887">
        <w:rPr>
          <w:b/>
          <w:bCs/>
        </w:rPr>
        <w:t>Local evaluation</w:t>
      </w:r>
      <w:r w:rsidRPr="00986887">
        <w:t xml:space="preserve"> – Each client runs a forward pass, computes loss and accuracy, and returns only those two scalars.</w:t>
      </w:r>
    </w:p>
    <w:p w14:paraId="59EDA46B" w14:textId="462FAF54" w:rsidR="00986887" w:rsidRDefault="00986887" w:rsidP="00986887">
      <w:pPr>
        <w:pStyle w:val="ListParagraph"/>
        <w:numPr>
          <w:ilvl w:val="0"/>
          <w:numId w:val="1"/>
        </w:numPr>
      </w:pPr>
      <w:r w:rsidRPr="00986887">
        <w:rPr>
          <w:b/>
          <w:bCs/>
        </w:rPr>
        <w:t>Aggregation of metrics</w:t>
      </w:r>
      <w:r w:rsidRPr="00986887">
        <w:t xml:space="preserve"> – The server averages the ten scalar losses / accuracies to log a single number per round.</w:t>
      </w:r>
    </w:p>
    <w:p w14:paraId="676D9F60" w14:textId="77777777" w:rsidR="00D8145E" w:rsidRPr="00986887" w:rsidRDefault="00D8145E" w:rsidP="00D8145E"/>
    <w:p w14:paraId="01614C55" w14:textId="6C60DA8D" w:rsidR="00D8145E" w:rsidRDefault="00D8145E" w:rsidP="00D814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145E">
        <w:rPr>
          <w:rFonts w:ascii="Times New Roman" w:eastAsia="Times New Roman" w:hAnsi="Times New Roman" w:cs="Times New Roman"/>
          <w:kern w:val="0"/>
          <w:sz w:val="24"/>
          <w:szCs w:val="24"/>
          <w14:ligatures w14:val="none"/>
        </w:rPr>
        <w:t xml:space="preserve">The shared set is </w:t>
      </w:r>
      <w:r w:rsidRPr="00D8145E">
        <w:rPr>
          <w:rFonts w:ascii="Times New Roman" w:eastAsia="Times New Roman" w:hAnsi="Times New Roman" w:cs="Times New Roman"/>
          <w:b/>
          <w:bCs/>
          <w:kern w:val="0"/>
          <w:sz w:val="24"/>
          <w:szCs w:val="24"/>
          <w14:ligatures w14:val="none"/>
        </w:rPr>
        <w:t>never used for training</w:t>
      </w:r>
      <w:r w:rsidRPr="00D8145E">
        <w:rPr>
          <w:rFonts w:ascii="Times New Roman" w:eastAsia="Times New Roman" w:hAnsi="Times New Roman" w:cs="Times New Roman"/>
          <w:kern w:val="0"/>
          <w:sz w:val="24"/>
          <w:szCs w:val="24"/>
          <w14:ligatures w14:val="none"/>
        </w:rPr>
        <w:t xml:space="preserve">; it serves </w:t>
      </w:r>
      <w:r w:rsidRPr="00D8145E">
        <w:rPr>
          <w:rFonts w:ascii="Times New Roman" w:eastAsia="Times New Roman" w:hAnsi="Times New Roman" w:cs="Times New Roman"/>
          <w:i/>
          <w:iCs/>
          <w:kern w:val="0"/>
          <w:sz w:val="24"/>
          <w:szCs w:val="24"/>
          <w14:ligatures w14:val="none"/>
        </w:rPr>
        <w:t>exclusively</w:t>
      </w:r>
      <w:r w:rsidRPr="00D8145E">
        <w:rPr>
          <w:rFonts w:ascii="Times New Roman" w:eastAsia="Times New Roman" w:hAnsi="Times New Roman" w:cs="Times New Roman"/>
          <w:kern w:val="0"/>
          <w:sz w:val="24"/>
          <w:szCs w:val="24"/>
          <w14:ligatures w14:val="none"/>
        </w:rPr>
        <w:t xml:space="preserve"> to obtain a round-by-round, performance curve for </w:t>
      </w:r>
      <w:proofErr w:type="spellStart"/>
      <w:r w:rsidRPr="00D8145E">
        <w:rPr>
          <w:rFonts w:ascii="Times New Roman" w:eastAsia="Times New Roman" w:hAnsi="Times New Roman" w:cs="Times New Roman"/>
          <w:kern w:val="0"/>
          <w:sz w:val="24"/>
          <w:szCs w:val="24"/>
          <w14:ligatures w14:val="none"/>
        </w:rPr>
        <w:t>FedAvg</w:t>
      </w:r>
      <w:proofErr w:type="spellEnd"/>
      <w:r w:rsidRPr="00D8145E">
        <w:rPr>
          <w:rFonts w:ascii="Times New Roman" w:eastAsia="Times New Roman" w:hAnsi="Times New Roman" w:cs="Times New Roman"/>
          <w:kern w:val="0"/>
          <w:sz w:val="24"/>
          <w:szCs w:val="24"/>
          <w14:ligatures w14:val="none"/>
        </w:rPr>
        <w:t>, Median, and Weighted-Median.</w:t>
      </w:r>
      <w:r w:rsidRPr="00D8145E">
        <w:rPr>
          <w:rFonts w:ascii="Times New Roman" w:eastAsia="Times New Roman" w:hAnsi="Times New Roman" w:cs="Times New Roman"/>
          <w:kern w:val="0"/>
          <w:sz w:val="24"/>
          <w:szCs w:val="24"/>
          <w14:ligatures w14:val="none"/>
        </w:rPr>
        <w:br/>
        <w:t>Using a common test set—rather than ten private ones—ensures that differences we observe are due to the aggregation rule, not to different evaluation distributions.</w:t>
      </w:r>
    </w:p>
    <w:p w14:paraId="5852E145" w14:textId="251D8928" w:rsidR="00E55855" w:rsidRPr="00E55855" w:rsidRDefault="00E55855" w:rsidP="00D8145E">
      <w:pPr>
        <w:spacing w:before="100" w:beforeAutospacing="1" w:after="100" w:afterAutospacing="1" w:line="240" w:lineRule="auto"/>
        <w:rPr>
          <w:rFonts w:ascii="Times New Roman" w:eastAsia="Times New Roman" w:hAnsi="Times New Roman" w:cs="Times New Roman"/>
          <w:color w:val="FF0000"/>
          <w:kern w:val="0"/>
          <w:sz w:val="24"/>
          <w:szCs w:val="24"/>
          <w14:ligatures w14:val="none"/>
        </w:rPr>
      </w:pPr>
      <w:r w:rsidRPr="00E55855">
        <w:rPr>
          <w:rFonts w:ascii="Times New Roman" w:eastAsia="Times New Roman" w:hAnsi="Times New Roman" w:cs="Times New Roman"/>
          <w:color w:val="FF0000"/>
          <w:kern w:val="0"/>
          <w:sz w:val="24"/>
          <w:szCs w:val="24"/>
          <w14:ligatures w14:val="none"/>
        </w:rPr>
        <w:t>On page 4, there appears to be an incomplete sentence: "Clients whose updates are too far from aggregation...". Please complete this sentence to ensure clarity</w:t>
      </w:r>
    </w:p>
    <w:p w14:paraId="2E32F4C9" w14:textId="63C84EA0" w:rsidR="00986887" w:rsidRDefault="00D8145E" w:rsidP="00D8145E">
      <w:pPr>
        <w:rPr>
          <w:rFonts w:ascii="Times New Roman" w:eastAsia="Times New Roman" w:hAnsi="Times New Roman" w:cs="Times New Roman"/>
          <w:kern w:val="0"/>
          <w:sz w:val="24"/>
          <w:szCs w:val="24"/>
          <w14:ligatures w14:val="none"/>
        </w:rPr>
      </w:pPr>
      <w:r w:rsidRPr="00D8145E">
        <w:rPr>
          <w:rFonts w:ascii="Times New Roman" w:eastAsia="Times New Roman" w:hAnsi="Times New Roman" w:cs="Times New Roman"/>
          <w:kern w:val="0"/>
          <w:sz w:val="24"/>
          <w:szCs w:val="24"/>
          <w14:ligatures w14:val="none"/>
        </w:rPr>
        <w:t xml:space="preserve">  </w:t>
      </w:r>
      <w:r w:rsidR="00E55855" w:rsidRPr="00E55855">
        <w:rPr>
          <w:rFonts w:ascii="Times New Roman" w:eastAsia="Times New Roman" w:hAnsi="Times New Roman" w:cs="Times New Roman"/>
          <w:kern w:val="0"/>
          <w:sz w:val="24"/>
          <w:szCs w:val="24"/>
          <w14:ligatures w14:val="none"/>
        </w:rPr>
        <w:t>Clients whose updates are too far from the layer-wise median—measured by the average L2 distance across all model layers—are excluded from the current round’s aggregation.</w:t>
      </w:r>
    </w:p>
    <w:p w14:paraId="60C63AAB" w14:textId="77777777" w:rsidR="00E55855" w:rsidRDefault="00E55855" w:rsidP="00D8145E">
      <w:pPr>
        <w:rPr>
          <w:rFonts w:ascii="Times New Roman" w:eastAsia="Times New Roman" w:hAnsi="Times New Roman" w:cs="Times New Roman"/>
          <w:kern w:val="0"/>
          <w:sz w:val="24"/>
          <w:szCs w:val="24"/>
          <w14:ligatures w14:val="none"/>
        </w:rPr>
      </w:pPr>
    </w:p>
    <w:p w14:paraId="4A323B8C" w14:textId="22CA3CBF" w:rsidR="00E55855" w:rsidRDefault="00E55855" w:rsidP="00D8145E">
      <w:pPr>
        <w:rPr>
          <w:color w:val="FF0000"/>
        </w:rPr>
      </w:pPr>
      <w:r w:rsidRPr="00E55855">
        <w:rPr>
          <w:color w:val="FF0000"/>
        </w:rPr>
        <w:t>In the section on median aggregation with outlier filtering, you employ the criterion "Q3 + 1.5 * IQR" for client filtering. It would be helpful to indicate whether this is a standard statistical approach. If it's a non-standard approach, please provide a justification for its selection.</w:t>
      </w:r>
    </w:p>
    <w:p w14:paraId="510739DC" w14:textId="1425AFAB" w:rsidR="00E55855" w:rsidRDefault="00E55855" w:rsidP="00D8145E">
      <w:pPr>
        <w:rPr>
          <w:color w:val="FF0000"/>
        </w:rPr>
      </w:pPr>
      <w:r w:rsidRPr="00E55855">
        <w:rPr>
          <w:color w:val="FF0000"/>
        </w:rPr>
        <w:lastRenderedPageBreak/>
        <w:drawing>
          <wp:inline distT="0" distB="0" distL="0" distR="0" wp14:anchorId="04D0F2AA" wp14:editId="38980F94">
            <wp:extent cx="5943600" cy="3216910"/>
            <wp:effectExtent l="0" t="0" r="0" b="0"/>
            <wp:docPr id="326258548"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58548" name="Picture 1" descr="A screenshot of a white text&#10;&#10;AI-generated content may be incorrect."/>
                    <pic:cNvPicPr/>
                  </pic:nvPicPr>
                  <pic:blipFill>
                    <a:blip r:embed="rId5"/>
                    <a:stretch>
                      <a:fillRect/>
                    </a:stretch>
                  </pic:blipFill>
                  <pic:spPr>
                    <a:xfrm>
                      <a:off x="0" y="0"/>
                      <a:ext cx="5943600" cy="3216910"/>
                    </a:xfrm>
                    <a:prstGeom prst="rect">
                      <a:avLst/>
                    </a:prstGeom>
                  </pic:spPr>
                </pic:pic>
              </a:graphicData>
            </a:graphic>
          </wp:inline>
        </w:drawing>
      </w:r>
    </w:p>
    <w:p w14:paraId="26A50221" w14:textId="2256FA88" w:rsidR="00E55855" w:rsidRDefault="00E55855" w:rsidP="00D8145E">
      <w:pPr>
        <w:rPr>
          <w:color w:val="FF0000"/>
        </w:rPr>
      </w:pPr>
      <w:r w:rsidRPr="00E55855">
        <w:rPr>
          <w:color w:val="FF0000"/>
        </w:rPr>
        <w:t>When describing the stochastic client availability model, you mention that "the launcher script randomizes the selection of clients participating in each round." Please provide further details on the client selection ratio used in your experiments and specify the frequency with which malicious clients were included in the aggregation process</w:t>
      </w:r>
      <w:r w:rsidRPr="00E55855">
        <w:rPr>
          <w:color w:val="FF0000"/>
        </w:rPr>
        <w:drawing>
          <wp:inline distT="0" distB="0" distL="0" distR="0" wp14:anchorId="176DB05F" wp14:editId="6613D81F">
            <wp:extent cx="5313872" cy="4759776"/>
            <wp:effectExtent l="0" t="0" r="0" b="0"/>
            <wp:docPr id="197889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9594" name="Picture 1" descr="A screenshot of a computer&#10;&#10;AI-generated content may be incorrect."/>
                    <pic:cNvPicPr/>
                  </pic:nvPicPr>
                  <pic:blipFill>
                    <a:blip r:embed="rId6"/>
                    <a:stretch>
                      <a:fillRect/>
                    </a:stretch>
                  </pic:blipFill>
                  <pic:spPr>
                    <a:xfrm>
                      <a:off x="0" y="0"/>
                      <a:ext cx="5328713" cy="4773069"/>
                    </a:xfrm>
                    <a:prstGeom prst="rect">
                      <a:avLst/>
                    </a:prstGeom>
                  </pic:spPr>
                </pic:pic>
              </a:graphicData>
            </a:graphic>
          </wp:inline>
        </w:drawing>
      </w:r>
    </w:p>
    <w:p w14:paraId="1406E6C2" w14:textId="77777777" w:rsidR="00E55855" w:rsidRDefault="00E55855" w:rsidP="00D8145E">
      <w:pPr>
        <w:rPr>
          <w:color w:val="FF0000"/>
        </w:rPr>
      </w:pPr>
    </w:p>
    <w:p w14:paraId="1711121C" w14:textId="27485EC5" w:rsidR="00E55855" w:rsidRDefault="00E55855" w:rsidP="00D8145E">
      <w:proofErr w:type="gramStart"/>
      <w:r>
        <w:lastRenderedPageBreak/>
        <w:t>So</w:t>
      </w:r>
      <w:proofErr w:type="gramEnd"/>
      <w:r>
        <w:t xml:space="preserve"> we have 10 </w:t>
      </w:r>
      <w:proofErr w:type="gramStart"/>
      <w:r>
        <w:t>clients</w:t>
      </w:r>
      <w:proofErr w:type="gramEnd"/>
      <w:r>
        <w:t xml:space="preserve"> and we are poisoning 20%. The selection ratio is how many clients we are using per round in this case we are using 100% of the clients, this is expressed by SAMPLE_SIZE / TOTAL_</w:t>
      </w:r>
      <w:proofErr w:type="gramStart"/>
      <w:r>
        <w:t>CLIENTS</w:t>
      </w:r>
      <w:proofErr w:type="gramEnd"/>
      <w:r>
        <w:t xml:space="preserve"> and we know that we are randomizing 2 attackers per round so for sure 2 attackers will be present and poisoning each round. </w:t>
      </w:r>
    </w:p>
    <w:p w14:paraId="27494131" w14:textId="500C8302" w:rsidR="00E55855" w:rsidRDefault="00E55855" w:rsidP="00D8145E">
      <w:pPr>
        <w:rPr>
          <w:color w:val="EE0000"/>
        </w:rPr>
      </w:pPr>
      <w:r w:rsidRPr="00E55855">
        <w:rPr>
          <w:color w:val="EE0000"/>
        </w:rPr>
        <w:t>Please elaborate on the specific criteria used in your experiments to classify clients as attackers or non-attackers.</w:t>
      </w:r>
    </w:p>
    <w:p w14:paraId="6BC9C8B8" w14:textId="2026D7D3" w:rsidR="00382B94" w:rsidRDefault="00382B94" w:rsidP="00D8145E">
      <w:pPr>
        <w:rPr>
          <w:color w:val="EE0000"/>
        </w:rPr>
      </w:pPr>
      <w:r w:rsidRPr="00382B94">
        <w:rPr>
          <w:color w:val="EE0000"/>
        </w:rPr>
        <w:drawing>
          <wp:inline distT="0" distB="0" distL="0" distR="0" wp14:anchorId="0D3271B4" wp14:editId="3AFC8493">
            <wp:extent cx="6858000" cy="3745865"/>
            <wp:effectExtent l="0" t="0" r="0" b="0"/>
            <wp:docPr id="152184274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42749" name="Picture 1" descr="A screenshot of a web page&#10;&#10;AI-generated content may be incorrect."/>
                    <pic:cNvPicPr/>
                  </pic:nvPicPr>
                  <pic:blipFill>
                    <a:blip r:embed="rId7"/>
                    <a:stretch>
                      <a:fillRect/>
                    </a:stretch>
                  </pic:blipFill>
                  <pic:spPr>
                    <a:xfrm>
                      <a:off x="0" y="0"/>
                      <a:ext cx="6858000" cy="3745865"/>
                    </a:xfrm>
                    <a:prstGeom prst="rect">
                      <a:avLst/>
                    </a:prstGeom>
                  </pic:spPr>
                </pic:pic>
              </a:graphicData>
            </a:graphic>
          </wp:inline>
        </w:drawing>
      </w:r>
    </w:p>
    <w:p w14:paraId="5AA0C292" w14:textId="2BA3207E" w:rsidR="00382B94" w:rsidRDefault="00382B94" w:rsidP="00D8145E">
      <w:pPr>
        <w:rPr>
          <w:color w:val="EE0000"/>
        </w:rPr>
      </w:pPr>
      <w:r w:rsidRPr="00382B94">
        <w:rPr>
          <w:color w:val="EE0000"/>
        </w:rPr>
        <w:lastRenderedPageBreak/>
        <w:drawing>
          <wp:inline distT="0" distB="0" distL="0" distR="0" wp14:anchorId="2C22529F" wp14:editId="572E1583">
            <wp:extent cx="6858000" cy="7632700"/>
            <wp:effectExtent l="0" t="0" r="0" b="0"/>
            <wp:docPr id="1019482465"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2465" name="Picture 1" descr="A screenshot of a math test&#10;&#10;AI-generated content may be incorrect."/>
                    <pic:cNvPicPr/>
                  </pic:nvPicPr>
                  <pic:blipFill>
                    <a:blip r:embed="rId8"/>
                    <a:stretch>
                      <a:fillRect/>
                    </a:stretch>
                  </pic:blipFill>
                  <pic:spPr>
                    <a:xfrm>
                      <a:off x="0" y="0"/>
                      <a:ext cx="6858000" cy="7632700"/>
                    </a:xfrm>
                    <a:prstGeom prst="rect">
                      <a:avLst/>
                    </a:prstGeom>
                  </pic:spPr>
                </pic:pic>
              </a:graphicData>
            </a:graphic>
          </wp:inline>
        </w:drawing>
      </w:r>
    </w:p>
    <w:p w14:paraId="6CC16F49" w14:textId="15925ECA" w:rsidR="00382B94" w:rsidRDefault="00382B94" w:rsidP="00D8145E">
      <w:pPr>
        <w:rPr>
          <w:b/>
          <w:bCs/>
        </w:rPr>
      </w:pPr>
      <w:r>
        <w:rPr>
          <w:b/>
          <w:bCs/>
        </w:rPr>
        <w:t xml:space="preserve">In our case, the </w:t>
      </w:r>
      <w:proofErr w:type="gramStart"/>
      <w:r>
        <w:rPr>
          <w:b/>
          <w:bCs/>
        </w:rPr>
        <w:t>median</w:t>
      </w:r>
      <w:proofErr w:type="gramEnd"/>
      <w:r>
        <w:rPr>
          <w:b/>
          <w:bCs/>
        </w:rPr>
        <w:t xml:space="preserve"> removes 1 or 2 benign clients and the weighted removes 2 or 3 benign clients. </w:t>
      </w:r>
    </w:p>
    <w:p w14:paraId="7EC5CEBE" w14:textId="5A082AD1" w:rsidR="00382B94" w:rsidRDefault="00382B94" w:rsidP="00D8145E">
      <w:pPr>
        <w:rPr>
          <w:b/>
          <w:bCs/>
        </w:rPr>
      </w:pPr>
      <w:r>
        <w:rPr>
          <w:b/>
          <w:bCs/>
        </w:rPr>
        <w:t>This sums it:</w:t>
      </w:r>
    </w:p>
    <w:p w14:paraId="153992EE" w14:textId="427BCDFE" w:rsidR="00382B94" w:rsidRDefault="00382B94" w:rsidP="00D8145E">
      <w:pPr>
        <w:rPr>
          <w:b/>
          <w:bCs/>
        </w:rPr>
      </w:pPr>
      <w:r w:rsidRPr="00382B94">
        <w:rPr>
          <w:b/>
          <w:bCs/>
        </w:rPr>
        <w:lastRenderedPageBreak/>
        <w:drawing>
          <wp:inline distT="0" distB="0" distL="0" distR="0" wp14:anchorId="229A5601" wp14:editId="744FEB0B">
            <wp:extent cx="6858000" cy="3433445"/>
            <wp:effectExtent l="0" t="0" r="0" b="0"/>
            <wp:docPr id="1358237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37949" name="Picture 1" descr="A screenshot of a computer&#10;&#10;AI-generated content may be incorrect."/>
                    <pic:cNvPicPr/>
                  </pic:nvPicPr>
                  <pic:blipFill>
                    <a:blip r:embed="rId9"/>
                    <a:stretch>
                      <a:fillRect/>
                    </a:stretch>
                  </pic:blipFill>
                  <pic:spPr>
                    <a:xfrm>
                      <a:off x="0" y="0"/>
                      <a:ext cx="6858000" cy="3433445"/>
                    </a:xfrm>
                    <a:prstGeom prst="rect">
                      <a:avLst/>
                    </a:prstGeom>
                  </pic:spPr>
                </pic:pic>
              </a:graphicData>
            </a:graphic>
          </wp:inline>
        </w:drawing>
      </w:r>
    </w:p>
    <w:p w14:paraId="45577B1E" w14:textId="3DAE3D6B" w:rsidR="00382B94" w:rsidRDefault="00382B94" w:rsidP="00D8145E">
      <w:pPr>
        <w:rPr>
          <w:b/>
          <w:bCs/>
          <w:color w:val="EE0000"/>
        </w:rPr>
      </w:pPr>
      <w:r w:rsidRPr="00382B94">
        <w:rPr>
          <w:b/>
          <w:bCs/>
          <w:color w:val="EE0000"/>
        </w:rPr>
        <w:t>I want you to incorporate graphical representations of your results, such as plots and tables. Consider moving some of the more technical implementation details to an appendix to create more space for these visual aids</w:t>
      </w:r>
    </w:p>
    <w:p w14:paraId="7C47A4A1" w14:textId="35DE83FD" w:rsidR="00C57563" w:rsidRPr="00C57563" w:rsidRDefault="00C57563" w:rsidP="00D8145E">
      <w:r w:rsidRPr="00C57563">
        <w:t xml:space="preserve">All the Graphs are attached </w:t>
      </w:r>
      <w:proofErr w:type="gramStart"/>
      <w:r w:rsidRPr="00C57563">
        <w:t>on</w:t>
      </w:r>
      <w:proofErr w:type="gramEnd"/>
      <w:r w:rsidRPr="00C57563">
        <w:t xml:space="preserve"> the other docs</w:t>
      </w:r>
    </w:p>
    <w:p w14:paraId="17953B07" w14:textId="77777777" w:rsidR="00E55855" w:rsidRPr="00E55855" w:rsidRDefault="00E55855" w:rsidP="00D8145E">
      <w:pPr>
        <w:rPr>
          <w:color w:val="EE0000"/>
        </w:rPr>
      </w:pPr>
    </w:p>
    <w:sectPr w:rsidR="00E55855" w:rsidRPr="00E55855" w:rsidSect="00E558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F040E"/>
    <w:multiLevelType w:val="hybridMultilevel"/>
    <w:tmpl w:val="D4BE28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C400C9"/>
    <w:multiLevelType w:val="multilevel"/>
    <w:tmpl w:val="961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862148">
    <w:abstractNumId w:val="0"/>
  </w:num>
  <w:num w:numId="2" w16cid:durableId="1914511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887"/>
    <w:rsid w:val="00130D6C"/>
    <w:rsid w:val="00382B94"/>
    <w:rsid w:val="00472A1B"/>
    <w:rsid w:val="00986887"/>
    <w:rsid w:val="009D0D46"/>
    <w:rsid w:val="00A3361C"/>
    <w:rsid w:val="00A53173"/>
    <w:rsid w:val="00C57563"/>
    <w:rsid w:val="00D8145E"/>
    <w:rsid w:val="00E55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4400"/>
  <w15:chartTrackingRefBased/>
  <w15:docId w15:val="{DAE19E65-6A8D-4C86-980B-C3F171D7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887"/>
    <w:rPr>
      <w:rFonts w:eastAsiaTheme="majorEastAsia" w:cstheme="majorBidi"/>
      <w:color w:val="272727" w:themeColor="text1" w:themeTint="D8"/>
    </w:rPr>
  </w:style>
  <w:style w:type="paragraph" w:styleId="Title">
    <w:name w:val="Title"/>
    <w:basedOn w:val="Normal"/>
    <w:next w:val="Normal"/>
    <w:link w:val="TitleChar"/>
    <w:uiPriority w:val="10"/>
    <w:qFormat/>
    <w:rsid w:val="00986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887"/>
    <w:pPr>
      <w:spacing w:before="160"/>
      <w:jc w:val="center"/>
    </w:pPr>
    <w:rPr>
      <w:i/>
      <w:iCs/>
      <w:color w:val="404040" w:themeColor="text1" w:themeTint="BF"/>
    </w:rPr>
  </w:style>
  <w:style w:type="character" w:customStyle="1" w:styleId="QuoteChar">
    <w:name w:val="Quote Char"/>
    <w:basedOn w:val="DefaultParagraphFont"/>
    <w:link w:val="Quote"/>
    <w:uiPriority w:val="29"/>
    <w:rsid w:val="00986887"/>
    <w:rPr>
      <w:i/>
      <w:iCs/>
      <w:color w:val="404040" w:themeColor="text1" w:themeTint="BF"/>
    </w:rPr>
  </w:style>
  <w:style w:type="paragraph" w:styleId="ListParagraph">
    <w:name w:val="List Paragraph"/>
    <w:basedOn w:val="Normal"/>
    <w:uiPriority w:val="34"/>
    <w:qFormat/>
    <w:rsid w:val="00986887"/>
    <w:pPr>
      <w:ind w:left="720"/>
      <w:contextualSpacing/>
    </w:pPr>
  </w:style>
  <w:style w:type="character" w:styleId="IntenseEmphasis">
    <w:name w:val="Intense Emphasis"/>
    <w:basedOn w:val="DefaultParagraphFont"/>
    <w:uiPriority w:val="21"/>
    <w:qFormat/>
    <w:rsid w:val="00986887"/>
    <w:rPr>
      <w:i/>
      <w:iCs/>
      <w:color w:val="0F4761" w:themeColor="accent1" w:themeShade="BF"/>
    </w:rPr>
  </w:style>
  <w:style w:type="paragraph" w:styleId="IntenseQuote">
    <w:name w:val="Intense Quote"/>
    <w:basedOn w:val="Normal"/>
    <w:next w:val="Normal"/>
    <w:link w:val="IntenseQuoteChar"/>
    <w:uiPriority w:val="30"/>
    <w:qFormat/>
    <w:rsid w:val="00986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887"/>
    <w:rPr>
      <w:i/>
      <w:iCs/>
      <w:color w:val="0F4761" w:themeColor="accent1" w:themeShade="BF"/>
    </w:rPr>
  </w:style>
  <w:style w:type="character" w:styleId="IntenseReference">
    <w:name w:val="Intense Reference"/>
    <w:basedOn w:val="DefaultParagraphFont"/>
    <w:uiPriority w:val="32"/>
    <w:qFormat/>
    <w:rsid w:val="00986887"/>
    <w:rPr>
      <w:b/>
      <w:bCs/>
      <w:smallCaps/>
      <w:color w:val="0F4761" w:themeColor="accent1" w:themeShade="BF"/>
      <w:spacing w:val="5"/>
    </w:rPr>
  </w:style>
  <w:style w:type="character" w:styleId="Strong">
    <w:name w:val="Strong"/>
    <w:basedOn w:val="DefaultParagraphFont"/>
    <w:uiPriority w:val="22"/>
    <w:qFormat/>
    <w:rsid w:val="00D8145E"/>
    <w:rPr>
      <w:b/>
      <w:bCs/>
    </w:rPr>
  </w:style>
  <w:style w:type="character" w:styleId="Emphasis">
    <w:name w:val="Emphasis"/>
    <w:basedOn w:val="DefaultParagraphFont"/>
    <w:uiPriority w:val="20"/>
    <w:qFormat/>
    <w:rsid w:val="00D814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98898">
      <w:bodyDiv w:val="1"/>
      <w:marLeft w:val="0"/>
      <w:marRight w:val="0"/>
      <w:marTop w:val="0"/>
      <w:marBottom w:val="0"/>
      <w:divBdr>
        <w:top w:val="none" w:sz="0" w:space="0" w:color="auto"/>
        <w:left w:val="none" w:sz="0" w:space="0" w:color="auto"/>
        <w:bottom w:val="none" w:sz="0" w:space="0" w:color="auto"/>
        <w:right w:val="none" w:sz="0" w:space="0" w:color="auto"/>
      </w:divBdr>
    </w:div>
    <w:div w:id="262223652">
      <w:bodyDiv w:val="1"/>
      <w:marLeft w:val="0"/>
      <w:marRight w:val="0"/>
      <w:marTop w:val="0"/>
      <w:marBottom w:val="0"/>
      <w:divBdr>
        <w:top w:val="none" w:sz="0" w:space="0" w:color="auto"/>
        <w:left w:val="none" w:sz="0" w:space="0" w:color="auto"/>
        <w:bottom w:val="none" w:sz="0" w:space="0" w:color="auto"/>
        <w:right w:val="none" w:sz="0" w:space="0" w:color="auto"/>
      </w:divBdr>
    </w:div>
    <w:div w:id="679041786">
      <w:bodyDiv w:val="1"/>
      <w:marLeft w:val="0"/>
      <w:marRight w:val="0"/>
      <w:marTop w:val="0"/>
      <w:marBottom w:val="0"/>
      <w:divBdr>
        <w:top w:val="none" w:sz="0" w:space="0" w:color="auto"/>
        <w:left w:val="none" w:sz="0" w:space="0" w:color="auto"/>
        <w:bottom w:val="none" w:sz="0" w:space="0" w:color="auto"/>
        <w:right w:val="none" w:sz="0" w:space="0" w:color="auto"/>
      </w:divBdr>
    </w:div>
    <w:div w:id="126113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Castanuela</dc:creator>
  <cp:keywords/>
  <dc:description/>
  <cp:lastModifiedBy>Luis Castanuela</cp:lastModifiedBy>
  <cp:revision>1</cp:revision>
  <dcterms:created xsi:type="dcterms:W3CDTF">2025-05-15T02:33:00Z</dcterms:created>
  <dcterms:modified xsi:type="dcterms:W3CDTF">2025-05-15T03:56:00Z</dcterms:modified>
</cp:coreProperties>
</file>