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de Resultados – MAX–MIN Ant System (MMAS)</w:t>
        <w:br/>
      </w:r>
      <w:r>
        <w:rPr>
          <w:b/>
          <w:sz w:val="26"/>
        </w:rPr>
        <w:t>Problema da Mochila 0/1</w:t>
        <w:br/>
      </w:r>
      <w:r>
        <w:rPr>
          <w:sz w:val="22"/>
        </w:rPr>
        <w:t>Análise da grelha experimental com tempo de execução por instância</w:t>
      </w:r>
    </w:p>
    <w:p>
      <w:pPr>
        <w:jc w:val="center"/>
      </w:pPr>
      <w:r>
        <w:rPr>
          <w:i/>
        </w:rPr>
        <w:t>Fonte principal: mmas-grid-results.csv</w:t>
        <w:br/>
      </w:r>
      <w:r>
        <w:t>65 610 execuções, 10 instâncias, 6 561 configurações por instância.</w:t>
      </w:r>
    </w:p>
    <w:p>
      <w:pPr>
        <w:pStyle w:val="Heading1"/>
      </w:pPr>
      <w:r>
        <w:t>1. Objetivo</w:t>
      </w:r>
    </w:p>
    <w:p>
      <w:r>
        <w:t>Este documento substitui a versão anterior do relatório e incorpora duas melhorias centrais: a inclusão explícita do tempo de execução de cada instância e uma leitura sistemática do impacto observado de cada propriedade da grelha MMAS nos resultados finais.</w:t>
      </w:r>
    </w:p>
    <w:p>
      <w:pPr>
        <w:pStyle w:val="Heading1"/>
      </w:pPr>
      <w:r>
        <w:t>2. Configuração experimental</w:t>
      </w:r>
    </w:p>
    <w:p>
      <w:r>
        <w:t>A campanha experimental avaliou as 10 instâncias n_1000_1 a n_1000_10 com uma grelha de 3 níveis por propriedade. O produto cartesiano das propriedades gerou 6 561 execuções por instância e 65 610 execuções no total. O tempo acumulado registado no CSV foi de 199,272 s (aproximadamente 3,32 minutos).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94"/>
        <w:gridCol w:w="1814"/>
        <w:gridCol w:w="4535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Propriedade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Níveis testados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Papel teórico no MMAS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mmas.numero.formigas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2, 3, 5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Número de soluções construídas por ciclo; aumenta diversidade e custo computacional.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mmas.numero.ciclos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2, 3, 5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Número de iterações construção–avaliação–atualização.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mmas.peso.feromona (α)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0,8; 1,0; 1,2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Peso da memória coletiva nas decisões.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mmas.peso.heuristica (β)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2,0; 3,0; 4,0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Peso da heurística local valor/peso.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mmas.taxa.evaporacao (ρ)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0,1; 0,2; 0,3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Velocidade de esquecimento da feromona.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mmas.intensidade.deposito (Q)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0,5; 1,0; 2,0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Escala do reforço aplicado à melhor solução.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mmas.ciclos.sem.melhoria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5; 8; 12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Limiar para reinicialização de feromonas.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mmas.semente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4; 12; 202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Controla a parte aleatória e a reprodutibilidade.</w:t>
            </w:r>
          </w:p>
        </w:tc>
      </w:tr>
    </w:tbl>
    <w:p>
      <w:r>
        <w:t>Legenda dos metadados do nome descritivo da instância: n = número de itens; c = capacidade da mochila; g, f e epsilon = parâmetros do gerador; s = seed usada na geração da instância. Neste benchmark, n, c, g e f permanecem constantes; a diferença entre instâncias concentra-se em epsilon e s.</w:t>
      </w:r>
    </w:p>
    <w:p>
      <w:pPr>
        <w:sectPr>
          <w:pgSz w:w="12240" w:h="15840"/>
          <w:pgMar w:top="1134" w:right="1191" w:bottom="1134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t>3. Resultados por instância</w:t>
      </w:r>
    </w:p>
    <w:p>
      <w:r>
        <w:t>A tabela seguinte resume, por instância, o melhor valor obtido, a referência ótima, o gap absoluto e percentual, e os tempos registados no CSV. O tempo médio é calculado sobre 6 561 execuções da mesma instância; o intervalo mínimo–máximo mostra a dispersão temporal entre configurações; o tempo total agrega toda a campanha dessa instância.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1"/>
        <w:gridCol w:w="680"/>
        <w:gridCol w:w="624"/>
        <w:gridCol w:w="1701"/>
        <w:gridCol w:w="1701"/>
        <w:gridCol w:w="1191"/>
        <w:gridCol w:w="1077"/>
        <w:gridCol w:w="1191"/>
        <w:gridCol w:w="1304"/>
        <w:gridCol w:w="1134"/>
      </w:tblGrid>
      <w:tr>
        <w:tc>
          <w:tcPr>
            <w:tcW w:type="dxa" w:w="1448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Instância</w:t>
            </w:r>
          </w:p>
        </w:tc>
        <w:tc>
          <w:tcPr>
            <w:tcW w:type="dxa" w:w="1448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eps</w:t>
            </w:r>
          </w:p>
        </w:tc>
        <w:tc>
          <w:tcPr>
            <w:tcW w:type="dxa" w:w="1448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s</w:t>
            </w:r>
          </w:p>
        </w:tc>
        <w:tc>
          <w:tcPr>
            <w:tcW w:type="dxa" w:w="1448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Melhor valor</w:t>
            </w:r>
          </w:p>
        </w:tc>
        <w:tc>
          <w:tcPr>
            <w:tcW w:type="dxa" w:w="1448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Ótimo</w:t>
            </w:r>
          </w:p>
        </w:tc>
        <w:tc>
          <w:tcPr>
            <w:tcW w:type="dxa" w:w="1448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Gap</w:t>
            </w:r>
          </w:p>
        </w:tc>
        <w:tc>
          <w:tcPr>
            <w:tcW w:type="dxa" w:w="1448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Gap %</w:t>
            </w:r>
          </w:p>
        </w:tc>
        <w:tc>
          <w:tcPr>
            <w:tcW w:type="dxa" w:w="1448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Tempo médio (ms)</w:t>
            </w:r>
          </w:p>
        </w:tc>
        <w:tc>
          <w:tcPr>
            <w:tcW w:type="dxa" w:w="1448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Tempo min–máx (ms)</w:t>
            </w:r>
          </w:p>
        </w:tc>
        <w:tc>
          <w:tcPr>
            <w:tcW w:type="dxa" w:w="1448"/>
            <w:vAlign w:val="center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Tempo total (s)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n_1000_1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0,0001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9 989 474 305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9 999 946 233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10 471 928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0,104720%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5,568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1–88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36,529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n_1000_2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0,0001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300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9 989 486 700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9 999 964 987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10 478 287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0,104783%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2,822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0–30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18,514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n_1000_3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0,01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9 981 260 200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9 999 229 281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17 969 081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0,179705%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2,643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0–24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17,343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n_1000_4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0,01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9 961 739 503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9 999 239 905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37 500 402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0,375033%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2,786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0–20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18,276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n_1000_5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0,01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300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9 953 142 678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9 999 251 796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46 109 118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0,461126%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2,507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0–18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16,448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n_1000_6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9 500 005 805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9 996 100 344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496 094 539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4,962881%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2,588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0–111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16,979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n_1000_7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9 507 823 943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9 996 105 266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488 281 323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4,884716%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2,607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0–20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17,102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n_1000_8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300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9 500 015 421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9 996 111 502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496 096 081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4,962891%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2,970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0–49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19,488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n_1000_9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9 980 484 517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9 980 488 131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3 614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0,000036%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2,584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0–22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16,952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n_1000_10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9 980 502 348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9 980 507 700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5 352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0,000054%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3,298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0–51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21,641</w:t>
            </w:r>
          </w:p>
        </w:tc>
      </w:tr>
    </w:tbl>
    <w:p>
      <w:r>
        <w:t>Síntese dos resultados: n_1000_9 e n_1000_10 ficaram praticamente ótimas; n_1000_1 e n_1000_2 ficaram cerca de 0,105% abaixo do ótimo; n_1000_3, n_1000_4 e n_1000_5 degradaram para uma faixa entre 0,18% e 0,46%; e a família eps = 0,1 concentrou os piores resultados, perto de 4,9%.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50"/>
        <w:gridCol w:w="4252"/>
        <w:gridCol w:w="1417"/>
        <w:gridCol w:w="2551"/>
        <w:gridCol w:w="1701"/>
      </w:tblGrid>
      <w:tr>
        <w:tc>
          <w:tcPr>
            <w:tcW w:type="dxa" w:w="2896"/>
            <w:vAlign w:val="center"/>
            <w:shd w:fill="EAF2D3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eps</w:t>
            </w:r>
          </w:p>
        </w:tc>
        <w:tc>
          <w:tcPr>
            <w:tcW w:type="dxa" w:w="2896"/>
            <w:vAlign w:val="center"/>
            <w:shd w:fill="EAF2D3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Instâncias</w:t>
            </w:r>
          </w:p>
        </w:tc>
        <w:tc>
          <w:tcPr>
            <w:tcW w:type="dxa" w:w="2896"/>
            <w:vAlign w:val="center"/>
            <w:shd w:fill="EAF2D3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Gap médio</w:t>
            </w:r>
          </w:p>
        </w:tc>
        <w:tc>
          <w:tcPr>
            <w:tcW w:type="dxa" w:w="2896"/>
            <w:vAlign w:val="center"/>
            <w:shd w:fill="EAF2D3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Gap min–máx</w:t>
            </w:r>
          </w:p>
        </w:tc>
        <w:tc>
          <w:tcPr>
            <w:tcW w:type="dxa" w:w="2896"/>
            <w:vAlign w:val="center"/>
            <w:shd w:fill="EAF2D3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Tempo médio (ms)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0,0001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n_1000_1, n_1000_2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0,104752%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0,104720% – 0,104783%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4,195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0,01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n_1000_3, n_1000_4, n_1000_5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0,338621%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0,179705% – 0,461126%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2,645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0,1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n_1000_6, n_1000_7, n_1000_8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4,936829%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4,884716% – 4,962891%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2,722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n_1000_9, n_1000_10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0,000045%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0,000036% – 0,000054%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2,941</w:t>
            </w:r>
          </w:p>
        </w:tc>
      </w:tr>
    </w:tbl>
    <w:p>
      <w:pPr>
        <w:pStyle w:val="Heading1"/>
      </w:pPr>
      <w:r>
        <w:t>4. Impacto observado de cada propriedade</w:t>
      </w:r>
    </w:p>
    <w:p>
      <w:r>
        <w:t>O padrão dominante desta campanha é simples: dentro de cada instância, todas as 6 561 configurações devolveram exatamente o mesmo best_value. Logo, não houve impacto observável das propriedades na qualidade final das soluções. Em contrapartida, houve impacto claro no tempo de execução, sobretudo nas propriedades que aumentam o orçamento computacional.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2494"/>
        <w:gridCol w:w="2608"/>
        <w:gridCol w:w="2324"/>
        <w:gridCol w:w="3458"/>
      </w:tblGrid>
      <w:tr>
        <w:tc>
          <w:tcPr>
            <w:tcW w:type="dxa" w:w="2896"/>
            <w:vAlign w:val="center"/>
            <w:shd w:fill="FCE4D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Propriedade</w:t>
            </w:r>
          </w:p>
        </w:tc>
        <w:tc>
          <w:tcPr>
            <w:tcW w:type="dxa" w:w="2896"/>
            <w:vAlign w:val="center"/>
            <w:shd w:fill="FCE4D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Papel teórico</w:t>
            </w:r>
          </w:p>
        </w:tc>
        <w:tc>
          <w:tcPr>
            <w:tcW w:type="dxa" w:w="2896"/>
            <w:vAlign w:val="center"/>
            <w:shd w:fill="FCE4D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Impacto na qualidade</w:t>
            </w:r>
          </w:p>
        </w:tc>
        <w:tc>
          <w:tcPr>
            <w:tcW w:type="dxa" w:w="2896"/>
            <w:vAlign w:val="center"/>
            <w:shd w:fill="FCE4D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Impacto no tempo</w:t>
            </w:r>
          </w:p>
        </w:tc>
        <w:tc>
          <w:tcPr>
            <w:tcW w:type="dxa" w:w="2896"/>
            <w:vAlign w:val="center"/>
            <w:shd w:fill="FCE4D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16"/>
              </w:rPr>
              <w:t>Interpretação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Número de formigas (m)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Mais formigas aumentam a diversidade por ciclo.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Nenhuma diferença observável; o best_value foi idêntico para m = 2, 3 e 5.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Tempo médio: 2,36 ms → 2,49 ms → 4,25 ms.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Aumentou claramente o custo temporal, mas não melhorou a qualidade nesta campanha.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Número de ciclos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Mais ciclos permitem mais atualizações de feromona.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Nenhuma diferença observável; o best_value foi idêntico para 2, 3 e 5 ciclos.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Tempo médio: 2,11 ms → 2,84 ms → 4,16 ms.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Foi a variável temporal mais forte, mas sem ganho de qualidade observado.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α = peso da feromona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Equilibra memória coletiva e heurística.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Nenhuma diferença observável entre α = 0,8, 1,0 e 1,2.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Tempo médio entre 2,92 ms e 3,15 ms.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Efeito residual neste intervalo; a variação temporal foi pequena.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β = peso da heurística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Aumenta a força do rácio valor/peso.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Nenhuma diferença observável entre β = 2, 3 e 4.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Tempo médio: 2,68 ms → 3,21 ms → 3,22 ms.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Pequeno aumento de custo, sem melhoria de solução.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ρ = taxa de evaporação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Controla o esquecimento da feromona.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Nenhuma diferença observável entre ρ = 0,1, 0,2 e 0,3.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Tempo médio praticamente constante, perto de 3,0 ms.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Com apenas 2 a 5 ciclos, a evaporação teve pouco espaço para alterar o resultado final.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Q = intensidade de depósito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Escala o reforço da melhor solução.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Nenhuma diferença observável entre Q = 0,5, 1,0 e 2,0.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Tempo médio praticamente constante, perto de 3,0 ms.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O efeito do depósito ficou praticamente invisível nesta campanha curta.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Ciclos sem melhoria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Aciona reinicialização por estagnação.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Nenhuma diferença observável entre 5, 8 e 12.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Tempo médio praticamente constante, perto de 3,0 ms.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Como o máximo de ciclos era 5, os níveis 8 e 12 não podiam ativar reinicialização.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Semente aleatória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Afeta a componente estocástica.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Nenhuma diferença observável entre seeds 4, 12 e 202.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Tempo médio praticamente constante, perto de 3,0 ms.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A ausência de variação sugere comportamento quase determinístico ou necessidade de validar o pipeline.</w:t>
            </w:r>
          </w:p>
        </w:tc>
      </w:tr>
    </w:tbl>
    <w:p>
      <w:pPr>
        <w:sectPr>
          <w:pgSz w:w="15840" w:h="12240" w:orient="landscape"/>
          <w:pgMar w:top="850" w:right="680" w:bottom="85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5. Discussão</w:t>
      </w:r>
    </w:p>
    <w:p>
      <w:r>
        <w:t>Os resultados mostram que o tempo de execução é sensível, acima de tudo, ao número de formigas e ao número de ciclos. Isto é coerente com o funcionamento do MMAS: mais formigas implicam mais soluções avaliadas por iteração, e mais ciclos implicam mais repetições do processo de construção, avaliação, evaporação e reforço.</w:t>
      </w:r>
    </w:p>
    <w:p>
      <w:r>
        <w:t>Em contraste, a qualidade final não reagiu à mudança dos parâmetros na campanha atual. Esta observação deve ser reportada de forma transparente no trabalho: não se trata de afirmar que α, β, ρ, Q, estagnação e seed são irrelevantes em geral, mas sim de reconhecer que, nesta grelha concreta, não foi possível medir o seu efeito sobre a qualidade.</w:t>
      </w:r>
    </w:p>
    <w:p>
      <w:r>
        <w:t>Duas razões são plausíveis. A primeira é experimental: a grelha é muito curta, porque usa apenas 2 a 5 ciclos e 2 a 5 formigas. A segunda é técnica: quando até a semente aleatória deixa de introduzir variação, convém validar se os parâmetros estão efetivamente ligados ao solver e se o algoritmo não está a devolver sempre a mesma solução de base.</w:t>
      </w:r>
    </w:p>
    <w:p>
      <w:r>
        <w:t>Por instância, a variável que melhor explica as diferenças finais é epsilon. As instâncias com eps = 0 ficaram praticamente ótimas; eps = 0,0001 ficou perto de 0,105%; eps = 0,01 caiu para a faixa 0,18%–0,46%; e eps = 0,1 concentrou os gaps próximos de 4,9%.</w:t>
      </w:r>
    </w:p>
    <w:p>
      <w:pPr>
        <w:pStyle w:val="Heading1"/>
      </w:pPr>
      <w:r>
        <w:t>6. Conclusão</w:t>
      </w:r>
    </w:p>
    <w:p>
      <w:r>
        <w:t>Este novo relatório passa a incluir explicitamente o tempo de execução de cada instância e a leitura do impacto de cada propriedade da grelha MMAS. A principal conclusão é que a grelha atual foi suficiente para medir custo temporal, mas não foi informativa para medir sensibilidade dos parâmetros na qualidade da solução. Para a próxima campanha, faz sentido aumentar claramente o número de ciclos e o número de formigas e redefinir o limiar de estagnação para valores compatíveis com o orçamento total de ciclos.</w:t>
      </w:r>
    </w:p>
    <w:p>
      <w:r>
        <w:t>Recomendação prática: repetir a campanha com mais iterações (por exemplo, 100–500), mais formigas e um registo adicional do valor inicial, do valor após pesquisa local e do número de reinicializações, para perceber melhor em que fase o desempenho está a estabilizar.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