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Relatório dos Resultados Obtidos</w:t>
        <w:br/>
        <w:t>MAX–MIN Ant System (MMAS)</w:t>
      </w:r>
    </w:p>
    <w:p>
      <w:pPr>
        <w:pStyle w:val="SubTitleCustom"/>
        <w:jc w:val="center"/>
      </w:pPr>
      <w:r>
        <w:t>Problema da Mochila 0/1 — relatório detalhado para as instâncias n_1000_1 a n_1000_10</w:t>
      </w:r>
    </w:p>
    <w:p>
      <w:pPr>
        <w:pStyle w:val="SubTitleCustom"/>
        <w:jc w:val="center"/>
      </w:pPr>
      <w:r>
        <w:t>Versão revista com identificação das variáveis, interpretação dos parâmetros e análise fundamentada</w:t>
      </w:r>
    </w:p>
    <w:p/>
    <w:p>
      <w:pPr>
        <w:spacing w:after="120"/>
      </w:pPr>
      <w:r>
        <w:t>Este relatório consolida a análise dos resultados obtidos para as 10 instâncias testadas, comparando o melhor valor registado em cada caso com o valor ótimo oficial. Para além da comparação final, o documento identifica as variáveis do problema e as variáveis do MMAS, explicita as métricas de avaliação e acrescenta uma leitura mais fundamentada dos padrões observados.</w:t>
      </w:r>
    </w:p>
    <w:p>
      <w:pPr>
        <w:pStyle w:val="Heading1"/>
      </w:pPr>
      <w:r>
        <w:t>1. Identificação das variáveis</w:t>
      </w:r>
    </w:p>
    <w:p>
      <w:pPr>
        <w:spacing w:after="120"/>
      </w:pPr>
      <w:r>
        <w:t>A análise envolve dois conjuntos de variáveis distintos: (i) as variáveis que caracterizam cada instância do problema, presentes no nome do ficheiro, e (ii) as variáveis do algoritmo MMAS usadas na campanha experimental.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Variável da instância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Símbolo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Significado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Observação no conjunto analisado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Número de itens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Quantidade de itens candidatos a entrar na mochila.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Constante: n=1000 em todas as instâncias.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Capacidade / parâmetro c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Limite global associado ao problema gerado.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Constante: c=10000000000.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Parâmetro do gerador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Parâmetro estrutural do gerador das instâncias.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Constante: g=10.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Parâmetro do gerador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Fator usado na geração das instâncias.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Constante: f=0,1.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Epsilon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eps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Parâmetro de perturbação/dificuldade da instância.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Varia entre 0; 0,0001; 0,01; 0,1.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 da instância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Semente usada para gerar a instância.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Varia entre 100; 200; 300.</w:t>
            </w:r>
          </w:p>
        </w:tc>
      </w:tr>
    </w:tbl>
    <w:p>
      <w:pPr>
        <w:spacing w:after="120"/>
      </w:pPr>
      <w:r>
        <w:t>No conjunto fornecido, as diferenças entre instâncias não resultam de mudanças em n, c, g ou f, que permanecem constantes. Assim, a variabilidade prática do benchmark está sobretudo associada a eps e 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Variável do MMAS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Símbolo / chave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Papel no algoritmo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Níveis observados nos ficheiros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Número de formigas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ants (m)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Número de soluções construídas por iteração; aumenta a diversidade da pesquisa.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20, 30, 50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Número de iterações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iterations (T)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Número de ciclos construção–avaliação–atualização da feromona.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200, 300, 500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Peso da feromona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alpha (α)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Controla o peso da memória coletiva nas decisões.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0,8 ; 1,0 ; 1,2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Peso da heurística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beta (β)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Controla a importância da heurística local (por ex., valor/peso).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2,0 ; 3,0 ; 4,0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Taxa de evaporação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rho (ρ)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Determina a velocidade a que a feromona antiga é esquecida.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0,1 ; 0,2 ; 0,3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Intensidade de depósito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 (Q)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Escala do reforço aplicado às soluções boas.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0,5 ; 1,0 ; 2,0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Limite sem melhoria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stall.limit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Número de iterações sem melhoria antes do reinício de feromona.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 ; 80 ; 120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Semente aleatória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Controla a parte estocástica do algoritmo e a reprodutibilidade.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 ; 123 ; 2026</w:t>
            </w:r>
          </w:p>
        </w:tc>
      </w:tr>
    </w:tbl>
    <w:p>
      <w:pPr>
        <w:spacing w:after="120"/>
      </w:pPr>
      <w:r>
        <w:t>Os níveis observados nas variáveis do MMAS foram extraídos do ficheiro de grelha atualmente disponível. Esse ficheiro contém execuções detalhadas para um subconjunto das instâncias; já o ficheiro consolidado de resultados finais cobre as 10 instâncias.</w:t>
      </w:r>
    </w:p>
    <w:p>
      <w:pPr>
        <w:pStyle w:val="Heading1"/>
      </w:pPr>
      <w:r>
        <w:t>2. Métricas de avaliação</w:t>
      </w:r>
    </w:p>
    <w:p>
      <w:pPr>
        <w:spacing w:after="120"/>
      </w:pPr>
      <w:r>
        <w:t>A comparação entre resultados e ótimo oficial foi feita com duas métricas:</w:t>
      </w:r>
    </w:p>
    <w:p>
      <w:pPr>
        <w:spacing w:after="120"/>
      </w:pPr>
      <w:r>
        <w:t>• diferença absoluta = ótimo − melhor_valor</w:t>
      </w:r>
    </w:p>
    <w:p>
      <w:pPr>
        <w:spacing w:after="120"/>
      </w:pPr>
      <w:r>
        <w:t>• gap percentual = 100 × (ótimo − melhor_valor) / ótimo</w:t>
      </w:r>
    </w:p>
    <w:p>
      <w:pPr>
        <w:spacing w:after="120"/>
      </w:pPr>
      <w:r>
        <w:t>Quando a diferença é negativa, o valor obtido no ficheiro de resultados fica acima do ótimo oficial. Este cenário não é esperado para a mesma instância e a mesma função objetivo; por isso, tais casos foram tratados como inconsistências a validar.</w:t>
      </w:r>
    </w:p>
    <w:p>
      <w:pPr>
        <w:pStyle w:val="Heading1"/>
      </w:pPr>
      <w:r>
        <w:t>3. Síntese global dos resultados por instância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Instância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eps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Melhor valor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Ótimo oficial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Diferença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Leitura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n_1000_1</w:t>
            </w:r>
          </w:p>
        </w:tc>
        <w:tc>
          <w:tcPr>
            <w:tcW w:type="dxa" w:w="1425"/>
            <w:vAlign w:val="center"/>
          </w:tcPr>
          <w:p>
            <w:r>
              <w:t>0,0001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9999944578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9999946233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1655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Praticamente ótimo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n_1000_10</w:t>
            </w:r>
          </w:p>
        </w:tc>
        <w:tc>
          <w:tcPr>
            <w:tcW w:type="dxa" w:w="1425"/>
            <w:vAlign w:val="center"/>
          </w:tcPr>
          <w:p>
            <w:r>
              <w:t>0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9980502348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9980507700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5352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Praticamente ótimo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n_1000_2</w:t>
            </w:r>
          </w:p>
        </w:tc>
        <w:tc>
          <w:tcPr>
            <w:tcW w:type="dxa" w:w="1425"/>
            <w:vAlign w:val="center"/>
          </w:tcPr>
          <w:p>
            <w:r>
              <w:t>0,0001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300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9999952210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9999964987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12777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Muito próximo do ótimo</w:t>
            </w:r>
          </w:p>
        </w:tc>
      </w:tr>
      <w:tr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n_1000_3</w:t>
            </w:r>
          </w:p>
        </w:tc>
        <w:tc>
          <w:tcPr>
            <w:tcW w:type="dxa" w:w="1425"/>
            <w:vAlign w:val="center"/>
            <w:shd w:fill="FDE9D9"/>
          </w:tcPr>
          <w:p>
            <w:r>
              <w:t>0,01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9999959471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9999229281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-730190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Acima do ótimo oficial</w:t>
            </w:r>
          </w:p>
        </w:tc>
      </w:tr>
      <w:tr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n_1000_4</w:t>
            </w:r>
          </w:p>
        </w:tc>
        <w:tc>
          <w:tcPr>
            <w:tcW w:type="dxa" w:w="1425"/>
            <w:vAlign w:val="center"/>
            <w:shd w:fill="FDE9D9"/>
          </w:tcPr>
          <w:p>
            <w:r>
              <w:t>0,01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9999850892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9999239905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-610987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Acima do ótimo oficial</w:t>
            </w:r>
          </w:p>
        </w:tc>
      </w:tr>
      <w:tr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n_1000_5</w:t>
            </w:r>
          </w:p>
        </w:tc>
        <w:tc>
          <w:tcPr>
            <w:tcW w:type="dxa" w:w="1425"/>
            <w:vAlign w:val="center"/>
            <w:shd w:fill="FDE9D9"/>
          </w:tcPr>
          <w:p>
            <w:r>
              <w:t>0,01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300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9999858190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9999251796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-606394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Acima do ótimo oficial</w:t>
            </w:r>
          </w:p>
        </w:tc>
      </w:tr>
      <w:tr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n_1000_6</w:t>
            </w:r>
          </w:p>
        </w:tc>
        <w:tc>
          <w:tcPr>
            <w:tcW w:type="dxa" w:w="1425"/>
            <w:vAlign w:val="center"/>
            <w:shd w:fill="FDE9D9"/>
          </w:tcPr>
          <w:p>
            <w:r>
              <w:t>0,1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9999865341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9996100344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-3764997</w:t>
            </w:r>
          </w:p>
        </w:tc>
        <w:tc>
          <w:tcPr>
            <w:tcW w:type="dxa" w:w="1425"/>
            <w:vAlign w:val="center"/>
            <w:shd w:fill="FDE9D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Acima do ótimo oficial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n_1000_7</w:t>
            </w:r>
          </w:p>
        </w:tc>
        <w:tc>
          <w:tcPr>
            <w:tcW w:type="dxa" w:w="1425"/>
            <w:vAlign w:val="center"/>
          </w:tcPr>
          <w:p>
            <w:r>
              <w:t>0,1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9996104719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9996105266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547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Praticamente ótimo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n_1000_8</w:t>
            </w:r>
          </w:p>
        </w:tc>
        <w:tc>
          <w:tcPr>
            <w:tcW w:type="dxa" w:w="1425"/>
            <w:vAlign w:val="center"/>
          </w:tcPr>
          <w:p>
            <w:r>
              <w:t>0,1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300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9996110551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9996111502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951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Praticamente ótimo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n_1000_9</w:t>
            </w:r>
          </w:p>
        </w:tc>
        <w:tc>
          <w:tcPr>
            <w:tcW w:type="dxa" w:w="1425"/>
            <w:vAlign w:val="center"/>
          </w:tcPr>
          <w:p>
            <w:r>
              <w:t>0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9980484517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9980488131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3614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Praticamente ótimo</w:t>
            </w:r>
          </w:p>
        </w:tc>
      </w:tr>
    </w:tbl>
    <w:p>
      <w:pPr>
        <w:spacing w:after="120"/>
      </w:pPr>
      <w:r>
        <w:t>Leitura global da tabela: as instâncias n_1000_1, n_1000_2, n_1000_7, n_1000_8, n_1000_9 e n_1000_10 ficaram extremamente próximas do ótimo. Em contraste, as instâncias n_1000_3, n_1000_4, n_1000_5 e n_1000_6 apresentam melhor_valor acima do ótimo oficial, o que exige revalidação dos dados experimentais.</w:t>
      </w:r>
    </w:p>
    <w:p>
      <w:pPr>
        <w:pStyle w:val="Heading1"/>
      </w:pPr>
      <w:r>
        <w:t>4. Análise fundamentada dos resultados</w:t>
      </w:r>
    </w:p>
    <w:p>
      <w:pPr>
        <w:pStyle w:val="Heading2"/>
      </w:pPr>
      <w:r>
        <w:t>4.1 Qualidade das soluções consistentes</w:t>
      </w:r>
    </w:p>
    <w:p>
      <w:pPr>
        <w:spacing w:after="120"/>
      </w:pPr>
      <w:r>
        <w:t>Nas instâncias com comportamento consistente, o desempenho do algoritmo é globalmente muito bom. Os gaps percentuais são extremamente baixos: n_1000_7 ficou apenas 547 unidades abaixo do ótimo, n_1000_8 ficou a 951, n_1000_1 ficou a 1655, n_1000_9 ficou a 3614 e n_1000_10 ficou a 5352. À escala de valores próximos de 10^10, estes desvios são residuais.</w:t>
      </w:r>
    </w:p>
    <w:p>
      <w:pPr>
        <w:spacing w:after="120"/>
      </w:pPr>
      <w:r>
        <w:t>A instância n_1000_2 também se mantém próxima do ótimo, embora com diferença um pouco superior (12 777). Isto sugere que o MMAS, mesmo sem garantia de optimalidade, foi capaz de produzir soluções finais de elevada qualidade para a maioria dos casos.</w:t>
      </w:r>
    </w:p>
    <w:p>
      <w:pPr>
        <w:pStyle w:val="Heading2"/>
      </w:pPr>
      <w:r>
        <w:t>4.2 Instâncias com inconsistência face ao ótimo</w:t>
      </w:r>
    </w:p>
    <w:p>
      <w:pPr>
        <w:spacing w:after="120"/>
      </w:pPr>
      <w:r>
        <w:t>O ponto mais sensível do relatório está nas instâncias n_1000_3, n_1000_4, n_1000_5 e n_1000_6. Em todas elas, o melhor_valor registado no ficheiro consolidado ultrapassa o ótimo oficial. Isso não deveria acontecer se a correspondência entre instância, avaliação da função objetivo e ficheiro de ótimos estiver correta.</w:t>
      </w:r>
    </w:p>
    <w:p>
      <w:pPr>
        <w:spacing w:after="120"/>
      </w:pPr>
      <w:r>
        <w:t>Importa notar que os pesos totais dessas soluções continuam abaixo da capacidade da mochila. Portanto, a incongruência não parece resultar de violação direta da restrição de capacidade. As hipóteses mais plausíveis são: erro na associação entre o nome abreviado da instância e o ótimo oficial; erro no cálculo do melhor_valor; problema de leitura/parsing dos ficheiros; ou utilização de ficheiros de instância diferentes dos que serviram de base à tabela de ótimos.</w:t>
      </w:r>
    </w:p>
    <w:p>
      <w:pPr>
        <w:pStyle w:val="Heading2"/>
      </w:pPr>
      <w:r>
        <w:t>4.3 Leitura por famílias de instâncias (efeito de eps)</w:t>
      </w:r>
    </w:p>
    <w:p>
      <w:pPr>
        <w:spacing w:after="120"/>
      </w:pPr>
      <w:r>
        <w:t>Como n, c, g e f são constantes, a análise entre instâncias pode ser estruturada sobretudo por eps.</w:t>
      </w:r>
    </w:p>
    <w:p>
      <w:pPr>
        <w:spacing w:after="120"/>
      </w:pPr>
      <w:r>
        <w:t>• eps = 0,0001 (instâncias n_1000_1 e n_1000_2): ambas ficaram muito próximas do ótimo, o que sugere comportamento estável e consistente nesta família.</w:t>
      </w:r>
    </w:p>
    <w:p>
      <w:pPr>
        <w:spacing w:after="120"/>
      </w:pPr>
      <w:r>
        <w:t>• eps = 0,01 (instâncias n_1000_3, n_1000_4 e n_1000_5): os três casos surgem acima do ótimo oficial. Como a anomalia se repete em toda a família, este grupo merece validação prioritária.</w:t>
      </w:r>
    </w:p>
    <w:p>
      <w:pPr>
        <w:spacing w:after="120"/>
      </w:pPr>
      <w:r>
        <w:t>• eps = 0,1 (instâncias n_1000_6, n_1000_7 e n_1000_8): há comportamento misto. As instâncias n_1000_7 e n_1000_8 são praticamente ótimas, enquanto n_1000_6 apresenta a maior incongruência de todas.</w:t>
      </w:r>
    </w:p>
    <w:p>
      <w:pPr>
        <w:spacing w:after="120"/>
      </w:pPr>
      <w:r>
        <w:t>• eps = 0 (instâncias n_1000_9 e n_1000_10): ambas ficam muito próximas do ótimo, reforçando a ideia de que o algoritmo pode alcançar resultados de alta qualidade quando os dados estão consistentes.</w:t>
      </w:r>
    </w:p>
    <w:p>
      <w:pPr>
        <w:spacing w:after="120"/>
      </w:pPr>
      <w:r>
        <w:t>Esta leitura não prova que eps seja a causa do problema, mas ajuda a localizar onde a inconsistência se concentra: no grupo eps = 0,01 e, de forma isolada, na instância n_1000_6.</w:t>
      </w:r>
    </w:p>
    <w:p>
      <w:pPr>
        <w:pStyle w:val="Heading2"/>
      </w:pPr>
      <w:r>
        <w:t>4.4 O que os resultados permitem concluir sobre o MMAS</w:t>
      </w:r>
    </w:p>
    <w:p>
      <w:pPr>
        <w:spacing w:after="120"/>
      </w:pPr>
      <w:r>
        <w:t>Os resultados finais permitem sustentar duas conclusões em simultâneo. Primeiro, o MMAS mostrou capacidade para produzir soluções de qualidade muito elevada em várias instâncias, com gaps praticamente nulos. Segundo, o conjunto de resultados ainda não pode ser lido como prova conclusiva de desempenho global porque existem quatro casos incompatíveis com o ótimo oficial.</w:t>
      </w:r>
    </w:p>
    <w:p>
      <w:pPr>
        <w:spacing w:after="120"/>
      </w:pPr>
      <w:r>
        <w:t>Assim, a leitura mais rigorosa é a seguinte: o algoritmo parece competitivo nas instâncias consistentes, mas o pipeline experimental precisa de validação antes de se apresentar uma comparação final fechada para as 10 instâncias.</w:t>
      </w:r>
    </w:p>
    <w:p>
      <w:pPr>
        <w:pStyle w:val="Heading1"/>
      </w:pPr>
      <w:r>
        <w:t>5. Interpretação das variáveis do MMAS a partir do ficheiro de grelha disponível</w:t>
      </w:r>
    </w:p>
    <w:p>
      <w:pPr>
        <w:spacing w:after="120"/>
      </w:pPr>
      <w:r>
        <w:t>O ficheiro mmas-grid-results.csv atualmente disponível contém execuções detalhadas para as instâncias n_1000_1 e n_1000_10. Embora não permita inferir causalidade para as 10 instâncias, ajuda a contextualizar o papel dos parâmetros do algoritmo.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Instância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Melhor configuração observada na grelha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Gap face ao ótimo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Leitura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n_1000_1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m=50, T=500, α=0,8, β=2, ρ=0,1, Q=2, stall=50, seed=2026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609 (0,000006%)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Melhor configuração entre as execuções detalhadas disponíveis.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n_1000_10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m=20, T=200, α=0,8, β=2, ρ=0,1, Q=0,5, stall=50, seed=123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5352 (0,000054%)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Melhor configuração entre as execuções detalhadas disponíveis.</w:t>
            </w:r>
          </w:p>
        </w:tc>
      </w:tr>
    </w:tbl>
    <w:p>
      <w:pPr>
        <w:spacing w:after="120"/>
      </w:pPr>
      <w:r>
        <w:t>Nos ficheiros detalhados disponíveis, a melhor configuração de n_1000_1 utilizou mais formigas e mais iterações (50 e 500), o que é coerente com a intuição do MMAS: maior orçamento computacional favorece melhor exploração e melhor reforço da feromona. Já n_1000_10 atingiu um resultado muito próximo do ótimo com uma configuração mais leve, mostrando que a sensibilidade aos parâmetros depende da instância.</w:t>
      </w:r>
    </w:p>
    <w:p>
      <w:pPr>
        <w:spacing w:after="120"/>
      </w:pPr>
      <w:r>
        <w:t>Em termos conceituais, α e β controlam o equilíbrio entre memória coletiva e heurística; ρ controla o esquecimento; Q controla o reforço; stall.limit atua sobre a reinicialização; e seed mede a sensibilidade ao componente aleatório. Esta identificação das variáveis deve acompanhar a discussão dos resultados para deixar claro que o desempenho observado não depende de um único fator, mas do acoplamento entre todos eles.</w:t>
      </w:r>
    </w:p>
    <w:p>
      <w:pPr>
        <w:pStyle w:val="Heading1"/>
      </w:pPr>
      <w:r>
        <w:t>6. Recomendações de validação e continuação</w:t>
      </w:r>
    </w:p>
    <w:p>
      <w:pPr>
        <w:spacing w:after="120"/>
      </w:pPr>
      <w:r>
        <w:t>Antes de fechar a secção de resultados do trabalho, recomenda-se validar as instâncias n_1000_3, n_1000_4, n_1000_5 e n_1000_6. As verificações prioritárias são: (i) confirmar a correspondência entre n_1000_k e o valor ótimo oficial; (ii) rever o cálculo de melhor_valor; (iii) garantir que os ficheiros lidos pelo algoritmo são os mesmos usados para construir a tabela de ótimos; e (iv) reproduzir as execuções anómalas com logging detalhado.</w:t>
      </w:r>
    </w:p>
    <w:p>
      <w:pPr>
        <w:spacing w:after="120"/>
      </w:pPr>
      <w:r>
        <w:t>Depois dessa validação, o passo seguinte deve ser uma nova campanha de afinação com grelha completa em todas as instâncias, preservando o mesmo conjunto de variáveis do MMAS e acrescentando métricas agregadas por parâmetro (média, mediana, desvio e melhor valor).</w:t>
      </w:r>
    </w:p>
    <w:p>
      <w:pPr>
        <w:pStyle w:val="Heading1"/>
      </w:pPr>
      <w:r>
        <w:t>7. Conclusão</w:t>
      </w:r>
    </w:p>
    <w:p>
      <w:pPr>
        <w:spacing w:after="120"/>
      </w:pPr>
      <w:r>
        <w:t>O relatório detalhado mostra que os resultados obtidos são promissores, mas devem ser lidos com cuidado. Há evidência forte de que o MMAS consegue soluções praticamente ótimas em várias instâncias; porém, a presença de quatro resultados acima do ótimo oficial impede uma conclusão final sem validação adicional. Ao mesmo tempo, a identificação explícita das variáveis do problema e do algoritmo clarifica o enquadramento experimental e torna a análise mais sólida e defensável no relatório final.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rPr>
      <w:rFonts w:ascii="Calibri" w:hAnsi="Calibri"/>
      <w:b/>
      <w:color w:val="1F4E79"/>
      <w:sz w:val="44"/>
    </w:rPr>
  </w:style>
  <w:style w:type="paragraph" w:customStyle="1" w:styleId="SubTitleCustom">
    <w:name w:val="SubTitleCustom"/>
    <w:basedOn w:val="Normal"/>
    <w:rPr>
      <w:rFonts w:ascii="Calibri" w:hAnsi="Calibri"/>
      <w:i/>
      <w:color w:val="5A5A5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