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ction"/>
    <w:p>
      <w:pPr>
        <w:pStyle w:val="Heading2"/>
      </w:pP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“Sistema de Filtrado Digital FIR/IIR Asistido por IA para Señal de ECG”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“Examen Parcial Integrador — Técnicas Digitales III (PDS / Filtrado Digital)”</w:t>
      </w:r>
      <w:r>
        <w:t xml:space="preserve"> </w:t>
      </w:r>
      <w:r>
        <w:t xml:space="preserve">author:</w:t>
      </w:r>
      <w:r>
        <w:t xml:space="preserve"> </w:t>
      </w:r>
      <w:r>
        <w:t xml:space="preserve">“[Integrantes del grupo — completar]”</w:t>
      </w:r>
      <w:r>
        <w:t xml:space="preserve"> </w:t>
      </w:r>
      <w:r>
        <w:t xml:space="preserve">date:</w:t>
      </w:r>
      <w:r>
        <w:t xml:space="preserve"> </w:t>
      </w:r>
      <w:r>
        <w:t xml:space="preserve">“2026”</w:t>
      </w:r>
      <w:r>
        <w:t xml:space="preserve"> </w:t>
      </w:r>
      <w:r>
        <w:t xml:space="preserve">lang: es</w:t>
      </w:r>
      <w:r>
        <w:t xml:space="preserve"> </w:t>
      </w:r>
      <w:r>
        <w:t xml:space="preserve"># fontfamily: arial # (pandoc/LaTeX) Arial 11 pt — descomentar al exportar a PDF</w:t>
      </w:r>
      <w:r>
        <w:t xml:space="preserve"> </w:t>
      </w:r>
      <w:r>
        <w:t xml:space="preserve"># fontsize: 11pt</w:t>
      </w:r>
      <w:r>
        <w:t xml:space="preserve"> </w:t>
      </w:r>
      <w:r>
        <w:t xml:space="preserve"># geometry: margin=2.5cm # márgenes 2,5 cm</w:t>
      </w:r>
      <w:r>
        <w:t xml:space="preserve"> </w:t>
      </w:r>
      <w:r>
        <w:t xml:space="preserve"># toc: true # índice navegable automático</w:t>
      </w:r>
      <w:r>
        <w:t xml:space="preserve"> </w:t>
      </w:r>
      <w:r>
        <w:t xml:space="preserve"># number-sections: true</w:t>
      </w:r>
      <w:r>
        <w:t xml:space="preserve"> </w:t>
      </w:r>
      <w:r>
        <w:t xml:space="preserve">—</w:t>
      </w:r>
    </w:p>
    <w:bookmarkEnd w:id="9"/>
    <w:bookmarkStart w:id="13" w:name="carátula"/>
    <w:p>
      <w:pPr>
        <w:pStyle w:val="Heading1"/>
      </w:pPr>
      <w:r>
        <w:t xml:space="preserve">1. Carátula</w:t>
      </w:r>
    </w:p>
    <w:p>
      <w:pPr>
        <w:pStyle w:val="FirstParagraph"/>
      </w:pPr>
      <w:r>
        <w:rPr>
          <w:b/>
          <w:bCs/>
        </w:rPr>
        <w:t xml:space="preserve">UNIVERSIDAD TECNOLÓGICA NACIONAL</w:t>
      </w:r>
      <w:r>
        <w:t xml:space="preserve"> </w:t>
      </w:r>
      <w:r>
        <w:rPr>
          <w:b/>
          <w:bCs/>
        </w:rPr>
        <w:t xml:space="preserve">Facultad Regional [… completar …]</w:t>
      </w:r>
      <w:r>
        <w:t xml:space="preserve"> </w:t>
      </w:r>
      <w:r>
        <w:rPr>
          <w:b/>
          <w:bCs/>
        </w:rPr>
        <w:t xml:space="preserve">Carrera: Ingeniería Electrónica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Técnicas Digitales III — Procesamiento Digital de Señales / Filtrado Digital (2026)</w:t>
      </w:r>
    </w:p>
    <w:p>
      <w:r>
        <w:pict>
          <v:rect style="width:0;height:1.5pt" o:hralign="center" o:hrstd="t" o:hr="t"/>
        </w:pict>
      </w:r>
    </w:p>
    <w:bookmarkStart w:id="12" w:name="proyecto"/>
    <w:p>
      <w:pPr>
        <w:pStyle w:val="Heading2"/>
      </w:pPr>
      <w:r>
        <w:t xml:space="preserve">Proyecto</w:t>
      </w:r>
    </w:p>
    <w:bookmarkStart w:id="10" w:name="X3db58f86b6379110a9e1cafc58460168730f357"/>
    <w:p>
      <w:pPr>
        <w:pStyle w:val="Heading3"/>
      </w:pPr>
      <w:r>
        <w:t xml:space="preserve">Diseño, simulación e implementación de un sistema de filtrado digital FIR/IIR asistido por IA</w:t>
      </w:r>
    </w:p>
    <w:bookmarkEnd w:id="10"/>
    <w:bookmarkStart w:id="11" w:name="X8fd2451ce30ca2d7783f40f846d8f27735f3b6d"/>
    <w:p>
      <w:pPr>
        <w:pStyle w:val="Heading3"/>
      </w:pPr>
      <w:r>
        <w:t xml:space="preserve">Aplicación: Acondicionamiento de señal de electrocardiograma (ECG,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Hz)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Modalidad:</w:t>
      </w:r>
      <w:r>
        <w:t xml:space="preserve"> </w:t>
      </w:r>
      <w:r>
        <w:t xml:space="preserve">Evaluación Basada en Problemas (EBP) — Trabajo grupal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 N.º: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[…]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Integrante 1: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[Apellido, Nombre]</w:t>
            </w:r>
            <w:r>
              <w:t xml:space="preserve"> </w:t>
            </w:r>
            <w:r>
              <w:t xml:space="preserve">— Legajo</w:t>
            </w:r>
            <w:r>
              <w:t xml:space="preserve"> </w:t>
            </w:r>
            <w:r>
              <w:rPr>
                <w:rStyle w:val="VerbatimChar"/>
              </w:rPr>
              <w:t xml:space="preserve">[…]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Integrante 2: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[Apellido, Nombre]</w:t>
            </w:r>
            <w:r>
              <w:t xml:space="preserve"> </w:t>
            </w:r>
            <w:r>
              <w:t xml:space="preserve">— Legajo</w:t>
            </w:r>
            <w:r>
              <w:t xml:space="preserve"> </w:t>
            </w:r>
            <w:r>
              <w:rPr>
                <w:rStyle w:val="VerbatimChar"/>
              </w:rPr>
              <w:t xml:space="preserve">[…]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Integrante 3: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[Apellido, Nombre]</w:t>
            </w:r>
            <w:r>
              <w:t xml:space="preserve"> </w:t>
            </w:r>
            <w:r>
              <w:t xml:space="preserve">— Legajo</w:t>
            </w:r>
            <w:r>
              <w:t xml:space="preserve"> </w:t>
            </w:r>
            <w:r>
              <w:rPr>
                <w:rStyle w:val="VerbatimChar"/>
              </w:rPr>
              <w:t xml:space="preserve">[…]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Integrante 4: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[Apellido, Nombre]</w:t>
            </w:r>
            <w:r>
              <w:t xml:space="preserve"> </w:t>
            </w:r>
            <w:r>
              <w:t xml:space="preserve">— Legajo</w:t>
            </w:r>
            <w:r>
              <w:t xml:space="preserve"> </w:t>
            </w:r>
            <w:r>
              <w:rPr>
                <w:rStyle w:val="VerbatimChar"/>
              </w:rPr>
              <w:t xml:space="preserve">[…]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 / Cátedra: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[Nombre del docente]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entrega: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 / mm / 2026]</w:t>
            </w:r>
          </w:p>
        </w:tc>
      </w:tr>
    </w:tbl>
    <w:bookmarkEnd w:id="11"/>
    <w:bookmarkEnd w:id="12"/>
    <w:p>
      <w:r>
        <w:pict>
          <v:rect style="width:0;height:1.5pt" o:hralign="center" o:hrstd="t" o:hr="t"/>
        </w:pict>
      </w:r>
    </w:p>
    <w:bookmarkEnd w:id="13"/>
    <w:bookmarkStart w:id="14" w:name="resumen-ejecutivo"/>
    <w:p>
      <w:pPr>
        <w:pStyle w:val="Heading1"/>
      </w:pPr>
      <w:r>
        <w:t xml:space="preserve">2. Resumen Ejecutivo</w:t>
      </w:r>
    </w:p>
    <w:p>
      <w:pPr>
        <w:pStyle w:val="FirstParagraph"/>
      </w:pPr>
      <w:r>
        <w:t xml:space="preserve">El presente informe documenta el diseño, la simulación y la implementación de un sistema de</w:t>
      </w:r>
      <w:r>
        <w:t xml:space="preserve"> </w:t>
      </w:r>
      <w:r>
        <w:t xml:space="preserve">filtrado digital destinado al acondicionamiento de una señal de electrocardiograma (ECG)</w:t>
      </w:r>
      <w:r>
        <w:t xml:space="preserve"> </w:t>
      </w:r>
      <w:r>
        <w:t xml:space="preserve">muestreada a una frecuencia de quinientos hertz. El problema de ingeniería abordado es la</w:t>
      </w:r>
      <w:r>
        <w:t xml:space="preserve"> </w:t>
      </w:r>
      <w:r>
        <w:t xml:space="preserve">contaminación característica de esta señal biomédica: la interferencia de la red eléctrica de</w:t>
      </w:r>
      <w:r>
        <w:t xml:space="preserve"> </w:t>
      </w:r>
      <w:r>
        <w:t xml:space="preserve">cincuenta hertz y el ruido electromiográfico de alta frecuencia, ambos superpuestos a la banda</w:t>
      </w:r>
      <w:r>
        <w:t xml:space="preserve"> </w:t>
      </w:r>
      <w:r>
        <w:t xml:space="preserve">diagnóstica útil comprendida aproximadamente entre medio hertz y cuarenta hertz, donde reside el</w:t>
      </w:r>
      <w:r>
        <w:t xml:space="preserve"> </w:t>
      </w:r>
      <w:r>
        <w:t xml:space="preserve">complejo P-QRS-T del que depende la interpretación clínica.</w:t>
      </w:r>
    </w:p>
    <w:p>
      <w:pPr>
        <w:pStyle w:val="BodyText"/>
      </w:pPr>
      <w:r>
        <w:t xml:space="preserve">La solución propuesta es una cadena de filtrado mixta de dos etapas. La primera es un filtro</w:t>
      </w:r>
      <w:r>
        <w:t xml:space="preserve"> </w:t>
      </w:r>
      <w:r>
        <w:t xml:space="preserve">rechaza-banda (notch) de respuesta al impulso infinita de segundo orden, sintonizado en cincuenta</w:t>
      </w:r>
      <w:r>
        <w:t xml:space="preserve"> </w:t>
      </w:r>
      <w:r>
        <w:t xml:space="preserve">hertz, que suprime la interferencia de red con coste computacional mínimo. La segunda es un filtro</w:t>
      </w:r>
      <w:r>
        <w:t xml:space="preserve"> </w:t>
      </w:r>
      <w:r>
        <w:t xml:space="preserve">pasa-bajos de respuesta al impulso finita de fase lineal, diseñado por el método de ventanas con</w:t>
      </w:r>
      <w:r>
        <w:t xml:space="preserve"> </w:t>
      </w:r>
      <w:r>
        <w:t xml:space="preserve">ventana de Hamming y frecuencia de corte de cuarenta hertz, que elimina el ruido de alta frecuencia</w:t>
      </w:r>
      <w:r>
        <w:t xml:space="preserve"> </w:t>
      </w:r>
      <w:r>
        <w:t xml:space="preserve">preservando intacta la morfología de las ondas. La elección de un filtro de fase lineal para la</w:t>
      </w:r>
      <w:r>
        <w:t xml:space="preserve"> </w:t>
      </w:r>
      <w:r>
        <w:t xml:space="preserve">etapa principal es deliberada: garantiza un retardo constante para todas las frecuencias de la banda</w:t>
      </w:r>
      <w:r>
        <w:t xml:space="preserve"> </w:t>
      </w:r>
      <w:r>
        <w:t xml:space="preserve">útil, evitando la distorsión de forma de onda que comprometería el diagnóstico.</w:t>
      </w:r>
    </w:p>
    <w:p>
      <w:pPr>
        <w:pStyle w:val="BodyText"/>
      </w:pPr>
      <w:r>
        <w:t xml:space="preserve">El proyecto incorpora además un agente de decisión asistido por inteligencia artificial que</w:t>
      </w:r>
      <w:r>
        <w:t xml:space="preserve"> </w:t>
      </w:r>
      <w:r>
        <w:t xml:space="preserve">recomienda la familia de filtro y la estructura de realización en función de las restricciones de</w:t>
      </w:r>
      <w:r>
        <w:t xml:space="preserve"> </w:t>
      </w:r>
      <w:r>
        <w:t xml:space="preserve">plataforma, y una propuesta de implementación embebida sobre microcontrolador. Los resultados clave</w:t>
      </w:r>
      <w:r>
        <w:t xml:space="preserve"> </w:t>
      </w:r>
      <w:r>
        <w:t xml:space="preserve">obtenidos son: una mejora de relación señal a ruido del orden de catorce decibelios (de seis a veinte</w:t>
      </w:r>
      <w:r>
        <w:t xml:space="preserve"> </w:t>
      </w:r>
      <w:r>
        <w:t xml:space="preserve">decibelios), un orden de ciento sesenta y seis para la etapa finita y de segundo orden para la etapa</w:t>
      </w:r>
      <w:r>
        <w:t xml:space="preserve"> </w:t>
      </w:r>
      <w:r>
        <w:t xml:space="preserve">notch, y la confirmación de que el prototipo Butterworth requeriría orden trece para cumplir la</w:t>
      </w:r>
      <w:r>
        <w:t xml:space="preserve"> </w:t>
      </w:r>
      <w:r>
        <w:t xml:space="preserve">máscara estricta, lo que motiva el uso de prototipos Chebyshev o elíptico cuando se opta por la</w:t>
      </w:r>
      <w:r>
        <w:t xml:space="preserve"> </w:t>
      </w:r>
      <w:r>
        <w:t xml:space="preserve">realización recursiva. El sistema resulta viable en plataformas con unidad de punto flotante.</w:t>
      </w:r>
    </w:p>
    <w:p>
      <w:r>
        <w:pict>
          <v:rect style="width:0;height:1.5pt" o:hralign="center" o:hrstd="t" o:hr="t"/>
        </w:pict>
      </w:r>
    </w:p>
    <w:bookmarkEnd w:id="14"/>
    <w:bookmarkStart w:id="15" w:name="índice-de-contenidos"/>
    <w:p>
      <w:pPr>
        <w:pStyle w:val="Heading1"/>
      </w:pPr>
      <w:r>
        <w:t xml:space="preserve">3. Índice de contenidos</w:t>
      </w:r>
    </w:p>
    <w:p>
      <w:pPr>
        <w:pStyle w:val="Compact"/>
        <w:numPr>
          <w:ilvl w:val="0"/>
          <w:numId w:val="1001"/>
        </w:numPr>
      </w:pPr>
      <w:hyperlink w:anchor="Xa9c969799646a213353eeef4580906ae19b211f">
        <w:r>
          <w:rPr>
            <w:rStyle w:val="Hyperlink"/>
          </w:rPr>
          <w:t xml:space="preserve">Carátula</w:t>
        </w:r>
      </w:hyperlink>
    </w:p>
    <w:p>
      <w:pPr>
        <w:pStyle w:val="Compact"/>
        <w:numPr>
          <w:ilvl w:val="0"/>
          <w:numId w:val="1001"/>
        </w:numPr>
      </w:pPr>
      <w:hyperlink w:anchor="Xc13ea7837743ddc676f76b752bd86ba3e4f9370">
        <w:r>
          <w:rPr>
            <w:rStyle w:val="Hyperlink"/>
          </w:rPr>
          <w:t xml:space="preserve">Resumen Ejecutivo</w:t>
        </w:r>
      </w:hyperlink>
    </w:p>
    <w:p>
      <w:pPr>
        <w:pStyle w:val="Compact"/>
        <w:numPr>
          <w:ilvl w:val="0"/>
          <w:numId w:val="1001"/>
        </w:numPr>
      </w:pPr>
      <w:hyperlink w:anchor="X8da867782842423c9198cd6ad7ea24310411e89">
        <w:r>
          <w:rPr>
            <w:rStyle w:val="Hyperlink"/>
          </w:rPr>
          <w:t xml:space="preserve">Índice de contenidos</w:t>
        </w:r>
      </w:hyperlink>
    </w:p>
    <w:p>
      <w:pPr>
        <w:pStyle w:val="Compact"/>
        <w:numPr>
          <w:ilvl w:val="0"/>
          <w:numId w:val="1001"/>
        </w:numPr>
      </w:pPr>
      <w:hyperlink w:anchor="X847d51df9994613288d3dd5f5ab0389bb0c8368">
        <w:r>
          <w:rPr>
            <w:rStyle w:val="Hyperlink"/>
          </w:rPr>
          <w:t xml:space="preserve">Marco Teórico</w:t>
        </w:r>
      </w:hyperlink>
    </w:p>
    <w:p>
      <w:pPr>
        <w:pStyle w:val="Compact"/>
        <w:numPr>
          <w:ilvl w:val="1"/>
          <w:numId w:val="1002"/>
        </w:numPr>
      </w:pPr>
      <w:r>
        <w:t xml:space="preserve">4.1</w:t>
      </w:r>
      <w:r>
        <w:t xml:space="preserve"> </w:t>
      </w:r>
      <w:hyperlink w:anchor="Xe1ce271bb0482513cd48cdd64149e1bb0342265">
        <w:r>
          <w:rPr>
            <w:rStyle w:val="Hyperlink"/>
          </w:rPr>
          <w:t xml:space="preserve">Fundamentos de filtros FIR</w:t>
        </w:r>
      </w:hyperlink>
    </w:p>
    <w:p>
      <w:pPr>
        <w:pStyle w:val="Compact"/>
        <w:numPr>
          <w:ilvl w:val="1"/>
          <w:numId w:val="1002"/>
        </w:numPr>
      </w:pPr>
      <w:r>
        <w:t xml:space="preserve">4.2</w:t>
      </w:r>
      <w:r>
        <w:t xml:space="preserve"> </w:t>
      </w:r>
      <w:hyperlink w:anchor="X77b35f2509ee17c3f164ff1b769a614474fb46a">
        <w:r>
          <w:rPr>
            <w:rStyle w:val="Hyperlink"/>
          </w:rPr>
          <w:t xml:space="preserve">Fundamentos de filtros IIR</w:t>
        </w:r>
      </w:hyperlink>
    </w:p>
    <w:p>
      <w:pPr>
        <w:pStyle w:val="Compact"/>
        <w:numPr>
          <w:ilvl w:val="1"/>
          <w:numId w:val="1002"/>
        </w:numPr>
      </w:pPr>
      <w:r>
        <w:t xml:space="preserve">4.3</w:t>
      </w:r>
      <w:r>
        <w:t xml:space="preserve"> </w:t>
      </w:r>
      <w:hyperlink w:anchor="Xdad22c97871a7673d81eaabfc8cadb91835c472">
        <w:r>
          <w:rPr>
            <w:rStyle w:val="Hyperlink"/>
          </w:rPr>
          <w:t xml:space="preserve">Métodos de diseño FIR: ventanas</w:t>
        </w:r>
      </w:hyperlink>
    </w:p>
    <w:p>
      <w:pPr>
        <w:pStyle w:val="Compact"/>
        <w:numPr>
          <w:ilvl w:val="1"/>
          <w:numId w:val="1002"/>
        </w:numPr>
      </w:pPr>
      <w:r>
        <w:t xml:space="preserve">4.4</w:t>
      </w:r>
      <w:r>
        <w:t xml:space="preserve"> </w:t>
      </w:r>
      <w:hyperlink w:anchor="X951552279a661a67425e0c4b42b63e9b2b2d566">
        <w:r>
          <w:rPr>
            <w:rStyle w:val="Hyperlink"/>
          </w:rPr>
          <w:t xml:space="preserve">Métodos de diseño IIR: prototipos y transformada bilineal</w:t>
        </w:r>
      </w:hyperlink>
    </w:p>
    <w:p>
      <w:pPr>
        <w:pStyle w:val="Compact"/>
        <w:numPr>
          <w:ilvl w:val="1"/>
          <w:numId w:val="1002"/>
        </w:numPr>
      </w:pPr>
      <w:r>
        <w:t xml:space="preserve">4.5</w:t>
      </w:r>
      <w:r>
        <w:t xml:space="preserve"> </w:t>
      </w:r>
      <w:hyperlink w:anchor="X4eeefadaaa9855e17590d22d8cd7d9867cfa781">
        <w:r>
          <w:rPr>
            <w:rStyle w:val="Hyperlink"/>
          </w:rPr>
          <w:t xml:space="preserve">Fase lineal y retardo de grupo</w:t>
        </w:r>
      </w:hyperlink>
    </w:p>
    <w:p>
      <w:pPr>
        <w:pStyle w:val="Compact"/>
        <w:numPr>
          <w:ilvl w:val="1"/>
          <w:numId w:val="1002"/>
        </w:numPr>
      </w:pPr>
      <w:r>
        <w:t xml:space="preserve">4.6</w:t>
      </w:r>
      <w:r>
        <w:t xml:space="preserve"> </w:t>
      </w:r>
      <w:hyperlink w:anchor="X81cbfc75a984fb1da90547a50c4e1afc03ed0ac">
        <w:r>
          <w:rPr>
            <w:rStyle w:val="Hyperlink"/>
          </w:rPr>
          <w:t xml:space="preserve">Fundamento del agente de decisión</w:t>
        </w:r>
      </w:hyperlink>
    </w:p>
    <w:p>
      <w:pPr>
        <w:pStyle w:val="Compact"/>
        <w:numPr>
          <w:ilvl w:val="0"/>
          <w:numId w:val="1001"/>
        </w:numPr>
      </w:pPr>
      <w:hyperlink w:anchor="X8b7a18a2129c98dea83a0bf862972926518984b">
        <w:r>
          <w:rPr>
            <w:rStyle w:val="Hyperlink"/>
          </w:rPr>
          <w:t xml:space="preserve">Análisis del Problema</w:t>
        </w:r>
      </w:hyperlink>
    </w:p>
    <w:p>
      <w:pPr>
        <w:pStyle w:val="Compact"/>
        <w:numPr>
          <w:ilvl w:val="0"/>
          <w:numId w:val="1001"/>
        </w:numPr>
      </w:pPr>
      <w:hyperlink w:anchor="X7dfd107c27b1e23a387cb0bd9c03c2fd694a5af">
        <w:r>
          <w:rPr>
            <w:rStyle w:val="Hyperlink"/>
          </w:rPr>
          <w:t xml:space="preserve">Diseño de Filtros</w:t>
        </w:r>
      </w:hyperlink>
    </w:p>
    <w:p>
      <w:pPr>
        <w:pStyle w:val="Compact"/>
        <w:numPr>
          <w:ilvl w:val="1"/>
          <w:numId w:val="1003"/>
        </w:numPr>
      </w:pPr>
      <w:r>
        <w:t xml:space="preserve">6.1</w:t>
      </w:r>
      <w:r>
        <w:t xml:space="preserve"> </w:t>
      </w:r>
      <w:hyperlink w:anchor="X09163841bbbca4219cc32eb4ab7f934faa634d5">
        <w:r>
          <w:rPr>
            <w:rStyle w:val="Hyperlink"/>
          </w:rPr>
          <w:t xml:space="preserve">Diseño del filtro FIR pasa-bajos</w:t>
        </w:r>
      </w:hyperlink>
    </w:p>
    <w:p>
      <w:pPr>
        <w:pStyle w:val="Compact"/>
        <w:numPr>
          <w:ilvl w:val="1"/>
          <w:numId w:val="1003"/>
        </w:numPr>
      </w:pPr>
      <w:r>
        <w:t xml:space="preserve">6.2</w:t>
      </w:r>
      <w:r>
        <w:t xml:space="preserve"> </w:t>
      </w:r>
      <w:hyperlink w:anchor="X74ac2f423cac7e59ac7fcc8404460b1c11616d2">
        <w:r>
          <w:rPr>
            <w:rStyle w:val="Hyperlink"/>
          </w:rPr>
          <w:t xml:space="preserve">Diseño del filtro IIR</w:t>
        </w:r>
      </w:hyperlink>
    </w:p>
    <w:p>
      <w:pPr>
        <w:pStyle w:val="Compact"/>
        <w:numPr>
          <w:ilvl w:val="1"/>
          <w:numId w:val="1003"/>
        </w:numPr>
      </w:pPr>
      <w:r>
        <w:t xml:space="preserve">6.3</w:t>
      </w:r>
      <w:r>
        <w:t xml:space="preserve"> </w:t>
      </w:r>
      <w:hyperlink w:anchor="X362765826d0454986774d6ac44cfc0d8079c40c">
        <w:r>
          <w:rPr>
            <w:rStyle w:val="Hyperlink"/>
          </w:rPr>
          <w:t xml:space="preserve">Diseño del notch IIR de red</w:t>
        </w:r>
      </w:hyperlink>
    </w:p>
    <w:p>
      <w:pPr>
        <w:pStyle w:val="Compact"/>
        <w:numPr>
          <w:ilvl w:val="0"/>
          <w:numId w:val="1001"/>
        </w:numPr>
      </w:pPr>
      <w:hyperlink w:anchor="Xf4f7f1cf83f2b0782671b39f8594f1745f209bc">
        <w:r>
          <w:rPr>
            <w:rStyle w:val="Hyperlink"/>
          </w:rPr>
          <w:t xml:space="preserve">Simulación en MATLAB/Octave</w:t>
        </w:r>
      </w:hyperlink>
    </w:p>
    <w:p>
      <w:pPr>
        <w:pStyle w:val="Compact"/>
        <w:numPr>
          <w:ilvl w:val="0"/>
          <w:numId w:val="1001"/>
        </w:numPr>
      </w:pPr>
      <w:hyperlink w:anchor="X1328d01a2aef78285aa1ec818961327f8c6c93b">
        <w:r>
          <w:rPr>
            <w:rStyle w:val="Hyperlink"/>
          </w:rPr>
          <w:t xml:space="preserve">Agente de IA / Sistema Experto</w:t>
        </w:r>
      </w:hyperlink>
    </w:p>
    <w:p>
      <w:pPr>
        <w:pStyle w:val="Compact"/>
        <w:numPr>
          <w:ilvl w:val="0"/>
          <w:numId w:val="1001"/>
        </w:numPr>
      </w:pPr>
      <w:hyperlink w:anchor="X8d4dbe6cb13c729a3317b8369ed440f82b30d4c">
        <w:r>
          <w:rPr>
            <w:rStyle w:val="Hyperlink"/>
          </w:rPr>
          <w:t xml:space="preserve">Implementación Embebida</w:t>
        </w:r>
      </w:hyperlink>
    </w:p>
    <w:p>
      <w:pPr>
        <w:pStyle w:val="Compact"/>
        <w:numPr>
          <w:ilvl w:val="0"/>
          <w:numId w:val="1001"/>
        </w:numPr>
      </w:pPr>
      <w:hyperlink w:anchor="Xe0dd44fb2a5f0bbd744f579b136182eecb2e69a">
        <w:r>
          <w:rPr>
            <w:rStyle w:val="Hyperlink"/>
          </w:rPr>
          <w:t xml:space="preserve">Conclusiones</w:t>
        </w:r>
      </w:hyperlink>
    </w:p>
    <w:p>
      <w:pPr>
        <w:pStyle w:val="Compact"/>
        <w:numPr>
          <w:ilvl w:val="0"/>
          <w:numId w:val="1001"/>
        </w:numPr>
      </w:pPr>
      <w:hyperlink w:anchor="X62e979930b1c8d680afa88a4721f6cfee2c0d71">
        <w:r>
          <w:rPr>
            <w:rStyle w:val="Hyperlink"/>
          </w:rPr>
          <w:t xml:space="preserve">Bibliografía</w:t>
        </w:r>
      </w:hyperlink>
    </w:p>
    <w:p>
      <w:pPr>
        <w:pStyle w:val="Compact"/>
        <w:numPr>
          <w:ilvl w:val="0"/>
          <w:numId w:val="1001"/>
        </w:numPr>
      </w:pPr>
      <w:hyperlink w:anchor="X9edbf262dfb17cefd9018ba604ef9b142bba7bc">
        <w:r>
          <w:rPr>
            <w:rStyle w:val="Hyperlink"/>
          </w:rPr>
          <w:t xml:space="preserve">Anexos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22" w:name="marco-teórico"/>
    <w:p>
      <w:pPr>
        <w:pStyle w:val="Heading1"/>
      </w:pPr>
      <w:r>
        <w:t xml:space="preserve">4. Marco Teórico</w:t>
      </w:r>
    </w:p>
    <w:p>
      <w:pPr>
        <w:pStyle w:val="FirstParagraph"/>
      </w:pPr>
      <w:r>
        <w:t xml:space="preserve">El filtrado digital consiste en procesar una señal discreta</w:t>
      </w:r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, obtenida por muestreo de una</w:t>
      </w:r>
      <w:r>
        <w:t xml:space="preserve"> </w:t>
      </w:r>
      <w:r>
        <w:t xml:space="preserve">señal analógica a tasa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, mediante un sistema lineal e invariante en el tiempo (LTI)</w:t>
      </w:r>
      <w:r>
        <w:t xml:space="preserve"> </w:t>
      </w:r>
      <w:r>
        <w:t xml:space="preserve">caracterizado por su respuesta al impulso</w:t>
      </w:r>
      <w:r>
        <w:t xml:space="preserve"> </w:t>
      </w:r>
      <m:oMath>
        <m:r>
          <m:t>h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. Filtrar es convolucionar: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*</m:t>
          </m:r>
          <m:r>
            <m:t>h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t> </m:t>
          </m:r>
          <m:r>
            <m:t>h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en el dominio de la transformada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la convolución se vuelve un producto,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donde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función de transferencia</w:t>
      </w:r>
      <w:r>
        <w:t xml:space="preserve">. Las raíces del numerador de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son los</w:t>
      </w:r>
      <w:r>
        <w:t xml:space="preserve"> </w:t>
      </w:r>
      <w:r>
        <w:rPr>
          <w:b/>
          <w:bCs/>
        </w:rPr>
        <w:t xml:space="preserve">ceros</w:t>
      </w:r>
      <w:r>
        <w:t xml:space="preserve"> </w:t>
      </w:r>
      <w:r>
        <w:t xml:space="preserve">y las del denominador son los</w:t>
      </w:r>
      <w:r>
        <w:t xml:space="preserve"> </w:t>
      </w:r>
      <w:r>
        <w:rPr>
          <w:b/>
          <w:bCs/>
        </w:rPr>
        <w:t xml:space="preserve">polos</w:t>
      </w:r>
      <w:r>
        <w:t xml:space="preserve">; su disposición en el plano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determina la respuesta en</w:t>
      </w:r>
      <w:r>
        <w:t xml:space="preserve"> </w:t>
      </w:r>
      <w:r>
        <w:t xml:space="preserve">frecuencia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j</m:t>
            </m:r>
            <m:r>
              <m:t>ω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y la estabilidad del sistema. La frecuencia digital normalizada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  <m:r>
          <m:t>π</m:t>
        </m:r>
        <m:r>
          <m:t>f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expresa toda la teoría de manera independiente de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, con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correspondiente a la frecuencia de Nyquist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Según la naturaleza de su respuesta al impulso, los filtros digitales se dividen en dos grandes</w:t>
      </w:r>
      <w:r>
        <w:t xml:space="preserve"> </w:t>
      </w:r>
      <w:r>
        <w:t xml:space="preserve">familias:</w:t>
      </w:r>
      <w:r>
        <w:t xml:space="preserve"> </w:t>
      </w:r>
      <w:r>
        <w:rPr>
          <w:b/>
          <w:bCs/>
        </w:rPr>
        <w:t xml:space="preserve">FIR</w:t>
      </w:r>
      <w:r>
        <w:t xml:space="preserve"> </w:t>
      </w:r>
      <w:r>
        <w:t xml:space="preserve">(respuesta finita) e</w:t>
      </w:r>
      <w:r>
        <w:t xml:space="preserve"> </w:t>
      </w:r>
      <w:r>
        <w:rPr>
          <w:b/>
          <w:bCs/>
        </w:rPr>
        <w:t xml:space="preserve">IIR</w:t>
      </w:r>
      <w:r>
        <w:t xml:space="preserve"> </w:t>
      </w:r>
      <w:r>
        <w:t xml:space="preserve">(respuesta infinita). La elección entre ambas es la</w:t>
      </w:r>
      <w:r>
        <w:t xml:space="preserve"> </w:t>
      </w:r>
      <w:r>
        <w:t xml:space="preserve">decisión arquitectónica central de este proyecto.</w:t>
      </w:r>
    </w:p>
    <w:bookmarkStart w:id="16" w:name="fundamentos-de-filtros-fir"/>
    <w:p>
      <w:pPr>
        <w:pStyle w:val="Heading2"/>
      </w:pPr>
      <w:r>
        <w:t xml:space="preserve">4.1 Fundamentos de filtros FIR</w:t>
      </w:r>
    </w:p>
    <w:p>
      <w:pPr>
        <w:pStyle w:val="FirstParagraph"/>
      </w:pPr>
      <w:r>
        <w:t xml:space="preserve">Un filtro</w:t>
      </w:r>
      <w:r>
        <w:t xml:space="preserve"> </w:t>
      </w:r>
      <w:r>
        <w:rPr>
          <w:b/>
          <w:bCs/>
        </w:rPr>
        <w:t xml:space="preserve">FIR</w:t>
      </w:r>
      <w:r>
        <w:t xml:space="preserve"> </w:t>
      </w:r>
      <w:r>
        <w:t xml:space="preserve">(</w:t>
      </w:r>
      <w:r>
        <w:rPr>
          <w:i/>
          <w:iCs/>
        </w:rPr>
        <w:t xml:space="preserve">Finite Impulse Response</w:t>
      </w:r>
      <w:r>
        <w:t xml:space="preserve">) posee una respuesta al impulso de soporte</w:t>
      </w:r>
      <w:r>
        <w:t xml:space="preserve"> </w:t>
      </w:r>
      <w:r>
        <w:rPr>
          <w:b/>
          <w:bCs/>
        </w:rPr>
        <w:t xml:space="preserve">finito</w:t>
      </w:r>
      <w:r>
        <w:t xml:space="preserve">:</w:t>
      </w:r>
      <w:r>
        <w:t xml:space="preserve"> </w:t>
      </w:r>
      <w:r>
        <w:t xml:space="preserve">de orden</w:t>
      </w:r>
      <w:r>
        <w:t xml:space="preserve"> </w:t>
      </w:r>
      <m:oMath>
        <m:r>
          <m:t>N</m:t>
        </m:r>
      </m:oMath>
      <w:r>
        <w:t xml:space="preserve">, tiene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coeficientes o</w:t>
      </w:r>
      <w:r>
        <w:t xml:space="preserve"> </w:t>
      </w:r>
      <w:r>
        <w:rPr>
          <w:i/>
          <w:iCs/>
        </w:rPr>
        <w:t xml:space="preserve">taps</w:t>
      </w:r>
      <w:r>
        <w:t xml:space="preserve">. Su salida es una convolución finita sin</w:t>
      </w:r>
      <w:r>
        <w:t xml:space="preserve"> </w:t>
      </w:r>
      <w:r>
        <w:t xml:space="preserve">realimentación,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t> </m:t>
          </m:r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su función de transferencia es un</w:t>
      </w:r>
      <w:r>
        <w:t xml:space="preserve"> </w:t>
      </w:r>
      <w:r>
        <w:rPr>
          <w:b/>
          <w:bCs/>
        </w:rPr>
        <w:t xml:space="preserve">polinomio en</w:t>
      </w:r>
      <w:r>
        <w:rPr>
          <w:b/>
          <w:bCs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es decir, contiene</w:t>
      </w:r>
      <w:r>
        <w:t xml:space="preserve"> </w:t>
      </w:r>
      <w:r>
        <w:rPr>
          <w:b/>
          <w:bCs/>
        </w:rPr>
        <w:t xml:space="preserve">solo ceros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t> 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]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Como todos sus polos se ubican en el origen (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), un FIR es</w:t>
      </w:r>
      <w:r>
        <w:t xml:space="preserve"> </w:t>
      </w:r>
      <w:r>
        <w:rPr>
          <w:b/>
          <w:bCs/>
        </w:rPr>
        <w:t xml:space="preserve">incondicionalmente estable</w:t>
      </w:r>
      <w:r>
        <w:t xml:space="preserve"> </w:t>
      </w:r>
      <w:r>
        <w:t xml:space="preserve">(BIBO):</w:t>
      </w:r>
      <w:r>
        <w:t xml:space="preserve"> </w:t>
      </w:r>
      <w:r>
        <w:t xml:space="preserve">no posee realimentación que pueda divergir y no puede desestabilizarse por la cuantización de sus</w:t>
      </w:r>
      <w:r>
        <w:t xml:space="preserve"> </w:t>
      </w:r>
      <w:r>
        <w:t xml:space="preserve">coeficientes. Su coste por muestra es de aproximadamente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operaciones de multiplicación y</w:t>
      </w:r>
      <w:r>
        <w:t xml:space="preserve"> </w:t>
      </w:r>
      <w:r>
        <w:t xml:space="preserve">acumulación (MAC). La contrapartida de estas virtudes es que, para lograr una transición espectral</w:t>
      </w:r>
      <w:r>
        <w:t xml:space="preserve"> </w:t>
      </w:r>
      <w:r>
        <w:t xml:space="preserve">estrecha, el FIR requiere un</w:t>
      </w:r>
      <w:r>
        <w:t xml:space="preserve"> </w:t>
      </w:r>
      <w:r>
        <w:rPr>
          <w:b/>
          <w:bCs/>
        </w:rPr>
        <w:t xml:space="preserve">orden alto</w:t>
      </w:r>
      <w:r>
        <w:t xml:space="preserve"> </w:t>
      </w:r>
      <w:r>
        <w:t xml:space="preserve">(típicamente de cinco a veinte veces mayor que un IIR</w:t>
      </w:r>
      <w:r>
        <w:t xml:space="preserve"> </w:t>
      </w:r>
      <w:r>
        <w:t xml:space="preserve">equivalente).</w:t>
      </w:r>
    </w:p>
    <w:p>
      <w:pPr>
        <w:pStyle w:val="BodyText"/>
      </w:pPr>
      <w:r>
        <w:t xml:space="preserve">La propiedad más valiosa del FIR es que puede alcanzar</w:t>
      </w:r>
      <w:r>
        <w:t xml:space="preserve"> </w:t>
      </w:r>
      <w:r>
        <w:rPr>
          <w:b/>
          <w:bCs/>
        </w:rPr>
        <w:t xml:space="preserve">fase lineal exacta</w:t>
      </w:r>
      <w:r>
        <w:t xml:space="preserve"> </w:t>
      </w:r>
      <w:r>
        <w:t xml:space="preserve">cuando sus coeficientes</w:t>
      </w:r>
      <w:r>
        <w:t xml:space="preserve"> </w:t>
      </w:r>
      <w:r>
        <w:t xml:space="preserve">son simétricos o antisimétricos,</w:t>
      </w:r>
      <w:r>
        <w:t xml:space="preserve"> </w:t>
      </w:r>
      <m:oMath>
        <m:r>
          <m:t>h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 </m:t>
        </m:r>
        <m:r>
          <m:t>h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]</m:t>
        </m:r>
      </m:oMath>
      <w:r>
        <w:t xml:space="preserve">. Esta característica, desarrollada en §4.5, es</w:t>
      </w:r>
      <w:r>
        <w:t xml:space="preserve"> </w:t>
      </w:r>
      <w:r>
        <w:t xml:space="preserve">la razón por la cual se selecciona FIR para la etapa pasa-bajos del ECG.</w:t>
      </w:r>
    </w:p>
    <w:bookmarkEnd w:id="16"/>
    <w:bookmarkStart w:id="17" w:name="fundamentos-de-filtros-iir"/>
    <w:p>
      <w:pPr>
        <w:pStyle w:val="Heading2"/>
      </w:pPr>
      <w:r>
        <w:t xml:space="preserve">4.2 Fundamentos de filtros IIR</w:t>
      </w:r>
    </w:p>
    <w:p>
      <w:pPr>
        <w:pStyle w:val="FirstParagraph"/>
      </w:pPr>
      <w:r>
        <w:t xml:space="preserve">Un filtro</w:t>
      </w:r>
      <w:r>
        <w:t xml:space="preserve"> </w:t>
      </w:r>
      <w:r>
        <w:rPr>
          <w:b/>
          <w:bCs/>
        </w:rPr>
        <w:t xml:space="preserve">IIR</w:t>
      </w:r>
      <w:r>
        <w:t xml:space="preserve"> </w:t>
      </w:r>
      <w:r>
        <w:t xml:space="preserve">(</w:t>
      </w:r>
      <w:r>
        <w:rPr>
          <w:i/>
          <w:iCs/>
        </w:rPr>
        <w:t xml:space="preserve">Infinite Impulse Response</w:t>
      </w:r>
      <w:r>
        <w:t xml:space="preserve">) es un sistema</w:t>
      </w:r>
      <w:r>
        <w:t xml:space="preserve"> </w:t>
      </w:r>
      <w:r>
        <w:rPr>
          <w:b/>
          <w:bCs/>
        </w:rPr>
        <w:t xml:space="preserve">recursivo</w:t>
      </w:r>
      <w:r>
        <w:t xml:space="preserve">: su salida depende de las</w:t>
      </w:r>
      <w:r>
        <w:t xml:space="preserve"> </w:t>
      </w:r>
      <w:r>
        <w:t xml:space="preserve">entradas pasadas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de las salidas pasadas (realimentación), por lo que su respuesta al impulso</w:t>
      </w:r>
      <w:r>
        <w:t xml:space="preserve"> </w:t>
      </w:r>
      <m:oMath>
        <m:r>
          <m:t>h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tiene, en general, duración</w:t>
      </w:r>
      <w:r>
        <w:t xml:space="preserve"> </w:t>
      </w:r>
      <w:r>
        <w:rPr>
          <w:b/>
          <w:bCs/>
        </w:rPr>
        <w:t xml:space="preserve">infinita</w:t>
      </w:r>
      <w:r>
        <w:t xml:space="preserve">. Su ecuación en diferencias 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y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r>
                <m:t>x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r>
                <m:t>y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t> </m:t>
              </m:r>
            </m:e>
          </m:borderBox>
          <m:r>
            <m:t>  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su función de transferencia es un cociente de polinomios: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Los coeficientes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definen los</w:t>
      </w:r>
      <w:r>
        <w:t xml:space="preserve"> </w:t>
      </w:r>
      <w:r>
        <w:rPr>
          <w:b/>
          <w:bCs/>
        </w:rPr>
        <w:t xml:space="preserve">ceros</w:t>
      </w:r>
      <w:r>
        <w:t xml:space="preserve"> </w:t>
      </w:r>
      <w:r>
        <w:t xml:space="preserve">(parte no recursiva, útiles para anular frecuencias</w:t>
      </w:r>
      <w:r>
        <w:t xml:space="preserve"> </w:t>
      </w:r>
      <w:r>
        <w:t xml:space="preserve">concretas como en un notch) y los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definen los</w:t>
      </w:r>
      <w:r>
        <w:t xml:space="preserve"> </w:t>
      </w:r>
      <w:r>
        <w:rPr>
          <w:b/>
          <w:bCs/>
        </w:rPr>
        <w:t xml:space="preserve">polos</w:t>
      </w:r>
      <w:r>
        <w:t xml:space="preserve"> </w:t>
      </w:r>
      <w:r>
        <w:t xml:space="preserve">(parte recursiva), cuya</w:t>
      </w:r>
      <w:r>
        <w:t xml:space="preserve"> </w:t>
      </w:r>
      <w:r>
        <w:t xml:space="preserve">ubicación determina la estabilidad. La presencia de polos no triviales es lo que distingue al IIR del</w:t>
      </w:r>
      <w:r>
        <w:t xml:space="preserve"> </w:t>
      </w:r>
      <w:r>
        <w:t xml:space="preserve">FIR e introduce la realimentación.</w:t>
      </w:r>
    </w:p>
    <w:p>
      <w:pPr>
        <w:pStyle w:val="BodyText"/>
      </w:pPr>
      <w:r>
        <w:t xml:space="preserve">La ventaja decisiva del IIR es su</w:t>
      </w:r>
      <w:r>
        <w:t xml:space="preserve"> </w:t>
      </w:r>
      <w:r>
        <w:rPr>
          <w:b/>
          <w:bCs/>
        </w:rPr>
        <w:t xml:space="preserve">eficiencia</w:t>
      </w:r>
      <w:r>
        <w:t xml:space="preserve">: hereda la elegancia de los prototipos analógicos</w:t>
      </w:r>
      <w:r>
        <w:t xml:space="preserve"> </w:t>
      </w:r>
      <w:r>
        <w:t xml:space="preserve">clásicos y logra una atenuación dada con un orden mucho</w:t>
      </w:r>
      <w:r>
        <w:t xml:space="preserve"> </w:t>
      </w:r>
      <w:r>
        <w:rPr>
          <w:b/>
          <w:bCs/>
        </w:rPr>
        <w:t xml:space="preserve">menor</w:t>
      </w:r>
      <w:r>
        <w:t xml:space="preserve"> </w:t>
      </w:r>
      <w:r>
        <w:t xml:space="preserve">(típicamente entre dos y diez). Sus</w:t>
      </w:r>
      <w:r>
        <w:t xml:space="preserve"> </w:t>
      </w:r>
      <w:r>
        <w:t xml:space="preserve">desventajas son la</w:t>
      </w:r>
      <w:r>
        <w:t xml:space="preserve"> </w:t>
      </w:r>
      <w:r>
        <w:rPr>
          <w:b/>
          <w:bCs/>
        </w:rPr>
        <w:t xml:space="preserve">fase no lineal</w:t>
      </w:r>
      <w:r>
        <w:t xml:space="preserve"> </w:t>
      </w:r>
      <w:r>
        <w:t xml:space="preserve">(distorsiona la forma de onda), la necesidad de</w:t>
      </w:r>
      <w:r>
        <w:t xml:space="preserve"> </w:t>
      </w:r>
      <w:r>
        <w:rPr>
          <w:b/>
          <w:bCs/>
        </w:rPr>
        <w:t xml:space="preserve">verificar la</w:t>
      </w:r>
      <w:r>
        <w:rPr>
          <w:b/>
          <w:bCs/>
        </w:rPr>
        <w:t xml:space="preserve"> </w:t>
      </w:r>
      <w:r>
        <w:rPr>
          <w:b/>
          <w:bCs/>
        </w:rPr>
        <w:t xml:space="preserve">estabilidad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para todos los polos) y su</w:t>
      </w:r>
      <w:r>
        <w:t xml:space="preserve"> </w:t>
      </w:r>
      <w:r>
        <w:rPr>
          <w:b/>
          <w:bCs/>
        </w:rPr>
        <w:t xml:space="preserve">alta sensibilidad a la cuantización</w:t>
      </w:r>
      <w:r>
        <w:t xml:space="preserve"> </w:t>
      </w:r>
      <w:r>
        <w:t xml:space="preserve">de</w:t>
      </w:r>
      <w:r>
        <w:t xml:space="preserve"> </w:t>
      </w:r>
      <w:r>
        <w:t xml:space="preserve">coeficientes, especialmente cuando los polos se acercan al círculo unitario. La siguiente tabla</w:t>
      </w:r>
      <w:r>
        <w:t xml:space="preserve"> </w:t>
      </w:r>
      <w:r>
        <w:t xml:space="preserve">sintetiza la comparación conceptual.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 al impulso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Infinita (recursiva)</w:t>
            </w:r>
          </w:p>
        </w:tc>
        <w:tc>
          <w:tcPr/>
          <w:p>
            <w:pPr>
              <w:pStyle w:val="Compact"/>
            </w:pPr>
            <w:r>
              <w:t xml:space="preserve">Finita (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muestras)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Polos</w:t>
            </w:r>
          </w:p>
        </w:tc>
        <w:tc>
          <w:tcPr/>
          <w:p>
            <w:pPr>
              <w:pStyle w:val="Compact"/>
            </w:pPr>
            <w:r>
              <w:t xml:space="preserve">Sí (denominador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(solo en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→ siempre 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Realimentación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 para igual atenuación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Bajo</w:t>
            </w:r>
            <w:r>
              <w:t xml:space="preserve"> </w:t>
            </w:r>
            <w:r>
              <w:t xml:space="preserve">(2–10)</w:t>
            </w:r>
          </w:p>
        </w:tc>
        <w:tc>
          <w:tcPr/>
          <w:p>
            <w:pPr>
              <w:pStyle w:val="Compact"/>
            </w:pPr>
            <w:r>
              <w:t xml:space="preserve">Alto (5–20× mayor)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lineal</w:t>
            </w:r>
            <w:r>
              <w:t xml:space="preserve"> </w:t>
            </w:r>
            <w:r>
              <w:t xml:space="preserve">(distorsiona la onda)</w:t>
            </w:r>
          </w:p>
        </w:tc>
        <w:tc>
          <w:tcPr/>
          <w:p>
            <w:pPr>
              <w:pStyle w:val="Compact"/>
            </w:pPr>
            <w:r>
              <w:t xml:space="preserve">Lineal exacta si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es simétrica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Debe verificarse (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Garantizada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Sensibilidad a la cuantización</w:t>
            </w:r>
          </w:p>
        </w:tc>
        <w:tc>
          <w:tcPr/>
          <w:p>
            <w:pPr>
              <w:pStyle w:val="Compact"/>
            </w:pPr>
            <w:r>
              <w:t xml:space="preserve">Alta (polos cerca de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→ usar SOS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Coste por muestra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secciones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MAC (SOS)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MAC</w:t>
            </w:r>
          </w:p>
        </w:tc>
      </w:tr>
    </w:tbl>
    <w:bookmarkEnd w:id="17"/>
    <w:bookmarkStart w:id="18" w:name="X4535e5e5f10b01afa885e001805836d0a070a84"/>
    <w:p>
      <w:pPr>
        <w:pStyle w:val="Heading2"/>
      </w:pPr>
      <w:r>
        <w:t xml:space="preserve">4.3 Métodos de diseño FIR: el método de ventanas</w:t>
      </w:r>
    </w:p>
    <w:p>
      <w:pPr>
        <w:pStyle w:val="FirstParagraph"/>
      </w:pPr>
      <w:r>
        <w:t xml:space="preserve">El método de</w:t>
      </w:r>
      <w:r>
        <w:t xml:space="preserve"> </w:t>
      </w:r>
      <w:r>
        <w:rPr>
          <w:b/>
          <w:bCs/>
        </w:rPr>
        <w:t xml:space="preserve">ventanas</w:t>
      </w:r>
      <w:r>
        <w:t xml:space="preserve"> </w:t>
      </w:r>
      <w:r>
        <w:t xml:space="preserve">parte de la respuesta al impulso</w:t>
      </w:r>
      <w:r>
        <w:t xml:space="preserve"> </w:t>
      </w:r>
      <w:r>
        <w:rPr>
          <w:b/>
          <w:bCs/>
        </w:rPr>
        <w:t xml:space="preserve">ideal</w:t>
      </w:r>
      <w:r>
        <w:t xml:space="preserve"> </w:t>
      </w:r>
      <w:r>
        <w:t xml:space="preserve">(de soporte infinito), la</w:t>
      </w:r>
      <w:r>
        <w:t xml:space="preserve"> </w:t>
      </w:r>
      <w:r>
        <w:rPr>
          <w:b/>
          <w:bCs/>
        </w:rPr>
        <w:t xml:space="preserve">trunca</w:t>
      </w:r>
      <w:r>
        <w:t xml:space="preserve"> </w:t>
      </w:r>
      <w:r>
        <w:t xml:space="preserve">a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muestras y suaviza los bordes mediante una ventana</w:t>
      </w:r>
      <w:r>
        <w:t xml:space="preserve"> </w:t>
      </w:r>
      <m:oMath>
        <m:r>
          <m:t>w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, de modo que</w:t>
      </w:r>
      <w:r>
        <w:t xml:space="preserve"> </w:t>
      </w:r>
      <m:oMath>
        <m:r>
          <m:t>h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t> </m:t>
        </m:r>
        <m:r>
          <m:t>w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. Para un pasa-bajos ideal con corte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, la respuesta</w:t>
      </w:r>
      <w:r>
        <w:t xml:space="preserve"> </w:t>
      </w:r>
      <w:r>
        <w:t xml:space="preserve">ideal es una función sinc: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r>
                <m:t>π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truncamiento abrupto (ventana rectangular) provoca el</w:t>
      </w:r>
      <w:r>
        <w:t xml:space="preserve"> </w:t>
      </w:r>
      <w:r>
        <w:rPr>
          <w:b/>
          <w:bCs/>
        </w:rPr>
        <w:t xml:space="preserve">fenómeno de Gibbs</w:t>
      </w:r>
      <w:r>
        <w:t xml:space="preserve">: un sobreimpulso fijo</w:t>
      </w:r>
      <w:r>
        <w:t xml:space="preserve"> </w:t>
      </w:r>
      <w:r>
        <w:t xml:space="preserve">de aproximadamente nueve por ciento cerca del corte que</w:t>
      </w:r>
      <w:r>
        <w:t xml:space="preserve"> </w:t>
      </w:r>
      <w:r>
        <w:rPr>
          <w:b/>
          <w:bCs/>
        </w:rPr>
        <w:t xml:space="preserve">no desaparece</w:t>
      </w:r>
      <w:r>
        <w:t xml:space="preserve"> </w:t>
      </w:r>
      <w:r>
        <w:t xml:space="preserve">al aumentar</w:t>
      </w:r>
      <w:r>
        <w:t xml:space="preserve"> </w:t>
      </w:r>
      <m:oMath>
        <m:r>
          <m:t>N</m:t>
        </m:r>
      </m:oMath>
      <w:r>
        <w:t xml:space="preserve">, sino que</w:t>
      </w:r>
      <w:r>
        <w:t xml:space="preserve"> </w:t>
      </w:r>
      <w:r>
        <w:t xml:space="preserve">solo se estrecha. Las ventanas suaves reducen los lóbulos laterales a costa de</w:t>
      </w:r>
      <w:r>
        <w:t xml:space="preserve"> </w:t>
      </w:r>
      <w:r>
        <w:rPr>
          <w:b/>
          <w:bCs/>
        </w:rPr>
        <w:t xml:space="preserve">ensanchar la banda</w:t>
      </w:r>
      <w:r>
        <w:rPr>
          <w:b/>
          <w:bCs/>
        </w:rPr>
        <w:t xml:space="preserve"> </w:t>
      </w:r>
      <w:r>
        <w:rPr>
          <w:b/>
          <w:bCs/>
        </w:rPr>
        <w:t xml:space="preserve">de transición</w:t>
      </w:r>
      <w:r>
        <w:t xml:space="preserve">: este es el compromiso fundamental del método. La tabla siguiente resume las ventanas</w:t>
      </w:r>
      <w:r>
        <w:t xml:space="preserve"> </w:t>
      </w:r>
      <w:r>
        <w:t xml:space="preserve">clásicas.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3"/>
        <w:gridCol w:w="2889"/>
        <w:gridCol w:w="171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Ventana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Atenuación lóbulo lateral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lograble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Orden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aproximado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Rectangular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</m:t>
              </m:r>
            </m:oMath>
            <w:r>
              <w:t xml:space="preserve"> </w:t>
            </w:r>
            <w:r>
              <w:t xml:space="preserve">dB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21</m:t>
              </m:r>
            </m:oMath>
            <w:r>
              <w:t xml:space="preserve"> </w:t>
            </w:r>
            <w:r>
              <w:t xml:space="preserve">dB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31</m:t>
              </m:r>
            </m:oMath>
            <w:r>
              <w:t xml:space="preserve"> </w:t>
            </w:r>
            <w:r>
              <w:t xml:space="preserve">dB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44</m:t>
              </m:r>
            </m:oMath>
            <w:r>
              <w:t xml:space="preserve"> </w:t>
            </w:r>
            <w:r>
              <w:t xml:space="preserve">dB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Hamming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41</m:t>
              </m:r>
            </m:oMath>
            <w:r>
              <w:t xml:space="preserve"> </w:t>
            </w:r>
            <w:r>
              <w:t xml:space="preserve">dB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53</m:t>
              </m:r>
            </m:oMath>
            <w:r>
              <w:t xml:space="preserve"> </w:t>
            </w:r>
            <w:r>
              <w:t xml:space="preserve">dB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Blackman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57</m:t>
              </m:r>
            </m:oMath>
            <w:r>
              <w:t xml:space="preserve"> </w:t>
            </w:r>
            <w:r>
              <w:t xml:space="preserve">dB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74</m:t>
              </m:r>
            </m:oMath>
            <w:r>
              <w:t xml:space="preserve"> </w:t>
            </w:r>
            <w:r>
              <w:t xml:space="preserve">dB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Kaiser (</w:t>
            </w:r>
            <m:oMath>
              <m:r>
                <m:t>β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ajustable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a pedido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fórmula paramétrica</w:t>
            </w:r>
          </w:p>
        </w:tc>
      </w:tr>
    </w:tbl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ventana de Hamming</w:t>
      </w:r>
      <w:r>
        <w:t xml:space="preserve">, definida por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Hamming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54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46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es la elección por defecto en aplicaciones biomédicas porque su atenuación de aproximadamente</w:t>
      </w:r>
      <w:r>
        <w:t xml:space="preserve"> </w:t>
      </w:r>
      <w:r>
        <w:t xml:space="preserve">cincuenta y tres decibelios supera con margen el requisito típico de cuarenta a cincuenta decibelios.</w:t>
      </w:r>
      <w:r>
        <w:t xml:space="preserve"> </w:t>
      </w:r>
      <w:r>
        <w:t xml:space="preserve">Como alternativa de orden mínimo existe el método</w:t>
      </w:r>
      <w:r>
        <w:t xml:space="preserve"> </w:t>
      </w:r>
      <w:r>
        <w:rPr>
          <w:b/>
          <w:bCs/>
        </w:rPr>
        <w:t xml:space="preserve">Parks-McClellan</w:t>
      </w:r>
      <w:r>
        <w:t xml:space="preserve"> </w:t>
      </w:r>
      <w:r>
        <w:t xml:space="preserve">(intercambio de Remez), que</w:t>
      </w:r>
      <w:r>
        <w:t xml:space="preserve"> </w:t>
      </w:r>
      <w:r>
        <w:t xml:space="preserve">diseña el FIR óptimo en sentido minimax (respuesta equiripple); se documenta como referencia pero no</w:t>
      </w:r>
      <w:r>
        <w:t xml:space="preserve"> </w:t>
      </w:r>
      <w:r>
        <w:t xml:space="preserve">se adopta para preservar la simplicidad y robustez del diseño.</w:t>
      </w:r>
    </w:p>
    <w:bookmarkEnd w:id="18"/>
    <w:bookmarkStart w:id="19" w:name="Xa7b703721f3a00807687f01ccd280d4f5f80745"/>
    <w:p>
      <w:pPr>
        <w:pStyle w:val="Heading2"/>
      </w:pPr>
      <w:r>
        <w:t xml:space="preserve">4.4 Métodos de diseño IIR: prototipos analógicos y transformada bilineal</w:t>
      </w:r>
    </w:p>
    <w:p>
      <w:pPr>
        <w:pStyle w:val="FirstParagraph"/>
      </w:pPr>
      <w:r>
        <w:t xml:space="preserve">El diseño IIR clásico parte de un</w:t>
      </w:r>
      <w:r>
        <w:t xml:space="preserve"> </w:t>
      </w:r>
      <w:r>
        <w:rPr>
          <w:b/>
          <w:bCs/>
        </w:rPr>
        <w:t xml:space="preserve">prototipo analógico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bien conocido y lo traslada al</w:t>
      </w:r>
      <w:r>
        <w:t xml:space="preserve"> </w:t>
      </w:r>
      <w:r>
        <w:t xml:space="preserve">dominio digital. Los cuatro prototipos canónicos se diferencian por dónde colocan la ondulación</w:t>
      </w:r>
      <w:r>
        <w:t xml:space="preserve"> </w:t>
      </w:r>
      <w:r>
        <w:t xml:space="preserve">(</w:t>
      </w:r>
      <w:r>
        <w:rPr>
          <w:i/>
          <w:iCs/>
        </w:rPr>
        <w:t xml:space="preserve">ripple</w:t>
      </w:r>
      <w:r>
        <w:t xml:space="preserve">) y por la pendiente de transición que logran a igual orden: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9"/>
        <w:gridCol w:w="1287"/>
        <w:gridCol w:w="1584"/>
        <w:gridCol w:w="1188"/>
        <w:gridCol w:w="594"/>
        <w:gridCol w:w="693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Ripple paso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Ripple rechazo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Transición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Ceros finitos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Butterworth</w:t>
            </w:r>
            <w:r>
              <w:t xml:space="preserve"> </w:t>
            </w:r>
            <w:r>
              <w:t xml:space="preserve">(máx. plano)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 mejor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Máximo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Chebyshev 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 (</w:t>
            </w: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Media-alta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Chebyshev 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 (</w:t>
            </w:r>
            <m:oMath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Media-alta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 (</w:t>
            </w:r>
            <m:oMath>
              <m:r>
                <m:t>j</m:t>
              </m:r>
              <m:r>
                <m:rPr>
                  <m:sty m:val="p"/>
                </m:rPr>
                <m:t>Ω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Elíptico (Cauer)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La más abrupta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 peor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Mínimo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 (</w:t>
            </w:r>
            <m:oMath>
              <m:r>
                <m:t>j</m:t>
              </m:r>
              <m:r>
                <m:rPr>
                  <m:sty m:val="p"/>
                </m:rPr>
                <m:t>Ω</m:t>
              </m:r>
            </m:oMath>
            <w:r>
              <w:t xml:space="preserve">)</w:t>
            </w:r>
          </w:p>
        </w:tc>
      </w:tr>
    </w:tbl>
    <w:p>
      <w:pPr>
        <w:pStyle w:val="BodyText"/>
      </w:pPr>
      <w:r>
        <w:t xml:space="preserve">El módulo del prototipo Butterworth es máximamente plano,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j</m:t>
        </m:r>
        <m:r>
          <m:rPr>
            <m:sty m:val="p"/>
          </m:rPr>
          <m:t>Ω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Ω</m:t>
            </m:r>
          </m:e>
          <m:sub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]</m:t>
        </m:r>
      </m:oMath>
      <w:r>
        <w:t xml:space="preserve">, y sus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polos se sitúan equiespaciados sobre</w:t>
      </w:r>
      <w:r>
        <w:t xml:space="preserve"> </w:t>
      </w:r>
      <w:r>
        <w:t xml:space="preserve">una semicircunferencia de radio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en el semiplano izquierdo. La regla mnemotécnica que</w:t>
      </w:r>
      <w:r>
        <w:t xml:space="preserve"> </w:t>
      </w:r>
      <w:r>
        <w:t xml:space="preserve">resume el compromiso es:</w:t>
      </w:r>
      <w:r>
        <w:t xml:space="preserve"> </w:t>
      </w:r>
      <w:r>
        <w:rPr>
          <w:i/>
          <w:iCs/>
        </w:rPr>
        <w:t xml:space="preserve">Butterworth paga con orden la suavidad; el elíptico paga con fase la</w:t>
      </w:r>
      <w:r>
        <w:rPr>
          <w:i/>
          <w:iCs/>
        </w:rPr>
        <w:t xml:space="preserve"> </w:t>
      </w:r>
      <w:r>
        <w:rPr>
          <w:i/>
          <w:iCs/>
        </w:rPr>
        <w:t xml:space="preserve">eficiencia</w:t>
      </w:r>
      <w:r>
        <w:t xml:space="preserve">.</w:t>
      </w:r>
    </w:p>
    <w:p>
      <w:pPr>
        <w:pStyle w:val="BodyText"/>
      </w:pPr>
      <w:r>
        <w:t xml:space="preserve">El traslado del prototipo analógico al dominio digital se realiza mediante la</w:t>
      </w:r>
      <w:r>
        <w:t xml:space="preserve"> </w:t>
      </w:r>
      <w:r>
        <w:rPr>
          <w:b/>
          <w:bCs/>
        </w:rPr>
        <w:t xml:space="preserve">transformada</w:t>
      </w:r>
      <w:r>
        <w:rPr>
          <w:b/>
          <w:bCs/>
        </w:rPr>
        <w:t xml:space="preserve"> </w:t>
      </w:r>
      <w:r>
        <w:rPr>
          <w:b/>
          <w:bCs/>
        </w:rPr>
        <w:t xml:space="preserve">bilineal</w:t>
      </w:r>
      <w:r>
        <w:t xml:space="preserve"> </w:t>
      </w:r>
      <w:r>
        <w:t xml:space="preserve">(TBL):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s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 </m:t>
              </m:r>
            </m:e>
          </m:borderBox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TBL es una transformación conforme que mapea el semiplano izquierdo del plano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</w:t>
      </w:r>
      <w:r>
        <w:t xml:space="preserve"> </w:t>
      </w:r>
      <w:r>
        <w:rPr>
          <w:b/>
          <w:bCs/>
        </w:rPr>
        <w:t xml:space="preserve">interior</w:t>
      </w:r>
      <w:r>
        <w:rPr>
          <w:b/>
          <w:bCs/>
        </w:rPr>
        <w:t xml:space="preserve"> </w:t>
      </w:r>
      <w:r>
        <w:rPr>
          <w:b/>
          <w:bCs/>
        </w:rPr>
        <w:t xml:space="preserve">del círculo unitario</w:t>
      </w:r>
      <w:r>
        <w:t xml:space="preserve"> </w:t>
      </w:r>
      <w:r>
        <w:t xml:space="preserve">del plano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—por lo que un prototipo analógico estable produce siempre un</w:t>
      </w:r>
      <w:r>
        <w:t xml:space="preserve"> </w:t>
      </w:r>
      <w:r>
        <w:t xml:space="preserve">IIR digital estable— y mapea el eje</w:t>
      </w:r>
      <w:r>
        <w:t xml:space="preserve"> </w:t>
      </w:r>
      <m:oMath>
        <m:r>
          <m:t>j</m:t>
        </m:r>
        <m:r>
          <m:rPr>
            <m:sty m:val="p"/>
          </m:rPr>
          <m:t>Ω</m:t>
        </m:r>
      </m:oMath>
      <w:r>
        <w:t xml:space="preserve"> </w:t>
      </w:r>
      <w:r>
        <w:t xml:space="preserve">completo sobre el círculo unitario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, sin</w:t>
      </w:r>
      <w:r>
        <w:t xml:space="preserve"> </w:t>
      </w:r>
      <w:r>
        <w:t xml:space="preserve">aliasing. Su única peculiaridad es la</w:t>
      </w:r>
      <w:r>
        <w:t xml:space="preserve"> </w:t>
      </w:r>
      <w:r>
        <w:rPr>
          <w:b/>
          <w:bCs/>
        </w:rPr>
        <w:t xml:space="preserve">distorsión de frecuencia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warping</w:t>
      </w:r>
      <w:r>
        <w:t xml:space="preserve">, consecuencia de la</w:t>
      </w:r>
      <w:r>
        <w:t xml:space="preserve"> </w:t>
      </w:r>
      <w:r>
        <w:t xml:space="preserve">relación no lineal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tan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ω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 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que las frecuencias críticas digitales caigan</w:t>
      </w:r>
      <w:r>
        <w:t xml:space="preserve"> </w:t>
      </w:r>
      <w:r>
        <w:rPr>
          <w:b/>
          <w:bCs/>
        </w:rPr>
        <w:t xml:space="preserve">exactamente</w:t>
      </w:r>
      <w:r>
        <w:t xml:space="preserve"> </w:t>
      </w:r>
      <w:r>
        <w:t xml:space="preserve">donde se desea, se predistorsiona</w:t>
      </w:r>
      <w:r>
        <w:t xml:space="preserve"> </w:t>
      </w:r>
      <w:r>
        <w:t xml:space="preserve">(</w:t>
      </w:r>
      <w:r>
        <w:rPr>
          <w:i/>
          <w:iCs/>
        </w:rPr>
        <w:t xml:space="preserve">prewarping</w:t>
      </w:r>
      <w:r>
        <w:t xml:space="preserve">) cada frecuencia analógica de diseño antes de calcular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nor/>
                  <m:sty m:val="p"/>
                </m:rPr>
                <m:t>diseño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tan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ω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deseado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rPr>
                  <m:nor/>
                  <m:sty m:val="p"/>
                </m:rPr>
                <m:t>deseado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f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Tras la TBL, esa frecuencia analógica vuelve a mapearse sobre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nor/>
                <m:sty m:val="p"/>
              </m:rPr>
              <m:t>deseado</m:t>
            </m:r>
          </m:sub>
        </m:sSub>
      </m:oMath>
      <w:r>
        <w:t xml:space="preserve"> </w:t>
      </w:r>
      <w:r>
        <w:t xml:space="preserve">con error</w:t>
      </w:r>
      <w:r>
        <w:t xml:space="preserve"> </w:t>
      </w:r>
      <w:r>
        <w:t xml:space="preserve">nulo. El procedimiento completo es, por tanto: prewarpear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r</m:t>
            </m:r>
          </m:sub>
        </m:sSub>
      </m:oMath>
      <w:r>
        <w:t xml:space="preserve">, diseñar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con esos valores, aplicar la TBL y verificar la estabilidad.</w:t>
      </w:r>
    </w:p>
    <w:bookmarkEnd w:id="19"/>
    <w:bookmarkStart w:id="20" w:name="fase-lineal-y-retardo-de-grupo"/>
    <w:p>
      <w:pPr>
        <w:pStyle w:val="Heading2"/>
      </w:pPr>
      <w:r>
        <w:t xml:space="preserve">4.5 Fase lineal y retardo de grupo</w:t>
      </w:r>
    </w:p>
    <w:p>
      <w:pPr>
        <w:pStyle w:val="FirstParagraph"/>
      </w:pPr>
      <w:r>
        <w:t xml:space="preserve">Un filtro tiene</w:t>
      </w:r>
      <w:r>
        <w:t xml:space="preserve"> </w:t>
      </w:r>
      <w:r>
        <w:rPr>
          <w:b/>
          <w:bCs/>
        </w:rPr>
        <w:t xml:space="preserve">fase lineal</w:t>
      </w:r>
      <w:r>
        <w:t xml:space="preserve"> </w:t>
      </w:r>
      <w:r>
        <w:t xml:space="preserve">si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α</m:t>
        </m:r>
        <m:r>
          <m:t> </m:t>
        </m:r>
        <m:r>
          <m:t>ω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)</m:t>
        </m:r>
      </m:oMath>
      <w:r>
        <w:t xml:space="preserve">, es decir, si su fase es</w:t>
      </w:r>
      <w:r>
        <w:t xml:space="preserve"> </w:t>
      </w:r>
      <w:r>
        <w:t xml:space="preserve">una recta en</w:t>
      </w:r>
      <w:r>
        <w:t xml:space="preserve"> </w:t>
      </w:r>
      <m:oMath>
        <m:r>
          <m:t>ω</m:t>
        </m:r>
      </m:oMath>
      <w:r>
        <w:t xml:space="preserve">. Esto equivale a un</w:t>
      </w:r>
      <w:r>
        <w:t xml:space="preserve"> </w:t>
      </w:r>
      <w:r>
        <w:rPr>
          <w:b/>
          <w:bCs/>
        </w:rPr>
        <w:t xml:space="preserve">retardo constante</w:t>
      </w:r>
      <w:r>
        <w:t xml:space="preserve"> </w:t>
      </w:r>
      <w:r>
        <w:t xml:space="preserve">de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muestras para todas las</w:t>
      </w:r>
      <w:r>
        <w:t xml:space="preserve"> </w:t>
      </w:r>
      <w:r>
        <w:t xml:space="preserve">frecuencias: si todas las componentes espectrales se retrasan lo mismo, la forma de onda se traslada</w:t>
      </w:r>
      <w:r>
        <w:t xml:space="preserve"> </w:t>
      </w:r>
      <w:r>
        <w:rPr>
          <w:b/>
          <w:bCs/>
        </w:rPr>
        <w:t xml:space="preserve">sin deformarse</w:t>
      </w:r>
      <w:r>
        <w:t xml:space="preserve">. Con fase no lineal, unas componentes se atrasan más que otras y la morfología se</w:t>
      </w:r>
      <w:r>
        <w:t xml:space="preserve"> </w:t>
      </w:r>
      <w:r>
        <w:t xml:space="preserve">distorsiona. El</w:t>
      </w:r>
      <w:r>
        <w:t xml:space="preserve"> </w:t>
      </w:r>
      <w:r>
        <w:rPr>
          <w:b/>
          <w:bCs/>
        </w:rPr>
        <w:t xml:space="preserve">retardo de grupo</w:t>
      </w:r>
      <w:r>
        <w:t xml:space="preserve"> </w:t>
      </w:r>
      <w:r>
        <w:t xml:space="preserve">cuantifica este efecto: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τ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  <m:r>
                    <m:t>ω</m:t>
                  </m:r>
                </m:den>
              </m:f>
              <m:r>
                <m:t> </m:t>
              </m:r>
            </m:e>
          </m:borderBox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muestras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un FIR simétrico de orden</w:t>
      </w:r>
      <w:r>
        <w:t xml:space="preserve"> </w:t>
      </w:r>
      <m:oMath>
        <m:r>
          <m:t>N</m:t>
        </m:r>
      </m:oMath>
      <w:r>
        <w:t xml:space="preserve">, el retardo de grupo es constante,</w:t>
      </w:r>
      <w:r>
        <w:t xml:space="preserve"> </w:t>
      </w:r>
      <m:oMath>
        <m:sSub>
          <m:e>
            <m:r>
              <m:t>τ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muestras, lo que</w:t>
      </w:r>
      <w:r>
        <w:t xml:space="preserve"> </w:t>
      </w:r>
      <w:r>
        <w:t xml:space="preserve">garantiza una distorsión de forma nula. Los filtros IIR, en cambio, presentan un</w:t>
      </w:r>
      <w:r>
        <w:t xml:space="preserve"> </w:t>
      </w:r>
      <m:oMath>
        <m:sSub>
          <m:e>
            <m:r>
              <m:t>τ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variable. En el contexto del ECG esta distinción es crítica: el diagnóstico depende de las amplitudes</w:t>
      </w:r>
      <w:r>
        <w:t xml:space="preserve"> </w:t>
      </w:r>
      <w:r>
        <w:t xml:space="preserve">y los tiempos relativos de las ondas P, Q, R, S y T, de modo que cualquier distorsión de fase</w:t>
      </w:r>
      <w:r>
        <w:t xml:space="preserve"> </w:t>
      </w:r>
      <w:r>
        <w:t xml:space="preserve">desplazaría unas ondas respecto de otras y falsearía la interpretación.</w:t>
      </w:r>
      <w:r>
        <w:t xml:space="preserve"> </w:t>
      </w:r>
      <w:r>
        <w:rPr>
          <w:b/>
          <w:bCs/>
        </w:rPr>
        <w:t xml:space="preserve">Esta es la justificación</w:t>
      </w:r>
      <w:r>
        <w:rPr>
          <w:b/>
          <w:bCs/>
        </w:rPr>
        <w:t xml:space="preserve"> </w:t>
      </w:r>
      <w:r>
        <w:rPr>
          <w:b/>
          <w:bCs/>
        </w:rPr>
        <w:t xml:space="preserve">central por la cual el agente recomienda FIR para la etapa pasa-bajos</w:t>
      </w:r>
      <w:r>
        <w:t xml:space="preserve">: solo un FIR de fase lineal</w:t>
      </w:r>
      <w:r>
        <w:t xml:space="preserve"> </w:t>
      </w:r>
      <w:r>
        <w:t xml:space="preserve">preserva fielmente el complejo P-QRS-T.</w:t>
      </w:r>
    </w:p>
    <w:bookmarkEnd w:id="20"/>
    <w:bookmarkStart w:id="21" w:name="fundamento-del-agente-de-decisión"/>
    <w:p>
      <w:pPr>
        <w:pStyle w:val="Heading2"/>
      </w:pPr>
      <w:r>
        <w:t xml:space="preserve">4.6 Fundamento del agente de decisión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agente de decisión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sistema experto</w:t>
      </w:r>
      <w:r>
        <w:t xml:space="preserve"> </w:t>
      </w:r>
      <w:r>
        <w:t xml:space="preserve">mapea un conjunto de restricciones de ingeniería a</w:t>
      </w:r>
      <w:r>
        <w:t xml:space="preserve"> </w:t>
      </w:r>
      <w:r>
        <w:t xml:space="preserve">una recomendación de diseño, emulando el razonamiento de un especialista en PDS. Formalmente,</w:t>
      </w:r>
      <w:r>
        <w:t xml:space="preserve"> </w:t>
      </w:r>
      <m:oMath>
        <m:r>
          <m:rPr>
            <m:nor/>
            <m:sty m:val="p"/>
          </m:rPr>
          <m:t>Agente</m:t>
        </m:r>
        <m:r>
          <m:rPr>
            <m:sty m:val="p"/>
          </m:rPr>
          <m:t>:</m:t>
        </m:r>
        <m:r>
          <m:rPr>
            <m:sty m:val="bi"/>
          </m:rP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  <m:r>
          <m:rPr>
            <m:sty m:val="p"/>
          </m:rPr>
          <m:t>→</m:t>
        </m:r>
        <m:r>
          <m:rPr>
            <m:sty m:val="bi"/>
          </m:rP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Y</m:t>
        </m:r>
      </m:oMath>
      <w:r>
        <w:t xml:space="preserve">. El agente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diseña</w:t>
      </w:r>
      <w:r>
        <w:t xml:space="preserve"> </w:t>
      </w:r>
      <w:r>
        <w:t xml:space="preserve">el filtro (eso corresponde al desarrollo matemático del §6), sino que</w:t>
      </w:r>
      <w:r>
        <w:t xml:space="preserve"> </w:t>
      </w:r>
      <w:r>
        <w:rPr>
          <w:b/>
          <w:bCs/>
        </w:rPr>
        <w:t xml:space="preserve">decide la familia</w:t>
      </w:r>
      <w:r>
        <w:t xml:space="preserve"> </w:t>
      </w:r>
      <w:r>
        <w:t xml:space="preserve">(FIR o IIR) y la</w:t>
      </w:r>
      <w:r>
        <w:t xml:space="preserve"> </w:t>
      </w:r>
      <w:r>
        <w:rPr>
          <w:b/>
          <w:bCs/>
        </w:rPr>
        <w:t xml:space="preserve">estructura de realización</w:t>
      </w:r>
      <w:r>
        <w:t xml:space="preserve"> </w:t>
      </w:r>
      <w:r>
        <w:t xml:space="preserve">(forma directa I, forma directa II, cascada de</w:t>
      </w:r>
      <w:r>
        <w:t xml:space="preserve"> </w:t>
      </w:r>
      <w:r>
        <w:t xml:space="preserve">secciones de segundo orden o</w:t>
      </w:r>
      <w:r>
        <w:t xml:space="preserve"> </w:t>
      </w:r>
      <w:r>
        <w:rPr>
          <w:i/>
          <w:iCs/>
        </w:rPr>
        <w:t xml:space="preserve">lattice</w:t>
      </w:r>
      <w:r>
        <w:t xml:space="preserve">) y</w:t>
      </w:r>
      <w:r>
        <w:t xml:space="preserve"> </w:t>
      </w:r>
      <w:r>
        <w:rPr>
          <w:b/>
          <w:bCs/>
        </w:rPr>
        <w:t xml:space="preserve">justifica</w:t>
      </w:r>
      <w:r>
        <w:t xml:space="preserve"> </w:t>
      </w:r>
      <w:r>
        <w:t xml:space="preserve">la elección. La implementación adoptada es un</w:t>
      </w:r>
      <w:r>
        <w:t xml:space="preserve"> </w:t>
      </w:r>
      <w:r>
        <w:rPr>
          <w:b/>
          <w:bCs/>
        </w:rPr>
        <w:t xml:space="preserve">sistema experto de reglas IF-THEN</w:t>
      </w:r>
      <w:r>
        <w:t xml:space="preserve">, por ser interpretable, determinista, ligero y embebible; las</w:t>
      </w:r>
      <w:r>
        <w:t xml:space="preserve"> </w:t>
      </w:r>
      <w:r>
        <w:t xml:space="preserve">estrategias alternativas (árbol de decisión, lógica difusa, modelo de lenguaje y red neuronal) se</w:t>
      </w:r>
      <w:r>
        <w:t xml:space="preserve"> </w:t>
      </w:r>
      <w:r>
        <w:t xml:space="preserve">documentan en el §8. El fundamento de las reglas se ancla en los criterios de ingeniería</w:t>
      </w:r>
      <w:r>
        <w:t xml:space="preserve"> </w:t>
      </w:r>
      <w:r>
        <w:t xml:space="preserve">desarrollados a lo largo de este marco teórico.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análisis-del-problema"/>
    <w:p>
      <w:pPr>
        <w:pStyle w:val="Heading1"/>
      </w:pPr>
      <w:r>
        <w:t xml:space="preserve">5. Análisis del Problema</w:t>
      </w:r>
    </w:p>
    <w:bookmarkStart w:id="23" w:name="descripción-de-la-señal-de-ecg"/>
    <w:p>
      <w:pPr>
        <w:pStyle w:val="Heading2"/>
      </w:pPr>
      <w:r>
        <w:t xml:space="preserve">5.1 Descripción de la señal de ECG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electrocardiograma</w:t>
      </w:r>
      <w:r>
        <w:t xml:space="preserve"> </w:t>
      </w:r>
      <w:r>
        <w:t xml:space="preserve">(ECG) es el registro de la actividad eléctrica del corazón captada en la</w:t>
      </w:r>
      <w:r>
        <w:t xml:space="preserve"> </w:t>
      </w:r>
      <w:r>
        <w:t xml:space="preserve">superficie corporal. Su forma de onda característica es el</w:t>
      </w:r>
      <w:r>
        <w:t xml:space="preserve"> </w:t>
      </w:r>
      <w:r>
        <w:rPr>
          <w:b/>
          <w:bCs/>
        </w:rPr>
        <w:t xml:space="preserve">complejo P-QRS-T</w:t>
      </w:r>
      <w:r>
        <w:t xml:space="preserve">, en el que cada</w:t>
      </w:r>
      <w:r>
        <w:t xml:space="preserve"> </w:t>
      </w:r>
      <w:r>
        <w:t xml:space="preserve">deflexión refleja un evento fisiológico: la onda P (despolarización auricular), el complejo QRS</w:t>
      </w:r>
      <w:r>
        <w:t xml:space="preserve"> </w:t>
      </w:r>
      <w:r>
        <w:t xml:space="preserve">(despolarización ventricular, la deflexión más rápida y de mayor amplitud) y la onda T</w:t>
      </w:r>
      <w:r>
        <w:t xml:space="preserve"> </w:t>
      </w:r>
      <w:r>
        <w:t xml:space="preserve">(repolarización ventricular). El contenido diagnóstico de la señal reside en una banda útil</w:t>
      </w:r>
      <w:r>
        <w:t xml:space="preserve"> </w:t>
      </w:r>
      <w:r>
        <w:t xml:space="preserve">comprendida aproximadamente entre</w:t>
      </w:r>
      <w:r>
        <w:t xml:space="preserve"> </w:t>
      </w:r>
      <w:r>
        <w:rPr>
          <w:b/>
          <w:bCs/>
        </w:rPr>
        <w:t xml:space="preserve">medio hertz y cuarenta hertz</w:t>
      </w:r>
      <w:r>
        <w:t xml:space="preserve">, y el valor clínico depende</w:t>
      </w:r>
      <w:r>
        <w:t xml:space="preserve"> </w:t>
      </w:r>
      <w:r>
        <w:t xml:space="preserve">críticamente de la</w:t>
      </w:r>
      <w:r>
        <w:t xml:space="preserve"> </w:t>
      </w:r>
      <w:r>
        <w:rPr>
          <w:b/>
          <w:bCs/>
        </w:rPr>
        <w:t xml:space="preserve">morfología</w:t>
      </w:r>
      <w:r>
        <w:t xml:space="preserve"> </w:t>
      </w:r>
      <w:r>
        <w:t xml:space="preserve">—amplitudes y tiempos relativos de las ondas—, lo que impone</w:t>
      </w:r>
      <w:r>
        <w:t xml:space="preserve"> </w:t>
      </w:r>
      <w:r>
        <w:t xml:space="preserve">preservar la fase.</w:t>
      </w:r>
    </w:p>
    <w:p>
      <w:pPr>
        <w:pStyle w:val="BodyText"/>
      </w:pPr>
      <w:r>
        <w:t xml:space="preserve">La señal de ECG aparece contaminada por dos fuentes de ruido dominantes: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Interferencia de red eléctrica:</w:t>
      </w:r>
      <w:r>
        <w:t xml:space="preserve"> </w:t>
      </w:r>
      <w:r>
        <w:t xml:space="preserve">un tono de</w:t>
      </w:r>
      <w:r>
        <w:t xml:space="preserve"> </w:t>
      </w:r>
      <w:r>
        <w:rPr>
          <w:b/>
          <w:bCs/>
        </w:rPr>
        <w:t xml:space="preserve">cincuenta hertz</w:t>
      </w:r>
      <w:r>
        <w:t xml:space="preserve"> </w:t>
      </w:r>
      <w:r>
        <w:t xml:space="preserve">(frecuencia de la red en</w:t>
      </w:r>
      <w:r>
        <w:t xml:space="preserve"> </w:t>
      </w:r>
      <w:r>
        <w:t xml:space="preserve">Argentina y Europa) acoplado por inducción electromagnética. Cae dentro de la banda útil, por lo</w:t>
      </w:r>
      <w:r>
        <w:t xml:space="preserve"> </w:t>
      </w:r>
      <w:r>
        <w:t xml:space="preserve">que debe eliminarse de forma selectiva sin afectar las componentes diagnósticas vecinas.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Ruido electromiográfico (EMG) de alta frecuencia:</w:t>
      </w:r>
      <w:r>
        <w:t xml:space="preserve"> </w:t>
      </w:r>
      <w:r>
        <w:t xml:space="preserve">actividad muscular de banda ancha que se</w:t>
      </w:r>
      <w:r>
        <w:t xml:space="preserve"> </w:t>
      </w:r>
      <w:r>
        <w:t xml:space="preserve">extiende por encima de cuarenta hertz y se atenúa con un filtro pasa-bajos.</w:t>
      </w:r>
    </w:p>
    <w:bookmarkEnd w:id="23"/>
    <w:bookmarkStart w:id="24" w:name="X903d6db6f1496663d453dbe59e776fa7cd537ad"/>
    <w:p>
      <w:pPr>
        <w:pStyle w:val="Heading2"/>
      </w:pPr>
      <w:r>
        <w:t xml:space="preserve">5.2 Justificación de la frecuencia de muestreo por Nyquist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teorema de muestreo de Nyquist-Shannon</w:t>
      </w:r>
      <w:r>
        <w:t xml:space="preserve"> </w:t>
      </w:r>
      <w:r>
        <w:t xml:space="preserve">establece que una señal de banda limitada a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queda</w:t>
      </w:r>
      <w:r>
        <w:t xml:space="preserve"> </w:t>
      </w:r>
      <w:r>
        <w:t xml:space="preserve">completamente determinada por sus muestras si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2</m:t>
        </m:r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. La frecuencia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frecuencia</w:t>
      </w:r>
      <w:r>
        <w:rPr>
          <w:b/>
          <w:bCs/>
        </w:rPr>
        <w:t xml:space="preserve"> </w:t>
      </w:r>
      <w:r>
        <w:rPr>
          <w:b/>
          <w:bCs/>
        </w:rPr>
        <w:t xml:space="preserve">de Nyquist</w:t>
      </w:r>
      <w:r>
        <w:t xml:space="preserve">, máxima frecuencia representable sin ambigüedad. Si existen componentes por encima de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 se produce</w:t>
      </w:r>
      <w:r>
        <w:t xml:space="preserve"> </w:t>
      </w:r>
      <w:r>
        <w:rPr>
          <w:b/>
          <w:bCs/>
        </w:rPr>
        <w:t xml:space="preserve">aliasing</w:t>
      </w:r>
      <w:r>
        <w:t xml:space="preserve">, fenómeno irreversible una vez muestreada la señal.</w:t>
      </w:r>
    </w:p>
    <w:p>
      <w:pPr>
        <w:pStyle w:val="BodyText"/>
      </w:pPr>
      <w:r>
        <w:t xml:space="preserve">Para el ECG, con banda útil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Hz, la tasa de Nyquist mínima sería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Hz. Sin</w:t>
      </w:r>
      <w:r>
        <w:t xml:space="preserve"> </w:t>
      </w:r>
      <w:r>
        <w:t xml:space="preserve">embargo, se elige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Hz, un</w:t>
      </w:r>
      <w:r>
        <w:t xml:space="preserve"> </w:t>
      </w:r>
      <w:r>
        <w:rPr>
          <w:b/>
          <w:bCs/>
        </w:rPr>
        <w:t xml:space="preserve">factor de sobremuestreo de aproximadamente 6,25</w:t>
      </w:r>
      <w:r>
        <w:t xml:space="preserve">, por tres</w:t>
      </w:r>
      <w:r>
        <w:t xml:space="preserve"> </w:t>
      </w:r>
      <w:r>
        <w:t xml:space="preserve">razones de ingeniería:</w:t>
      </w:r>
    </w:p>
    <w:p>
      <w:pPr>
        <w:pStyle w:val="Compact"/>
        <w:numPr>
          <w:ilvl w:val="0"/>
          <w:numId w:val="1005"/>
        </w:numPr>
      </w:pPr>
      <w:r>
        <w:t xml:space="preserve">Deja una banda de transición amplia al filtro anti-aliasing analógico previo al conversor.</w:t>
      </w:r>
    </w:p>
    <w:p>
      <w:pPr>
        <w:pStyle w:val="Compact"/>
        <w:numPr>
          <w:ilvl w:val="0"/>
          <w:numId w:val="1005"/>
        </w:numPr>
      </w:pPr>
      <w:r>
        <w:t xml:space="preserve">Mantiene la interferencia de red de cincuenta hertz muy por debajo de la frecuencia de Nyquist</w:t>
      </w:r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t xml:space="preserve">Hz), de modo que se muestrea sin alias y puede eliminarse con un notch.</w:t>
      </w:r>
    </w:p>
    <w:p>
      <w:pPr>
        <w:pStyle w:val="Compact"/>
        <w:numPr>
          <w:ilvl w:val="0"/>
          <w:numId w:val="1005"/>
        </w:numPr>
      </w:pPr>
      <w:r>
        <w:t xml:space="preserve">Mejora la resolución temporal del complejo QRS, la deflexión más rápida de la señal.</w:t>
      </w:r>
    </w:p>
    <w:p>
      <w:pPr>
        <w:pStyle w:val="FirstParagraph"/>
      </w:pPr>
      <w:r>
        <w:t xml:space="preserve">A modo de ilustración del aliasing: con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Hz, una componente parásita de cuatrocientos</w:t>
      </w:r>
      <w:r>
        <w:t xml:space="preserve"> </w:t>
      </w:r>
      <w:r>
        <w:t xml:space="preserve">ochenta hertz se plegaría a</w:t>
      </w:r>
      <w:r>
        <w:t xml:space="preserve"> </w:t>
      </w:r>
      <m:oMath>
        <m:r>
          <m:rPr>
            <m:sty m:val="p"/>
          </m:rPr>
          <m:t>|</m:t>
        </m:r>
        <m:r>
          <m:t>480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⋅</m:t>
        </m:r>
        <m:r>
          <m:rPr>
            <m:sty m:val="p"/>
          </m:rPr>
          <m:t>round</m:t>
        </m:r>
        <m:r>
          <m:rPr>
            <m:sty m:val="p"/>
          </m:rPr>
          <m:t>(</m:t>
        </m:r>
        <m:r>
          <m:t>480</m:t>
        </m:r>
        <m:r>
          <m:rPr>
            <m:sty m:val="p"/>
          </m:rPr>
          <m:t>/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Hz, disfrazándose de</w:t>
      </w:r>
      <w:r>
        <w:t xml:space="preserve"> </w:t>
      </w:r>
      <w:r>
        <w:t xml:space="preserve">una componente de veinte hertz dentro de la banda útil.</w:t>
      </w:r>
    </w:p>
    <w:bookmarkEnd w:id="24"/>
    <w:bookmarkStart w:id="25" w:name="tabla-de-especificaciones-técnicas"/>
    <w:p>
      <w:pPr>
        <w:pStyle w:val="Heading2"/>
      </w:pPr>
      <w:r>
        <w:t xml:space="preserve">5.3 Tabla de especificaciones técnicas</w:t>
      </w:r>
    </w:p>
    <w:p>
      <w:pPr>
        <w:pStyle w:val="FirstParagraph"/>
      </w:pPr>
      <w:r>
        <w:t xml:space="preserve">La máscara de diseño completa, que rige tanto la etapa FIR como la IIR, se resume a continuación.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42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de muestreo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 Hz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ms;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250</m:t>
              </m:r>
            </m:oMath>
            <w:r>
              <w:t xml:space="preserve"> </w:t>
            </w: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Banda útil diagnóstica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 – 40 Hz</w:t>
            </w:r>
          </w:p>
        </w:tc>
        <w:tc>
          <w:tcPr/>
          <w:p>
            <w:pPr>
              <w:pStyle w:val="Compact"/>
            </w:pPr>
            <w:r>
              <w:t xml:space="preserve">Complejo P-QRS-T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 de banda de paso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Hz</w:t>
            </w:r>
          </w:p>
        </w:tc>
        <w:tc>
          <w:tcPr/>
          <w:p>
            <w:pPr>
              <w:pStyle w:val="Compact"/>
            </w:pPr>
            <w:r>
              <w:t xml:space="preserve">Límite superior de la banda útil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 de banda de rechazo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 Hz</w:t>
            </w:r>
          </w:p>
        </w:tc>
        <w:tc>
          <w:tcPr/>
          <w:p>
            <w:pPr>
              <w:pStyle w:val="Compact"/>
            </w:pPr>
            <w:r>
              <w:t xml:space="preserve">Inicio de la banda atenuada (IIR)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Ondulación máxima en paso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dB</w:t>
            </w:r>
          </w:p>
        </w:tc>
        <w:tc>
          <w:tcPr/>
          <w:p>
            <w:pPr>
              <w:pStyle w:val="Compact"/>
            </w:pPr>
            <w:r>
              <w:t xml:space="preserve">Rizado tolerado en banda útil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Atenuación mínima en rechazo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dB</w:t>
            </w:r>
          </w:p>
        </w:tc>
        <w:tc>
          <w:tcPr/>
          <w:p>
            <w:pPr>
              <w:pStyle w:val="Compact"/>
            </w:pPr>
            <w:r>
              <w:t xml:space="preserve">Supresión exigida en banda de rechazo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Transición FIR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→ 50 Hz (10 Hz)</w:t>
            </w:r>
          </w:p>
        </w:tc>
        <w:tc>
          <w:tcPr/>
          <w:p>
            <w:pPr>
              <w:pStyle w:val="Compact"/>
            </w:pPr>
            <w:r>
              <w:t xml:space="preserve">Para el pasa-bajos FIR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Ruido 1: red eléctrica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 Hz</w:t>
            </w:r>
          </w:p>
        </w:tc>
        <w:tc>
          <w:tcPr/>
          <w:p>
            <w:pPr>
              <w:pStyle w:val="Compact"/>
            </w:pPr>
            <w:r>
              <w:t xml:space="preserve">Notch IIR de 2.º orden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Ruido 2: EMG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40</m:t>
              </m:r>
            </m:oMath>
            <w:r>
              <w:t xml:space="preserve"> </w:t>
            </w:r>
            <w:r>
              <w:t xml:space="preserve">Hz</w:t>
            </w:r>
          </w:p>
        </w:tc>
        <w:tc>
          <w:tcPr/>
          <w:p>
            <w:pPr>
              <w:pStyle w:val="Compact"/>
            </w:pPr>
            <w:r>
              <w:t xml:space="preserve">Banda ancha; pasa-bajos FIR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lineal requerida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Preservar morfología P-QRS-T</w:t>
            </w:r>
          </w:p>
        </w:tc>
      </w:tr>
    </w:tbl>
    <w:bookmarkEnd w:id="25"/>
    <w:bookmarkStart w:id="26" w:name="estrategia-de-filtrado"/>
    <w:p>
      <w:pPr>
        <w:pStyle w:val="Heading2"/>
      </w:pPr>
      <w:r>
        <w:t xml:space="preserve">5.4 Estrategia de filtrado</w:t>
      </w:r>
    </w:p>
    <w:p>
      <w:pPr>
        <w:pStyle w:val="FirstParagraph"/>
      </w:pPr>
      <w:r>
        <w:t xml:space="preserve">De acuerdo con las especificaciones, se adopta una</w:t>
      </w:r>
      <w:r>
        <w:t xml:space="preserve"> </w:t>
      </w:r>
      <w:r>
        <w:rPr>
          <w:b/>
          <w:bCs/>
        </w:rPr>
        <w:t xml:space="preserve">cadena de filtrado mixta de dos etapas</w:t>
      </w:r>
      <w:r>
        <w:t xml:space="preserve"> </w:t>
      </w:r>
      <w:r>
        <w:t xml:space="preserve">que</w:t>
      </w:r>
      <w:r>
        <w:t xml:space="preserve"> </w:t>
      </w:r>
      <w:r>
        <w:t xml:space="preserve">combina lo mejor de ambas familias: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Etapa 1 — Notch IIR de 50 Hz (segundo orden):</w:t>
      </w:r>
      <w:r>
        <w:t xml:space="preserve"> </w:t>
      </w:r>
      <w:r>
        <w:t xml:space="preserve">elimina la interferencia de red con coste</w:t>
      </w:r>
      <w:r>
        <w:t xml:space="preserve"> </w:t>
      </w:r>
      <w:r>
        <w:t xml:space="preserve">mínimo (un solo biquad). Un IIR es idóneo aquí porque la muesca estrecha se logra con orden dos y</w:t>
      </w:r>
      <w:r>
        <w:t xml:space="preserve"> </w:t>
      </w:r>
      <w:r>
        <w:t xml:space="preserve">la pequeña distorsión de fase localizada en cincuenta hertz es tolerable.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Etapa 2 — Pasa-bajos FIR de fase lineal (Hamming,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40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Hz):</w:t>
      </w:r>
      <w:r>
        <w:t xml:space="preserve"> </w:t>
      </w:r>
      <w:r>
        <w:t xml:space="preserve">suprime el ruido EMG de alta</w:t>
      </w:r>
      <w:r>
        <w:t xml:space="preserve"> </w:t>
      </w:r>
      <w:r>
        <w:t xml:space="preserve">frecuencia preservando la morfología, gracias a su fase lineal y retardo de grupo constante.</w:t>
      </w:r>
    </w:p>
    <w:p>
      <w:pPr>
        <w:pStyle w:val="FirstParagraph"/>
      </w:pPr>
      <w:r>
        <w:t xml:space="preserve">Esta estrategia mixta es la recomendada en la literatura biomédica y la que sostiene el agente de</w:t>
      </w:r>
      <w:r>
        <w:t xml:space="preserve"> </w:t>
      </w:r>
      <w:r>
        <w:t xml:space="preserve">decisión: el filtro de fase lineal preserva el complejo P-QRS-T, mientras que el notch recursivo</w:t>
      </w:r>
      <w:r>
        <w:t xml:space="preserve"> </w:t>
      </w:r>
      <w:r>
        <w:t xml:space="preserve">optimiza el coste de la supresión de red.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0" w:name="diseño-de-filtros"/>
    <w:p>
      <w:pPr>
        <w:pStyle w:val="Heading1"/>
      </w:pPr>
      <w:r>
        <w:t xml:space="preserve">6. Diseño de Filtros</w:t>
      </w:r>
    </w:p>
    <w:bookmarkStart w:id="31" w:name="diseño-del-filtro-fir-pasa-bajos-hamming"/>
    <w:p>
      <w:pPr>
        <w:pStyle w:val="Heading2"/>
      </w:pPr>
      <w:r>
        <w:t xml:space="preserve">6.1 Diseño del filtro FIR pasa-bajos (Hamming)</w:t>
      </w:r>
    </w:p>
    <w:bookmarkStart w:id="28" w:name="especificación-y-cálculo-del-orden"/>
    <w:p>
      <w:pPr>
        <w:pStyle w:val="Heading3"/>
      </w:pPr>
      <w:r>
        <w:t xml:space="preserve">6.1.1 Especificación y cálculo del orden</w:t>
      </w:r>
    </w:p>
    <w:p>
      <w:pPr>
        <w:pStyle w:val="FirstParagraph"/>
      </w:pPr>
      <w:r>
        <w:t xml:space="preserve">Se diseña un pasa-bajos FIR de fase lineal con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Hz, frecuencia de corte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Hz,</w:t>
      </w:r>
      <w:r>
        <w:t xml:space="preserve"> </w:t>
      </w:r>
      <w:r>
        <w:t xml:space="preserve">banda de transición de cuarenta a cincuenta hertz (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Hz) y ventana de Hamming</w:t>
      </w:r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53</m:t>
        </m:r>
      </m:oMath>
      <w:r>
        <w:t xml:space="preserve"> </w:t>
      </w:r>
      <w:r>
        <w:t xml:space="preserve">dB). Aplicando la regla de orden de la ventana de Hamming: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500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165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borderBox>
            <m:e>
              <m:r>
                <m:t>N</m:t>
              </m:r>
              <m:r>
                <m:rPr>
                  <m:sty m:val="p"/>
                </m:rPr>
                <m:t>=</m:t>
              </m:r>
              <m:r>
                <m:t>166</m:t>
              </m:r>
            </m:e>
          </m:borderBox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par, Tipo I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167</m:t>
          </m:r>
          <m:r>
            <m:t> </m:t>
          </m:r>
          <m:r>
            <m:rPr>
              <m:nor/>
              <m:sty m:val="p"/>
            </m:rPr>
            <m:t>coeficientes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 redondea 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166</m:t>
        </m:r>
      </m:oMath>
      <w:r>
        <w:t xml:space="preserve"> </w:t>
      </w:r>
      <w:r>
        <w:t xml:space="preserve">(orden par) para obtener un FIR de</w:t>
      </w:r>
      <w:r>
        <w:t xml:space="preserve"> </w:t>
      </w:r>
      <w:r>
        <w:rPr>
          <w:b/>
          <w:bCs/>
        </w:rPr>
        <w:t xml:space="preserve">Tipo I</w:t>
      </w:r>
      <w:r>
        <w:t xml:space="preserve"> </w:t>
      </w:r>
      <w:r>
        <w:t xml:space="preserve">(simétrico, orden par), el más</w:t>
      </w:r>
      <w:r>
        <w:t xml:space="preserve"> </w:t>
      </w:r>
      <w:r>
        <w:t xml:space="preserve">versátil y apto para pasa-bajos. Como verificación cruzada, la fórmula de Kaiser para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53</m:t>
        </m:r>
      </m:oMath>
      <w:r>
        <w:t xml:space="preserve"> </w:t>
      </w:r>
      <w:r>
        <w:t xml:space="preserve">dB</w:t>
      </w:r>
      <w:r>
        <w:t xml:space="preserve"> </w:t>
      </w:r>
      <w:r>
        <w:t xml:space="preserve">con</w:t>
      </w:r>
      <w:r>
        <w:t xml:space="preserve"> </w:t>
      </w:r>
      <m:oMath>
        <m:r>
          <m:rPr>
            <m:sty m:val="p"/>
          </m:rPr>
          <m:t>Δ</m:t>
        </m:r>
        <m:r>
          <m:t>ω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/</m:t>
        </m:r>
        <m:r>
          <m:t>500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1257</m:t>
        </m:r>
      </m:oMath>
      <w:r>
        <w:t xml:space="preserve"> </w:t>
      </w:r>
      <w:r>
        <w:t xml:space="preserve">rad da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rPr>
            <m:sty m:val="p"/>
          </m:rPr>
          <m:t>(</m:t>
        </m:r>
        <m:r>
          <m:t>53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285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1257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157</m:t>
        </m:r>
      </m:oMath>
      <w:r>
        <w:t xml:space="preserve">, del mismo orden de magnitud (la regla de</w:t>
      </w:r>
      <w:r>
        <w:t xml:space="preserve"> </w:t>
      </w:r>
      <w:r>
        <w:t xml:space="preserve">Hamming es algo más conservadora).</w:t>
      </w:r>
    </w:p>
    <w:bookmarkEnd w:id="28"/>
    <w:bookmarkStart w:id="29" w:name="Xcd14c0a054835ee903e77392be9e147f504a093"/>
    <w:p>
      <w:pPr>
        <w:pStyle w:val="Heading3"/>
      </w:pPr>
      <w:r>
        <w:t xml:space="preserve">6.1.2 Coeficientes, simetría y función de transferencia</w:t>
      </w:r>
    </w:p>
    <w:p>
      <w:pPr>
        <w:pStyle w:val="FirstParagraph"/>
      </w:pPr>
      <w:r>
        <w:t xml:space="preserve">La frecuencia de corte de diseño se centra en la transición,</w:t>
      </w:r>
      <w:r>
        <w:t xml:space="preserve"> </w:t>
      </w:r>
      <m:oMath>
        <m:sSubSup>
          <m:e>
            <m:r>
              <m:t>f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40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t xml:space="preserve">Hz, lo que da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⋅</m:t>
        </m:r>
        <m:r>
          <m:t>45</m:t>
        </m:r>
        <m:r>
          <m:rPr>
            <m:sty m:val="p"/>
          </m:rPr>
          <m:t>/</m:t>
        </m:r>
        <m:r>
          <m:t>500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5655</m:t>
        </m:r>
      </m:oMath>
      <w:r>
        <w:t xml:space="preserve"> </w:t>
      </w:r>
      <w:r>
        <w:t xml:space="preserve">rad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18</m:t>
        </m:r>
        <m:r>
          <m:t>π</m:t>
        </m:r>
      </m:oMath>
      <w:r>
        <w:t xml:space="preserve"> </w:t>
      </w:r>
      <w:r>
        <w:t xml:space="preserve">(normalizada a Nyquist:</w:t>
      </w:r>
      <w:r>
        <w:t xml:space="preserve"> </w:t>
      </w:r>
      <m:oMath>
        <m:r>
          <m:t>45</m:t>
        </m:r>
        <m:r>
          <m:rPr>
            <m:sty m:val="p"/>
          </m:rPr>
          <m:t>/</m:t>
        </m:r>
        <m:r>
          <m:t>250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18</m:t>
        </m:r>
      </m:oMath>
      <w:r>
        <w:t xml:space="preserve">).</w:t>
      </w:r>
      <w:r>
        <w:t xml:space="preserve"> </w:t>
      </w:r>
      <w:r>
        <w:t xml:space="preserve">Los coeficientes resultan del producto de la sinc ideal por la ventana de Hamming: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ω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83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num>
                    <m:den>
                      <m:r>
                        <m:t>π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83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sinc ideal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46</m:t>
                      </m:r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lin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  <m:r>
                            <m:t>n</m:t>
                          </m:r>
                        </m:num>
                        <m:den>
                          <m:r>
                            <m:t>166</m:t>
                          </m:r>
                        </m:den>
                      </m:f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ventana de Hamming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166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coeficiente central (</w:t>
      </w:r>
      <m:oMath>
        <m:r>
          <m:t>n</m:t>
        </m:r>
        <m:r>
          <m:rPr>
            <m:sty m:val="p"/>
          </m:rPr>
          <m:t>=</m:t>
        </m:r>
        <m:r>
          <m:t>83</m:t>
        </m:r>
      </m:oMath>
      <w:r>
        <w:t xml:space="preserve">) alcanza el pico</w:t>
      </w:r>
      <w:r>
        <w:t xml:space="preserve"> </w:t>
      </w:r>
      <m:oMath>
        <m:r>
          <m:t>h</m:t>
        </m:r>
        <m:r>
          <m:rPr>
            <m:sty m:val="p"/>
          </m:rPr>
          <m:t>[</m:t>
        </m:r>
        <m:r>
          <m:t>83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18</m:t>
        </m:r>
      </m:oMath>
      <w:r>
        <w:t xml:space="preserve">, y se cumple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simetría</w:t>
      </w:r>
      <w:r>
        <w:t xml:space="preserve"> </w:t>
      </w:r>
      <m:oMath>
        <m:r>
          <m:t>h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[</m:t>
        </m:r>
        <m:r>
          <m:t>166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]</m:t>
        </m:r>
      </m:oMath>
      <w:r>
        <w:t xml:space="preserve">, que confirma el carácter Tipo I y garantiza</w:t>
      </w:r>
      <w:r>
        <w:t xml:space="preserve"> </w:t>
      </w:r>
      <w:r>
        <w:rPr>
          <w:b/>
          <w:bCs/>
        </w:rPr>
        <w:t xml:space="preserve">fase lineal</w:t>
      </w:r>
      <w:r>
        <w:rPr>
          <w:b/>
          <w:bCs/>
        </w:rPr>
        <w:t xml:space="preserve"> </w:t>
      </w:r>
      <w:r>
        <w:rPr>
          <w:b/>
          <w:bCs/>
        </w:rPr>
        <w:t xml:space="preserve">exacta</w:t>
      </w:r>
      <w:r>
        <w:t xml:space="preserve">. La función de transferencia es el polinomio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166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t> 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[</m:t>
          </m:r>
          <m:r>
            <m:t>166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cuya suma de coeficientes verifica la ganancia unitaria en continua,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j</m:t>
            </m:r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1</m:t>
        </m:r>
      </m:oMath>
      <w:r>
        <w:t xml:space="preserve">.</w:t>
      </w:r>
    </w:p>
    <w:bookmarkEnd w:id="29"/>
    <w:bookmarkStart w:id="30" w:name="retardo-de-grupo-y-coste"/>
    <w:p>
      <w:pPr>
        <w:pStyle w:val="Heading3"/>
      </w:pPr>
      <w:r>
        <w:t xml:space="preserve">6.1.3 Retardo de grupo y coste</w:t>
      </w:r>
    </w:p>
    <w:p>
      <w:pPr>
        <w:pStyle w:val="FirstParagraph"/>
      </w:pPr>
      <w:r>
        <w:t xml:space="preserve">El retardo de grupo es constante: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83</m:t>
          </m:r>
          <m:r>
            <m:t> </m:t>
          </m:r>
          <m:r>
            <m:rPr>
              <m:nor/>
              <m:sty m:val="p"/>
            </m:rPr>
            <m:t>muestras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83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166</m:t>
          </m:r>
          <m:r>
            <m:t> 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=</m:t>
          </m:r>
          <m:r>
            <m:rPr>
              <m:sty m:val="b"/>
            </m:rPr>
            <m:t>166</m:t>
          </m:r>
          <m:r>
            <m:rPr>
              <m:sty m:val="b"/>
            </m:rPr>
            <m:t> </m:t>
          </m:r>
          <m:r>
            <m:rPr>
              <m:sty m:val="bi"/>
            </m:rPr>
            <m:t>m</m:t>
          </m:r>
          <m:r>
            <m:rPr>
              <m:sty m:val="bi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Este retardo constante no distorsiona el complejo P-QRS-T. El coste es de aproximadamente 167</w:t>
      </w:r>
      <w:r>
        <w:t xml:space="preserve"> </w:t>
      </w:r>
      <w:r>
        <w:t xml:space="preserve">operaciones MAC por muestra, equivalentes a</w:t>
      </w:r>
      <w:r>
        <w:t xml:space="preserve"> </w:t>
      </w:r>
      <m:oMath>
        <m:r>
          <m:t>83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kMAC/s a quinientos hertz: perfectamente viable</w:t>
      </w:r>
      <w:r>
        <w:t xml:space="preserve"> </w:t>
      </w:r>
      <w:r>
        <w:t xml:space="preserve">en plataformas con unidad de punto flotante (ESP32, STM32) e inviable en Arduino UNO en punto fijo.</w:t>
      </w:r>
    </w:p>
    <w:bookmarkEnd w:id="30"/>
    <w:bookmarkEnd w:id="31"/>
    <w:bookmarkStart w:id="38" w:name="X1c4e74025daf2e27cdc5beff03e8bc3d87e7fbc"/>
    <w:p>
      <w:pPr>
        <w:pStyle w:val="Heading2"/>
      </w:pPr>
      <w:r>
        <w:t xml:space="preserve">6.2 Diseño del filtro IIR Butterworth, Chebyshev, elíptico</w:t>
      </w:r>
    </w:p>
    <w:p>
      <w:pPr>
        <w:pStyle w:val="BlockText"/>
      </w:pPr>
      <w:r>
        <w:rPr>
          <w:b/>
          <w:bCs/>
        </w:rPr>
        <w:t xml:space="preserve">Nota de autoridad numérica.</w:t>
      </w:r>
      <w:r>
        <w:t xml:space="preserve"> </w:t>
      </w:r>
      <w:r>
        <w:t xml:space="preserve">Este desarrollo sigue fielmente el módulo</w:t>
      </w:r>
      <w:r>
        <w:t xml:space="preserve"> </w:t>
      </w:r>
      <w:r>
        <w:rPr>
          <w:rStyle w:val="VerbatimChar"/>
        </w:rPr>
        <w:t xml:space="preserve">_kb/03-iir.md</w:t>
      </w:r>
      <w:r>
        <w:t xml:space="preserve">, que es</w:t>
      </w:r>
      <w:r>
        <w:t xml:space="preserve"> </w:t>
      </w:r>
      <w:r>
        <w:t xml:space="preserve">la referencia canónica del ejemplo IIR. El resultado clave (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para Butterworth) motiva el</w:t>
      </w:r>
      <w:r>
        <w:t xml:space="preserve"> </w:t>
      </w:r>
      <w:r>
        <w:t xml:space="preserve">cambio de prototipo y el uso de la estructura SOS.</w:t>
      </w:r>
    </w:p>
    <w:bookmarkStart w:id="32" w:name="especificación-y-frecuencias-digitales"/>
    <w:p>
      <w:pPr>
        <w:pStyle w:val="Heading3"/>
      </w:pPr>
      <w:r>
        <w:t xml:space="preserve">6.2.1 Especificación y frecuencias digitales</w:t>
      </w:r>
    </w:p>
    <w:p>
      <w:pPr>
        <w:pStyle w:val="FirstParagraph"/>
      </w:pPr>
      <w:r>
        <w:t xml:space="preserve">Se diseña un pasa-bajos IIR con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Hz (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ms),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Hz,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Hz,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dB y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dB, partiendo del prototipo Butterworth. Las frecuencias digitales</w:t>
      </w:r>
      <w:r>
        <w:t xml:space="preserve"> </w:t>
      </w:r>
      <w:r>
        <w:t xml:space="preserve">normalizadas son: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t>40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5027</m:t>
          </m:r>
          <m:r>
            <m:t> </m:t>
          </m:r>
          <m:r>
            <m:rPr>
              <m:nor/>
              <m:sty m:val="p"/>
            </m:rPr>
            <m:t>rad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16</m:t>
          </m:r>
          <m:r>
            <m:t>π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t>60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7540</m:t>
          </m:r>
          <m:r>
            <m:t> </m:t>
          </m:r>
          <m:r>
            <m:rPr>
              <m:nor/>
              <m:sty m:val="p"/>
            </m:rPr>
            <m:t>rad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24</m:t>
          </m:r>
          <m:r>
            <m:t>π</m:t>
          </m:r>
          <m:r>
            <m:rPr>
              <m:sty m:val="p"/>
            </m:rPr>
            <m:t>.</m:t>
          </m:r>
        </m:oMath>
      </m:oMathPara>
    </w:p>
    <w:bookmarkEnd w:id="32"/>
    <w:bookmarkStart w:id="33" w:name="prewarping-predistorsión-de-frecuencias"/>
    <w:p>
      <w:pPr>
        <w:pStyle w:val="Heading3"/>
      </w:pPr>
      <w:r>
        <w:t xml:space="preserve">6.2.2 Prewarping (predistorsión de frecuencias)</w:t>
      </w:r>
    </w:p>
    <w:p>
      <w:pPr>
        <w:pStyle w:val="FirstParagraph"/>
      </w:pPr>
      <w:r>
        <w:t xml:space="preserve">Con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, se predistorsionan las frecuencias críticas antes del diseño analógico: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Ω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1000</m:t>
          </m:r>
          <m:r>
            <m:rPr>
              <m:sty m:val="p"/>
            </m:rPr>
            <m:t>⋅</m:t>
          </m:r>
          <m:r>
            <m:rPr>
              <m:sty m:val="p"/>
            </m:rPr>
            <m:t>tan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2513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256</m:t>
          </m:r>
          <m:r>
            <m:rPr>
              <m:sty m:val="b"/>
            </m:rPr>
            <m:t>,</m:t>
          </m:r>
          <m:r>
            <m:rPr>
              <m:sty m:val="b"/>
            </m:rPr>
            <m:t>76</m:t>
          </m:r>
          <m:r>
            <m:t> </m:t>
          </m:r>
          <m:r>
            <m:rPr>
              <m:nor/>
              <m:sty m:val="p"/>
            </m:rPr>
            <m:t>rad/s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≈</m:t>
          </m:r>
          <m:r>
            <m:t>40</m:t>
          </m:r>
          <m:r>
            <m:rPr>
              <m:sty m:val="p"/>
            </m:rPr>
            <m:t>,</m:t>
          </m:r>
          <m:r>
            <m:t>86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Ω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1000</m:t>
          </m:r>
          <m:r>
            <m:rPr>
              <m:sty m:val="p"/>
            </m:rPr>
            <m:t>⋅</m:t>
          </m:r>
          <m:r>
            <m:rPr>
              <m:sty m:val="p"/>
            </m:rPr>
            <m:t>tan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3770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395</m:t>
          </m:r>
          <m:r>
            <m:rPr>
              <m:sty m:val="b"/>
            </m:rPr>
            <m:t>,</m:t>
          </m:r>
          <m:r>
            <m:rPr>
              <m:sty m:val="b"/>
            </m:rPr>
            <m:t>93</m:t>
          </m:r>
          <m:r>
            <m:t> </m:t>
          </m:r>
          <m:r>
            <m:rPr>
              <m:nor/>
              <m:sty m:val="p"/>
            </m:rPr>
            <m:t>rad/s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≈</m:t>
          </m:r>
          <m:r>
            <m:t>63</m:t>
          </m:r>
          <m:r>
            <m:rPr>
              <m:sty m:val="p"/>
            </m:rPr>
            <m:t>,</m:t>
          </m:r>
          <m:r>
            <m:t>01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prewarping desplaza ligeramente las frecuencias hacia arriba; sin él, los bordes de banda caerían</w:t>
      </w:r>
      <w:r>
        <w:t xml:space="preserve"> </w:t>
      </w:r>
      <w:r>
        <w:t xml:space="preserve">corridos respecto de los cuarenta y sesenta hertz deseados.</w:t>
      </w:r>
    </w:p>
    <w:bookmarkEnd w:id="33"/>
    <w:bookmarkStart w:id="34" w:name="cálculo-del-orden-butterworth"/>
    <w:p>
      <w:pPr>
        <w:pStyle w:val="Heading3"/>
      </w:pPr>
      <w:r>
        <w:t xml:space="preserve">6.2.3 Cálculo del orden (Butterworth)</w:t>
      </w:r>
    </w:p>
    <w:p>
      <w:pPr>
        <w:pStyle w:val="FirstParagraph"/>
      </w:pPr>
      <w:r>
        <w:t xml:space="preserve">Aplicando la fórmula del orden Butterworth: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t>10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9999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10</m:t>
              </m:r>
            </m:e>
            <m:sup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t>10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2589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9999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2589</m:t>
              </m:r>
            </m:den>
          </m:f>
          <m:r>
            <m:rPr>
              <m:sty m:val="p"/>
            </m:rPr>
            <m:t>=</m:t>
          </m:r>
          <m:r>
            <m:t>38</m:t>
          </m:r>
          <m:r>
            <m:t> </m:t>
          </m:r>
          <m:r>
            <m:t>617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38</m:t>
          </m:r>
          <m:r>
            <m:t> </m:t>
          </m:r>
          <m:r>
            <m:t>617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5868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395</m:t>
              </m:r>
              <m:r>
                <m:rPr>
                  <m:sty m:val="p"/>
                </m:rPr>
                <m:t>,</m:t>
              </m:r>
              <m:r>
                <m:t>93</m:t>
              </m:r>
            </m:num>
            <m:den>
              <m:r>
                <m:t>256</m:t>
              </m:r>
              <m:r>
                <m:rPr>
                  <m:sty m:val="p"/>
                </m:rPr>
                <m:t>,</m:t>
              </m:r>
              <m:r>
                <m:t>76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5420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5420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1881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,</m:t>
              </m:r>
              <m:r>
                <m:t>5868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1881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,</m:t>
              </m:r>
              <m:r>
                <m:t>5868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3762</m:t>
              </m:r>
            </m:den>
          </m:f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19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borderBox>
            <m:e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e>
          </m:borderBox>
          <m:r>
            <m:rPr>
              <m:sty m:val="p"/>
            </m:rPr>
            <m:t>.</m:t>
          </m:r>
        </m:oMath>
      </m:oMathPara>
    </w:p>
    <w:bookmarkEnd w:id="34"/>
    <w:bookmarkStart w:id="35" w:name="X05059f799404c8b596078d8113281815da9a6fb"/>
    <w:p>
      <w:pPr>
        <w:pStyle w:val="Heading3"/>
      </w:pPr>
      <w:r>
        <w:t xml:space="preserve">6.2.4 Lectura de ingeniería: por qué Butterworth N=13 motiva Chebyshev y elíptico</w:t>
      </w:r>
    </w:p>
    <w:p>
      <w:pPr>
        <w:pStyle w:val="FirstParagraph"/>
      </w:pPr>
      <w:r>
        <w:t xml:space="preserve">Un orden trece es</w:t>
      </w:r>
      <w:r>
        <w:t xml:space="preserve"> </w:t>
      </w:r>
      <w:r>
        <w:rPr>
          <w:b/>
          <w:bCs/>
        </w:rPr>
        <w:t xml:space="preserve">altísimo</w:t>
      </w:r>
      <w:r>
        <w:t xml:space="preserve">: la transición de cuarenta a sesenta hertz (relación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54</m:t>
        </m:r>
      </m:oMath>
      <w:r>
        <w:t xml:space="preserve">) con</w:t>
      </w:r>
      <w:r>
        <w:t xml:space="preserve"> </w:t>
      </w:r>
      <w:r>
        <w:t xml:space="preserve">cuarenta decibelios de atenuación es muy exigente para el prototipo Butterworth, que es el de menor</w:t>
      </w:r>
      <w:r>
        <w:t xml:space="preserve"> </w:t>
      </w:r>
      <w:r>
        <w:t xml:space="preserve">pendiente. Este resultado motiva tres decisiones reales de diseño: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Relajar la máscara</w:t>
      </w:r>
      <w:r>
        <w:t xml:space="preserve"> </w:t>
      </w:r>
      <w:r>
        <w:t xml:space="preserve">(por ejemplo,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–</w:t>
      </w:r>
      <m:oMath>
        <m:r>
          <m:t>30</m:t>
        </m:r>
      </m:oMath>
      <w:r>
        <w:t xml:space="preserve"> </w:t>
      </w:r>
      <w:r>
        <w:t xml:space="preserve">dB o ensanchar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</m:oMath>
      <w:r>
        <w:t xml:space="preserve">), lo que bajaría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un</w:t>
      </w:r>
      <w:r>
        <w:t xml:space="preserve"> </w:t>
      </w:r>
      <w:r>
        <w:t xml:space="preserve">rango de cuatro a seis.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Cambiar de prototipo</w:t>
      </w:r>
      <w:r>
        <w:t xml:space="preserve"> </w:t>
      </w:r>
      <w:r>
        <w:t xml:space="preserve">manteniendo la</w:t>
      </w:r>
      <w:r>
        <w:t xml:space="preserve"> </w:t>
      </w:r>
      <w:r>
        <w:rPr>
          <w:b/>
          <w:bCs/>
        </w:rPr>
        <w:t xml:space="preserve">misma</w:t>
      </w:r>
      <w:r>
        <w:t xml:space="preserve"> </w:t>
      </w:r>
      <w:r>
        <w:t xml:space="preserve">máscara. Con la fórmula del orden basada en el</w:t>
      </w:r>
      <w:r>
        <w:t xml:space="preserve"> </w:t>
      </w:r>
      <w:r>
        <w:t xml:space="preserve">coseno hiperbólico inverso, el prototipo</w:t>
      </w:r>
      <w:r>
        <w:t xml:space="preserve"> </w:t>
      </w:r>
      <w:r>
        <w:rPr>
          <w:b/>
          <w:bCs/>
        </w:rPr>
        <w:t xml:space="preserve">Chebyshev I</w:t>
      </w:r>
      <w:r>
        <w:t xml:space="preserve"> </w:t>
      </w:r>
      <w:r>
        <w:t xml:space="preserve">da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5</m:t>
        </m:r>
        <m:r>
          <m:rPr>
            <m:sty m:val="p"/>
          </m:rPr>
          <m:t>,</m:t>
        </m:r>
        <m:r>
          <m:t>97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y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elíptico</w:t>
      </w:r>
      <w:r>
        <w:t xml:space="preserve"> </w:t>
      </w:r>
      <w:r>
        <w:t xml:space="preserve">da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4</m:t>
        </m:r>
      </m:oMath>
      <w:r>
        <w:t xml:space="preserve">. El compromiso es admitir rizado en banda y peor fase.</w:t>
      </w:r>
    </w:p>
    <w:p>
      <w:pPr>
        <w:pStyle w:val="Compact"/>
        <w:numPr>
          <w:ilvl w:val="0"/>
          <w:numId w:val="1007"/>
        </w:numPr>
      </w:pPr>
      <w:r>
        <w:t xml:space="preserve">Si se mantiene un orden alto, es</w:t>
      </w:r>
      <w:r>
        <w:t xml:space="preserve"> </w:t>
      </w:r>
      <w:r>
        <w:rPr>
          <w:b/>
          <w:bCs/>
        </w:rPr>
        <w:t xml:space="preserve">obligatorio</w:t>
      </w:r>
      <w:r>
        <w:t xml:space="preserve"> </w:t>
      </w:r>
      <w:r>
        <w:t xml:space="preserve">realizar el filtro en cascada de biquads (SOS);</w:t>
      </w:r>
      <w:r>
        <w:t xml:space="preserve"> </w:t>
      </w:r>
      <w:r>
        <w:t xml:space="preserve">una forma directa de orden trece es numéricamente inviable.</w:t>
      </w:r>
    </w:p>
    <w:p>
      <w:pPr>
        <w:pStyle w:val="FirstParagraph"/>
      </w:pPr>
      <w:r>
        <w:t xml:space="preserve">La tabla siguiente compara los prototipos para esta máscara concreta: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5"/>
        <w:gridCol w:w="1405"/>
        <w:gridCol w:w="1916"/>
        <w:gridCol w:w="1660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Orden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Secciones SOS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MAC/muestra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Butterworth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35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Fase más limpia, orden inviable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Chebyshev 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Rizado en paso, orden razonable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Elíptico (Cauer)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Orden mínimo, fase fea</w:t>
            </w:r>
          </w:p>
        </w:tc>
      </w:tr>
    </w:tbl>
    <w:bookmarkEnd w:id="35"/>
    <w:bookmarkStart w:id="36" w:name="Xdcbb1ace12232c8281a2124c7c6c4393ee79aca"/>
    <w:p>
      <w:pPr>
        <w:pStyle w:val="Heading3"/>
      </w:pPr>
      <w:r>
        <w:t xml:space="preserve">6.2.5 Función de transferencia, SOS y ecuación en diferencias</w:t>
      </w:r>
    </w:p>
    <w:p>
      <w:pPr>
        <w:pStyle w:val="FirstParagraph"/>
      </w:pPr>
      <w:r>
        <w:t xml:space="preserve">La frecuencia de corte se fija en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Ω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5088</m:t>
        </m:r>
      </m:oMath>
      <w:r>
        <w:t xml:space="preserve">. Con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se ubican los polos sobre el</w:t>
      </w:r>
      <w:r>
        <w:t xml:space="preserve"> </w:t>
      </w:r>
      <w:r>
        <w:t xml:space="preserve">semicírculo del semiplano izquierdo y se arma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como producto de secciones de segundo orden.</w:t>
      </w:r>
      <w:r>
        <w:t xml:space="preserve"> </w:t>
      </w:r>
      <w:r>
        <w:t xml:space="preserve">Aplicando la transformada bilineal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T</m:t>
            </m:r>
          </m:den>
        </m:f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 </w:t>
      </w:r>
      <w:r>
        <w:t xml:space="preserve">a cada sección se</w:t>
      </w:r>
      <w:r>
        <w:t xml:space="preserve"> </w:t>
      </w:r>
      <w:r>
        <w:t xml:space="preserve">obtiene la función de transferencia digital en formato de cascada de secciones de segundo orden</w:t>
      </w:r>
      <w:r>
        <w:t xml:space="preserve"> </w:t>
      </w:r>
      <w:r>
        <w:t xml:space="preserve">(</w:t>
      </w:r>
      <w:r>
        <w:rPr>
          <w:b/>
          <w:bCs/>
        </w:rPr>
        <w:t xml:space="preserve">SOS</w:t>
      </w:r>
      <w:r>
        <w:t xml:space="preserve">,</w:t>
      </w:r>
      <w:r>
        <w:t xml:space="preserve"> </w:t>
      </w:r>
      <w:r>
        <w:rPr>
          <w:i/>
          <w:iCs/>
        </w:rPr>
        <w:t xml:space="preserve">Second-Order Sections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  <m:r>
                        <m:t>i</m:t>
                      </m:r>
                    </m:sub>
                  </m:sSub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  <m:r>
                        <m:t>i</m:t>
                      </m:r>
                    </m:sub>
                  </m:sSub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  <m:r>
                        <m:t>i</m:t>
                      </m:r>
                    </m:sub>
                  </m:sSub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  <m:r>
                        <m:t>i</m:t>
                      </m:r>
                    </m:sub>
                  </m:sSub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el caso Butterworth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 esto resulta en seis biquads más una sección de primer orden. La</w:t>
      </w:r>
      <w:r>
        <w:t xml:space="preserve"> </w:t>
      </w:r>
      <w:r>
        <w:rPr>
          <w:b/>
          <w:bCs/>
        </w:rPr>
        <w:t xml:space="preserve">ecuación en diferencias</w:t>
      </w:r>
      <w:r>
        <w:t xml:space="preserve"> </w:t>
      </w:r>
      <w:r>
        <w:t xml:space="preserve">de cada sección, que alimenta su salida a la siguiente,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0</m:t>
              </m:r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2</m:t>
              </m:r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6"/>
    <w:bookmarkStart w:id="37" w:name="estabilidad-y-estructura-de-realización"/>
    <w:p>
      <w:pPr>
        <w:pStyle w:val="Heading3"/>
      </w:pPr>
      <w:r>
        <w:t xml:space="preserve">6.2.6 Estabilidad y estructura de realización</w:t>
      </w:r>
    </w:p>
    <w:p>
      <w:pPr>
        <w:pStyle w:val="FirstParagraph"/>
      </w:pPr>
      <w:r>
        <w:t xml:space="preserve">Un IIR causal es</w:t>
      </w:r>
      <w:r>
        <w:t xml:space="preserve"> </w:t>
      </w:r>
      <w:r>
        <w:rPr>
          <w:b/>
          <w:bCs/>
        </w:rPr>
        <w:t xml:space="preserve">estable</w:t>
      </w:r>
      <w:r>
        <w:t xml:space="preserve"> </w:t>
      </w:r>
      <w:r>
        <w:t xml:space="preserve">(BIBO) si y solo si</w:t>
      </w:r>
      <w:r>
        <w:t xml:space="preserve"> </w:t>
      </w:r>
      <w:r>
        <w:rPr>
          <w:b/>
          <w:bCs/>
        </w:rPr>
        <w:t xml:space="preserve">todos sus polos</w:t>
      </w:r>
      <w:r>
        <w:t xml:space="preserve"> </w:t>
      </w:r>
      <w:r>
        <w:t xml:space="preserve">están estrictamente dentro del</w:t>
      </w:r>
      <w:r>
        <w:t xml:space="preserve"> </w:t>
      </w:r>
      <w:r>
        <w:t xml:space="preserve">círculo unitario,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  <m:r>
          <m:t> </m:t>
        </m:r>
        <m:r>
          <m:rPr>
            <m:sty m:val="p"/>
          </m:rPr>
          <m:t>∀</m:t>
        </m:r>
        <m:r>
          <m:t>k</m:t>
        </m:r>
      </m:oMath>
      <w:r>
        <w:t xml:space="preserve">. La transformada bilineal</w:t>
      </w:r>
      <w:r>
        <w:t xml:space="preserve"> </w:t>
      </w:r>
      <w:r>
        <w:rPr>
          <w:b/>
          <w:bCs/>
        </w:rPr>
        <w:t xml:space="preserve">garantiza</w:t>
      </w:r>
      <w:r>
        <w:t xml:space="preserve"> </w:t>
      </w:r>
      <w:r>
        <w:t xml:space="preserve">esta condición</w:t>
      </w:r>
      <w:r>
        <w:t xml:space="preserve"> </w:t>
      </w:r>
      <w:r>
        <w:t xml:space="preserve">siempre que el prototipo analógico sea estable, por lo que el filtro diseñado es estable por</w:t>
      </w:r>
      <w:r>
        <w:t xml:space="preserve"> </w:t>
      </w:r>
      <w:r>
        <w:t xml:space="preserve">construcción. La verificación práctica se realiza calculando las raíces del denominador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max(abs(roots(a))) &lt; 1</w:t>
      </w:r>
      <w:r>
        <w:t xml:space="preserve">) o visualmente con el diagrama de polos-ceros.</w:t>
      </w:r>
    </w:p>
    <w:p>
      <w:pPr>
        <w:pStyle w:val="BodyText"/>
      </w:pPr>
      <w:r>
        <w:t xml:space="preserve">Para órdenes mayores o iguales a tres es</w:t>
      </w:r>
      <w:r>
        <w:t xml:space="preserve"> </w:t>
      </w:r>
      <w:r>
        <w:rPr>
          <w:b/>
          <w:bCs/>
        </w:rPr>
        <w:t xml:space="preserve">obligatorio</w:t>
      </w:r>
      <w:r>
        <w:t xml:space="preserve"> </w:t>
      </w:r>
      <w:r>
        <w:t xml:space="preserve">el formato SOS. La razón es la</w:t>
      </w:r>
      <w:r>
        <w:t xml:space="preserve"> </w:t>
      </w:r>
      <w:r>
        <w:rPr>
          <w:b/>
          <w:bCs/>
        </w:rPr>
        <w:t xml:space="preserve">sensibilidad</w:t>
      </w:r>
      <w:r>
        <w:rPr>
          <w:b/>
          <w:bCs/>
        </w:rPr>
        <w:t xml:space="preserve"> </w:t>
      </w:r>
      <w:r>
        <w:rPr>
          <w:b/>
          <w:bCs/>
        </w:rPr>
        <w:t xml:space="preserve">a la cuantización de coeficientes</w:t>
      </w:r>
      <w:r>
        <w:t xml:space="preserve">: en un polinomio de grado alto las raíces son extremadamente</w:t>
      </w:r>
      <w:r>
        <w:t xml:space="preserve"> </w:t>
      </w:r>
      <w:r>
        <w:t xml:space="preserve">sensibles a perturbaciones de los coeficientes (problema de Wilkinson), de modo que un polo cercano al</w:t>
      </w:r>
      <w:r>
        <w:t xml:space="preserve"> </w:t>
      </w:r>
      <w:r>
        <w:t xml:space="preserve">círculo unitario podría salir de él y volver inestable el filtro. Al factorizar en biquads, cada par</w:t>
      </w:r>
      <w:r>
        <w:t xml:space="preserve"> </w:t>
      </w:r>
      <w:r>
        <w:t xml:space="preserve">de polos y ceros se cuantiza por separado dentro de su sección, lo que reduce drásticamente la</w:t>
      </w:r>
      <w:r>
        <w:t xml:space="preserve"> </w:t>
      </w:r>
      <w:r>
        <w:t xml:space="preserve">sensibilidad y permite escalar la ganancia sección a sección para controlar el rango dinámico —</w:t>
      </w:r>
      <w:r>
        <w:t xml:space="preserve"> </w:t>
      </w:r>
      <w:r>
        <w:t xml:space="preserve">imprescindible en aritmética de punto fijo.</w:t>
      </w:r>
    </w:p>
    <w:bookmarkEnd w:id="37"/>
    <w:bookmarkEnd w:id="38"/>
    <w:bookmarkStart w:id="39" w:name="diseño-del-notch-iir-de-50-hz"/>
    <w:p>
      <w:pPr>
        <w:pStyle w:val="Heading2"/>
      </w:pPr>
      <w:r>
        <w:t xml:space="preserve">6.3 Diseño del notch IIR de 50 Hz</w:t>
      </w:r>
    </w:p>
    <w:p>
      <w:pPr>
        <w:pStyle w:val="FirstParagraph"/>
      </w:pPr>
      <w:r>
        <w:t xml:space="preserve">La interferencia de red de cincuenta hertz se elimina con un</w:t>
      </w:r>
      <w:r>
        <w:t xml:space="preserve"> </w:t>
      </w:r>
      <w:r>
        <w:rPr>
          <w:b/>
          <w:bCs/>
        </w:rPr>
        <w:t xml:space="preserve">rechaza-banda (notch) IIR de segundo</w:t>
      </w:r>
      <w:r>
        <w:rPr>
          <w:b/>
          <w:bCs/>
        </w:rPr>
        <w:t xml:space="preserve"> </w:t>
      </w:r>
      <w:r>
        <w:rPr>
          <w:b/>
          <w:bCs/>
        </w:rPr>
        <w:t xml:space="preserve">orden</w:t>
      </w:r>
      <w:r>
        <w:t xml:space="preserve">, la opción de coste mínimo. Su estructura consiste en un par de</w:t>
      </w:r>
      <w:r>
        <w:t xml:space="preserve"> </w:t>
      </w:r>
      <w:r>
        <w:rPr>
          <w:b/>
          <w:bCs/>
        </w:rPr>
        <w:t xml:space="preserve">ceros sobre el círculo</w:t>
      </w:r>
      <w:r>
        <w:rPr>
          <w:b/>
          <w:bCs/>
        </w:rPr>
        <w:t xml:space="preserve"> </w:t>
      </w:r>
      <w:r>
        <w:rPr>
          <w:b/>
          <w:bCs/>
        </w:rPr>
        <w:t xml:space="preserve">unitario</w:t>
      </w:r>
      <w:r>
        <w:t xml:space="preserve"> </w:t>
      </w:r>
      <w:r>
        <w:t xml:space="preserve">exactamente en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⋅</m:t>
        </m:r>
        <m:r>
          <m:t>50</m:t>
        </m:r>
        <m:r>
          <m:rPr>
            <m:sty m:val="p"/>
          </m:rPr>
          <m:t>/</m:t>
        </m:r>
        <m:r>
          <m:t>500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</m:oMath>
      <w:r>
        <w:t xml:space="preserve"> </w:t>
      </w:r>
      <w:r>
        <w:t xml:space="preserve">y un par de</w:t>
      </w:r>
      <w:r>
        <w:t xml:space="preserve"> </w:t>
      </w:r>
      <w:r>
        <w:rPr>
          <w:b/>
          <w:bCs/>
        </w:rPr>
        <w:t xml:space="preserve">polos</w:t>
      </w:r>
      <w:r>
        <w:t xml:space="preserve"> </w:t>
      </w:r>
      <w:r>
        <w:t xml:space="preserve">justo</w:t>
      </w:r>
      <w:r>
        <w:t xml:space="preserve"> </w:t>
      </w:r>
      <w:r>
        <w:t xml:space="preserve">dentro del círculo, en el mismo ángulo y con radio</w:t>
      </w:r>
      <w:r>
        <w:t xml:space="preserve"> </w:t>
      </w:r>
      <m:oMath>
        <m:r>
          <m:t>r</m:t>
        </m:r>
        <m:r>
          <m:rPr>
            <m:sty m:val="p"/>
          </m:rPr>
          <m:t>≲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notch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radio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(típicamente entre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95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99</m:t>
        </m:r>
      </m:oMath>
      <w:r>
        <w:t xml:space="preserve">) fija el</w:t>
      </w:r>
      <w:r>
        <w:t xml:space="preserve"> </w:t>
      </w:r>
      <w:r>
        <w:rPr>
          <w:b/>
          <w:bCs/>
        </w:rPr>
        <w:t xml:space="preserve">ancho de la muesca</w:t>
      </w:r>
      <w:r>
        <w:t xml:space="preserve">: cuanto más cerca</w:t>
      </w:r>
      <w:r>
        <w:t xml:space="preserve"> </w:t>
      </w:r>
      <w:r>
        <w:t xml:space="preserve">de la unidad, más estrecho es el notch (menor distorsión de la banda útil) pero más largo el</w:t>
      </w:r>
      <w:r>
        <w:t xml:space="preserve"> </w:t>
      </w:r>
      <w:r>
        <w:t xml:space="preserve">transitorio. El coste es de un único biquad (</w:t>
      </w:r>
      <m:oMath>
        <m:r>
          <m:rPr>
            <m:sty m:val="p"/>
          </m:rPr>
          <m:t>≈</m:t>
        </m:r>
        <m:r>
          <m:t>5</m:t>
        </m:r>
      </m:oMath>
      <w:r>
        <w:t xml:space="preserve"> </w:t>
      </w:r>
      <w:r>
        <w:t xml:space="preserve">MAC por muestra), lo que justifica preferir</w:t>
      </w:r>
      <w:r>
        <w:t xml:space="preserve"> </w:t>
      </w:r>
      <w:r>
        <w:t xml:space="preserve">IIR para esta etapa aun cuando el pasa-bajos principal sea FIR de fase lineal. En la práctica se</w:t>
      </w:r>
      <w:r>
        <w:t xml:space="preserve"> </w:t>
      </w:r>
      <w:r>
        <w:t xml:space="preserve">genera con</w:t>
      </w:r>
      <w:r>
        <w:t xml:space="preserve"> </w:t>
      </w:r>
      <w:r>
        <w:rPr>
          <w:rStyle w:val="VerbatimChar"/>
        </w:rPr>
        <w:t xml:space="preserve">butter(2,[...],'stop')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iirnotch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imulación-en-matlaboctave"/>
    <w:p>
      <w:pPr>
        <w:pStyle w:val="Heading1"/>
      </w:pPr>
      <w:r>
        <w:t xml:space="preserve">7. Simulación en MATLAB/Octave</w:t>
      </w:r>
    </w:p>
    <w:p>
      <w:pPr>
        <w:pStyle w:val="FirstParagraph"/>
      </w:pPr>
      <w:r>
        <w:t xml:space="preserve">Esta sección describe el conjunto de gráficas y métricas que componen la verificación del diseño</w:t>
      </w:r>
      <w:r>
        <w:t xml:space="preserve"> </w:t>
      </w:r>
      <w:r>
        <w:t xml:space="preserve">(Paso 3 del examen). Las figuras se generan ejecutando el script</w:t>
      </w:r>
      <w:r>
        <w:t xml:space="preserve"> </w:t>
      </w:r>
      <w:r>
        <w:rPr>
          <w:rStyle w:val="VerbatimChar"/>
        </w:rPr>
        <w:t xml:space="preserve">entrega_octave/ejemplos/diseno_filtros.m</w:t>
      </w:r>
      <w:r>
        <w:t xml:space="preserve"> </w:t>
      </w:r>
      <w:r>
        <w:t xml:space="preserve">(diseño y análisis de los filtros) y</w:t>
      </w:r>
      <w:r>
        <w:t xml:space="preserve"> </w:t>
      </w:r>
      <w:r>
        <w:rPr>
          <w:rStyle w:val="VerbatimChar"/>
        </w:rPr>
        <w:t xml:space="preserve">entrega_octave/ejemplos/procesar_senal.m</w:t>
      </w:r>
      <w:r>
        <w:t xml:space="preserve"> </w:t>
      </w:r>
      <w:r>
        <w:t xml:space="preserve">(procesamiento de la señal contaminada y métricas). Los</w:t>
      </w:r>
      <w:r>
        <w:t xml:space="preserve"> </w:t>
      </w:r>
      <w:r>
        <w:t xml:space="preserve">equivalentes en Python están en</w:t>
      </w:r>
      <w:r>
        <w:t xml:space="preserve"> </w:t>
      </w:r>
      <w:r>
        <w:rPr>
          <w:rStyle w:val="VerbatimChar"/>
        </w:rPr>
        <w:t xml:space="preserve">entrega_python/ejemplos/diseno_filtros.py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procesar_senal.py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Nota metodológica.</w:t>
      </w:r>
      <w:r>
        <w:t xml:space="preserve"> </w:t>
      </w:r>
      <w:r>
        <w:t xml:space="preserve">En el marco de este trabajo</w:t>
      </w:r>
      <w:r>
        <w:t xml:space="preserve"> </w:t>
      </w:r>
      <w:r>
        <w:rPr>
          <w:b/>
          <w:bCs/>
        </w:rPr>
        <w:t xml:space="preserve">no se ejecutan los scripts</w:t>
      </w:r>
      <w:r>
        <w:t xml:space="preserve">; las figuras se</w:t>
      </w:r>
      <w:r>
        <w:t xml:space="preserve"> </w:t>
      </w:r>
      <w:r>
        <w:t xml:space="preserve">referencian con marcadores de posición y la tabla comparativa se completa con valores coherentes con</w:t>
      </w:r>
      <w:r>
        <w:t xml:space="preserve"> </w:t>
      </w:r>
      <w:r>
        <w:t xml:space="preserve">el desarrollo matemático del §6 y con la base de conocimiento. Al ejecutar los scripts en Octave (con</w:t>
      </w:r>
      <w:r>
        <w:t xml:space="preserve"> </w:t>
      </w:r>
      <w:r>
        <w:rPr>
          <w:rStyle w:val="VerbatimChar"/>
        </w:rPr>
        <w:t xml:space="preserve">pkg load signal</w:t>
      </w:r>
      <w:r>
        <w:t xml:space="preserve">) o en Python (entorno virtual con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), las gráficas se generan automáticamente</w:t>
      </w:r>
      <w:r>
        <w:t xml:space="preserve"> </w:t>
      </w:r>
      <w:r>
        <w:t xml:space="preserve">y deben sustituir a los marcadores.</w:t>
      </w:r>
    </w:p>
    <w:bookmarkStart w:id="41" w:name="gráficas-de-verificación"/>
    <w:p>
      <w:pPr>
        <w:pStyle w:val="Heading2"/>
      </w:pPr>
      <w:r>
        <w:t xml:space="preserve">7.1 Gráficas de verificación</w:t>
      </w:r>
    </w:p>
    <w:p>
      <w:pPr>
        <w:pStyle w:val="FirstParagraph"/>
      </w:pPr>
      <w:r>
        <w:rPr>
          <w:b/>
          <w:bCs/>
        </w:rPr>
        <w:t xml:space="preserve">Figura 1 — Respuesta en frecuencia en magnitud (|H| en dB).</w:t>
      </w:r>
      <w:r>
        <w:t xml:space="preserve"> </w:t>
      </w:r>
      <w:r>
        <w:rPr>
          <w:rStyle w:val="VerbatimChar"/>
        </w:rPr>
        <w:t xml:space="preserve">[Figura generada por entrega_octave/ejemplos/diseno_filtros.m — placeholder]</w:t>
      </w:r>
      <w:r>
        <w:t xml:space="preserve"> </w:t>
      </w:r>
      <w:r>
        <w:t xml:space="preserve">Se grafican</w:t>
      </w:r>
      <w:r>
        <w:t xml:space="preserve"> </w:t>
      </w:r>
      <m:oMath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|</m:t>
        </m:r>
        <m:r>
          <m:t>H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j</m:t>
            </m:r>
            <m:r>
              <m:t>ω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del FIR y del IIR sobre el eje de frecuencias de cero a</w:t>
      </w:r>
      <w:r>
        <w:t xml:space="preserve"> </w:t>
      </w:r>
      <w:r>
        <w:t xml:space="preserve">doscientos cincuenta hertz. Verificación: corte a cuarenta hertz, rizado en banda de paso menor o</w:t>
      </w:r>
      <w:r>
        <w:t xml:space="preserve"> </w:t>
      </w:r>
      <w:r>
        <w:t xml:space="preserve">igual que un decibelio y atenuación mayor o igual que cuarenta decibelios en la banda de rechazo. Se</w:t>
      </w:r>
      <w:r>
        <w:t xml:space="preserve"> </w:t>
      </w:r>
      <w:r>
        <w:t xml:space="preserve">marca con línea vertical la frecuencia de corte.</w:t>
      </w:r>
    </w:p>
    <w:p>
      <w:pPr>
        <w:pStyle w:val="BodyText"/>
      </w:pPr>
      <w:r>
        <w:rPr>
          <w:b/>
          <w:bCs/>
        </w:rPr>
        <w:t xml:space="preserve">Figura 2 — Respuesta en fase.</w:t>
      </w:r>
      <w:r>
        <w:t xml:space="preserve"> </w:t>
      </w:r>
      <w:r>
        <w:rPr>
          <w:rStyle w:val="VerbatimChar"/>
        </w:rPr>
        <w:t xml:space="preserve">[Figura generada por entrega_octave/ejemplos/diseno_filtros.m — placeholder]</w:t>
      </w:r>
      <w:r>
        <w:t xml:space="preserve"> </w:t>
      </w:r>
      <w:r>
        <w:t xml:space="preserve">Fase desenrollada de ambos filtros. Verificación: el FIR muestra una</w:t>
      </w:r>
      <w:r>
        <w:t xml:space="preserve"> </w:t>
      </w:r>
      <w:r>
        <w:rPr>
          <w:b/>
          <w:bCs/>
        </w:rPr>
        <w:t xml:space="preserve">fase perfectamente recta</w:t>
      </w:r>
      <w:r>
        <w:t xml:space="preserve"> </w:t>
      </w:r>
      <w:r>
        <w:t xml:space="preserve">(lineal); el IIR muestra una fase curva (no lineal), evidencia visual de la distorsión que el FIR</w:t>
      </w:r>
      <w:r>
        <w:t xml:space="preserve"> </w:t>
      </w:r>
      <w:r>
        <w:t xml:space="preserve">evita.</w:t>
      </w:r>
    </w:p>
    <w:p>
      <w:pPr>
        <w:pStyle w:val="BodyText"/>
      </w:pPr>
      <w:r>
        <w:rPr>
          <w:b/>
          <w:bCs/>
        </w:rPr>
        <w:t xml:space="preserve">Figura 3 — Retardo de grupo.</w:t>
      </w:r>
      <w:r>
        <w:t xml:space="preserve"> </w:t>
      </w:r>
      <w:r>
        <w:rPr>
          <w:rStyle w:val="VerbatimChar"/>
        </w:rPr>
        <w:t xml:space="preserve">[Figura generada por entrega_octave/ejemplos/diseno_filtros.m — placeholder]</w:t>
      </w:r>
      <w:r>
        <w:t xml:space="preserve"> </w:t>
      </w:r>
      <m:oMath>
        <m:sSub>
          <m:e>
            <m:r>
              <m:t>τ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en muestras. Verificación: el FIR presenta un retardo</w:t>
      </w:r>
      <w:r>
        <w:t xml:space="preserve"> </w:t>
      </w:r>
      <w:r>
        <w:rPr>
          <w:b/>
          <w:bCs/>
        </w:rPr>
        <w:t xml:space="preserve">constante de 83 muestras</w:t>
      </w:r>
      <w:r>
        <w:t xml:space="preserve"> </w:t>
      </w:r>
      <w:r>
        <w:t xml:space="preserve">en toda la banda útil; el IIR presenta un retardo variable.</w:t>
      </w:r>
    </w:p>
    <w:p>
      <w:pPr>
        <w:pStyle w:val="BodyText"/>
      </w:pPr>
      <w:r>
        <w:rPr>
          <w:b/>
          <w:bCs/>
        </w:rPr>
        <w:t xml:space="preserve">Figura 4 — Diagrama de polos y ceros (</w:t>
      </w:r>
      <w:r>
        <w:rPr>
          <w:rStyle w:val="VerbatimChar"/>
          <w:b/>
          <w:bCs/>
        </w:rPr>
        <w:t xml:space="preserve">zplane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[Figura generada por entrega_octave/ejemplos/diseno_filtros.m — placeholder]</w:t>
      </w:r>
      <w:r>
        <w:t xml:space="preserve"> </w:t>
      </w:r>
      <w:r>
        <w:t xml:space="preserve">Verificación: el FIR tiene todos los polos en el origen y ceros en cuádruplas recíprocas conjugadas;</w:t>
      </w:r>
      <w:r>
        <w:t xml:space="preserve"> </w:t>
      </w:r>
      <w:r>
        <w:t xml:space="preserve">el IIR tiene todos los polos</w:t>
      </w:r>
      <w:r>
        <w:t xml:space="preserve"> </w:t>
      </w:r>
      <w:r>
        <w:rPr>
          <w:b/>
          <w:bCs/>
        </w:rPr>
        <w:t xml:space="preserve">dentro del círculo unitario</w:t>
      </w:r>
      <w:r>
        <w:t xml:space="preserve"> </w:t>
      </w:r>
      <w:r>
        <w:t xml:space="preserve">(estabilidad confirmada) y los ceros del</w:t>
      </w:r>
      <w:r>
        <w:t xml:space="preserve"> </w:t>
      </w:r>
      <w:r>
        <w:t xml:space="preserve">notch sobre el círculo en cincuenta hertz.</w:t>
      </w:r>
    </w:p>
    <w:p>
      <w:pPr>
        <w:pStyle w:val="BodyText"/>
      </w:pPr>
      <w:r>
        <w:rPr>
          <w:b/>
          <w:bCs/>
        </w:rPr>
        <w:t xml:space="preserve">Figura 5 — Señal de ECG antes y después del filtrado.</w:t>
      </w:r>
      <w:r>
        <w:t xml:space="preserve"> </w:t>
      </w:r>
      <w:r>
        <w:rPr>
          <w:rStyle w:val="VerbatimChar"/>
        </w:rPr>
        <w:t xml:space="preserve">[Figura generada por entrega_octave/ejemplos/procesar_senal.m — placeholder]</w:t>
      </w:r>
      <w:r>
        <w:t xml:space="preserve"> </w:t>
      </w:r>
      <w:r>
        <w:t xml:space="preserve">Comparación en el dominio temporal de la señal contaminada (con interferencia de cincuenta hertz y</w:t>
      </w:r>
      <w:r>
        <w:t xml:space="preserve"> </w:t>
      </w:r>
      <w:r>
        <w:t xml:space="preserve">ruido de banda ancha) y la señal filtrada, mostrando la recuperación del complejo P-QRS-T sin</w:t>
      </w:r>
      <w:r>
        <w:t xml:space="preserve"> </w:t>
      </w:r>
      <w:r>
        <w:t xml:space="preserve">distorsión de forma.</w:t>
      </w:r>
    </w:p>
    <w:p>
      <w:pPr>
        <w:pStyle w:val="BodyText"/>
      </w:pPr>
      <w:r>
        <w:rPr>
          <w:b/>
          <w:bCs/>
        </w:rPr>
        <w:t xml:space="preserve">Figura 6 — Espectro (FFT/PSD) antes y después.</w:t>
      </w:r>
      <w:r>
        <w:t xml:space="preserve"> </w:t>
      </w:r>
      <w:r>
        <w:rPr>
          <w:rStyle w:val="VerbatimChar"/>
        </w:rPr>
        <w:t xml:space="preserve">[Figura generada por entrega_octave/ejemplos/procesar_senal.m — placeholder]</w:t>
      </w:r>
      <w:r>
        <w:t xml:space="preserve"> </w:t>
      </w:r>
      <w:r>
        <w:t xml:space="preserve">Verificación: el espectro de entrada muestra un</w:t>
      </w:r>
      <w:r>
        <w:t xml:space="preserve"> </w:t>
      </w:r>
      <w:r>
        <w:rPr>
          <w:b/>
          <w:bCs/>
        </w:rPr>
        <w:t xml:space="preserve">pico agudo en cincuenta hertz</w:t>
      </w:r>
      <w:r>
        <w:t xml:space="preserve"> </w:t>
      </w:r>
      <w:r>
        <w:t xml:space="preserve">y energía por</w:t>
      </w:r>
      <w:r>
        <w:t xml:space="preserve"> </w:t>
      </w:r>
      <w:r>
        <w:t xml:space="preserve">encima de cuarenta hertz; el de salida muestra ambos suprimidos, conservando la banda diagnóstica.</w:t>
      </w:r>
    </w:p>
    <w:bookmarkEnd w:id="41"/>
    <w:bookmarkStart w:id="42" w:name="X8f8aa9f08d375b5050a26b7c442a33f69048f0b"/>
    <w:p>
      <w:pPr>
        <w:pStyle w:val="Heading2"/>
      </w:pPr>
      <w:r>
        <w:t xml:space="preserve">7.2 Tabla comparativa cuantitativa FIR vs IIR</w:t>
      </w:r>
    </w:p>
    <w:p>
      <w:pPr>
        <w:pStyle w:val="FirstParagraph"/>
      </w:pPr>
      <w:r>
        <w:t xml:space="preserve">La siguiente tabla sintetiza la comparación cuantitativa para la misma máscara de diseño del ECG</w:t>
      </w:r>
      <w:r>
        <w:t xml:space="preserve"> </w:t>
      </w:r>
      <w:r>
        <w:t xml:space="preserve">(pasa-bajos,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Hz,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40</m:t>
        </m:r>
      </m:oMath>
      <w:r>
        <w:t xml:space="preserve"> </w:t>
      </w:r>
      <w:r>
        <w:t xml:space="preserve">dB), con valores coherentes con el §6 y la base de</w:t>
      </w:r>
      <w:r>
        <w:t xml:space="preserve"> </w:t>
      </w:r>
      <w:r>
        <w:t xml:space="preserve">conocimiento.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2"/>
        <w:gridCol w:w="2687"/>
        <w:gridCol w:w="2121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FIR (Hamming)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IIR (SOS)</w:t>
            </w:r>
          </w:p>
        </w:tc>
        <w:tc>
          <w:tcPr/>
          <w:p>
            <w:pPr>
              <w:pStyle w:val="Compact"/>
            </w:pPr>
            <w:r>
              <w:t xml:space="preserve">Observación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4–6 (elíptico/Cheby);</w:t>
            </w:r>
            <w:r>
              <w:t xml:space="preserve"> </w:t>
            </w:r>
            <w:r>
              <w:rPr>
                <w:b/>
                <w:bCs/>
              </w:rPr>
              <w:t xml:space="preserve">13</w:t>
            </w:r>
            <w:r>
              <w:t xml:space="preserve"> </w:t>
            </w:r>
            <w:r>
              <w:t xml:space="preserve">(Butterworth)</w:t>
            </w:r>
          </w:p>
        </w:tc>
        <w:tc>
          <w:tcPr/>
          <w:p>
            <w:pPr>
              <w:pStyle w:val="Compact"/>
            </w:pPr>
            <w:r>
              <w:t xml:space="preserve">IIR muy inferior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Secciones /</w:t>
            </w:r>
            <w:r>
              <w:t xml:space="preserve"> </w:t>
            </w:r>
            <w:r>
              <w:rPr>
                <w:i/>
                <w:iCs/>
              </w:rPr>
              <w:t xml:space="preserve">taps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  <w:r>
              <w:t xml:space="preserve"> </w:t>
            </w:r>
            <w:r>
              <w:rPr>
                <w:i/>
                <w:iCs/>
              </w:rPr>
              <w:t xml:space="preserve">taps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2–3 biquads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por muestra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167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10</m:t>
              </m:r>
            </m:oMath>
            <w:r>
              <w:t xml:space="preserve">–</w:t>
            </w:r>
            <m:oMath>
              <m:r>
                <m:t>15</m:t>
              </m:r>
            </m:oMath>
          </w:p>
        </w:tc>
        <w:tc>
          <w:tcPr/>
          <w:p>
            <w:pPr>
              <w:pStyle w:val="Compact"/>
            </w:pPr>
            <w:r>
              <w:t xml:space="preserve">IIR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11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más barato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Coeficientes a almacenar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12–18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Estados (memoria buffer)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 en float32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t xml:space="preserve"> </w:t>
            </w:r>
            <w:r>
              <w:t xml:space="preserve">kB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100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IIR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14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más compacto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a 500 Hz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83</m:t>
              </m:r>
            </m:oMath>
            <w:r>
              <w:t xml:space="preserve"> </w:t>
            </w:r>
            <w:r>
              <w:t xml:space="preserve">kMAC/s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 </w:t>
            </w:r>
            <w:r>
              <w:t xml:space="preserve">kMAC/s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Lineal exacta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lineal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 (decisivo en ECG)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Retardo de grupo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Constante = 83 muestras (166 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Variable, menor en promedio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Garantizada (solo ceros)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Condicional (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Sensibilidad a cuantización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 → exige SOS</w:t>
            </w:r>
          </w:p>
        </w:tc>
        <w:tc>
          <w:tcPr/>
          <w:p>
            <w:pPr>
              <w:pStyle w:val="Compact"/>
            </w:pPr>
            <w:r>
              <w:t xml:space="preserve">FIR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Mejora de SNR (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SNR)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14</m:t>
              </m:r>
            </m:oMath>
            <w:r>
              <w:t xml:space="preserve"> </w:t>
            </w:r>
            <w:r>
              <w:t xml:space="preserve">dB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14</m:t>
              </m:r>
            </m:oMath>
            <w:r>
              <w:t xml:space="preserve"> </w:t>
            </w: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Equiparable en calidad</w:t>
            </w:r>
          </w:p>
        </w:tc>
      </w:tr>
    </w:tbl>
    <w:bookmarkEnd w:id="42"/>
    <w:bookmarkStart w:id="43" w:name="métricas-de-calidad-obtenidas"/>
    <w:p>
      <w:pPr>
        <w:pStyle w:val="Heading2"/>
      </w:pPr>
      <w:r>
        <w:t xml:space="preserve">7.3 Métricas de calidad obtenidas</w:t>
      </w:r>
    </w:p>
    <w:p>
      <w:pPr>
        <w:pStyle w:val="FirstParagraph"/>
      </w:pPr>
      <w:r>
        <w:t xml:space="preserve">Con la señal limpia de referencia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, la contaminada</w:t>
      </w:r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y la filtrada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</m:e>
        </m:acc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, la</w:t>
      </w:r>
      <w:r>
        <w:t xml:space="preserve"> </w:t>
      </w:r>
      <w:r>
        <w:t xml:space="preserve">relación señal a ruido se define como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nor/>
                  <m:sty m:val="p"/>
                </m:rPr>
                <m:t>dB</m:t>
              </m:r>
            </m:sub>
          </m:sSub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Partiendo de una potencia de señal de mil unidades y un ruido inicial de doscientas cincuenta, la</w:t>
      </w:r>
      <w:r>
        <w:t xml:space="preserve"> </w:t>
      </w:r>
      <w:r>
        <w:t xml:space="preserve">SNR de entrada es</w:t>
      </w:r>
      <w:r>
        <w:t xml:space="preserve"> </w:t>
      </w:r>
      <m:oMath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1000</m:t>
        </m:r>
        <m:r>
          <m:rPr>
            <m:sty m:val="p"/>
          </m:rPr>
          <m:t>/</m:t>
        </m:r>
        <m:r>
          <m:t>250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dB. Tras el notch de cincuenta hertz y el</w:t>
      </w:r>
      <w:r>
        <w:t xml:space="preserve"> </w:t>
      </w:r>
      <w:r>
        <w:t xml:space="preserve">pasa-bajos de cuarenta hertz, el residuo de ruido baja a diez unidades, con lo que la SNR de salida</w:t>
      </w:r>
      <w:r>
        <w:t xml:space="preserve"> </w:t>
      </w:r>
      <w:r>
        <w:t xml:space="preserve">es</w:t>
      </w:r>
      <w:r>
        <w:t xml:space="preserve"> </w:t>
      </w:r>
      <m:oMath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1000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dB. La</w:t>
      </w:r>
      <w:r>
        <w:t xml:space="preserve"> </w:t>
      </w:r>
      <w:r>
        <w:rPr>
          <w:b/>
          <w:bCs/>
        </w:rPr>
        <w:t xml:space="preserve">mejora resultante es de aproximadamente catorce decibelios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,</m:t>
          </m:r>
          <m:r>
            <m:t>02</m:t>
          </m:r>
          <m:r>
            <m:rPr>
              <m:sty m:val="p"/>
            </m:rPr>
            <m:t>≈</m:t>
          </m:r>
          <m:r>
            <m:rPr>
              <m:sty m:val="b"/>
            </m:rPr>
            <m:t>14</m:t>
          </m:r>
          <m:r>
            <m:rPr>
              <m:sty m:val="b"/>
            </m:rPr>
            <m:t> </m:t>
          </m:r>
          <m:r>
            <m:rPr>
              <m:sty m:val="bi"/>
            </m:rPr>
            <m:t>d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análisis fuera de línea se recomienda el filtrado de</w:t>
      </w:r>
      <w:r>
        <w:t xml:space="preserve"> </w:t>
      </w:r>
      <w:r>
        <w:rPr>
          <w:b/>
          <w:bCs/>
        </w:rPr>
        <w:t xml:space="preserve">fase cero</w:t>
      </w:r>
      <w:r>
        <w:t xml:space="preserve"> </w:t>
      </w:r>
      <w:r>
        <w:t xml:space="preserve">(</w:t>
      </w:r>
      <w:r>
        <w:rPr>
          <w:rStyle w:val="VerbatimChar"/>
        </w:rPr>
        <w:t xml:space="preserve">filtfilt</w:t>
      </w:r>
      <w:r>
        <w:t xml:space="preserve">/</w:t>
      </w:r>
      <w:r>
        <w:rPr>
          <w:rStyle w:val="VerbatimChar"/>
        </w:rPr>
        <w:t xml:space="preserve">sosfiltfilt</w:t>
      </w:r>
      <w:r>
        <w:t xml:space="preserve">),</w:t>
      </w:r>
      <w:r>
        <w:t xml:space="preserve"> </w:t>
      </w:r>
      <w:r>
        <w:t xml:space="preserve">que filtra hacia adelante y hacia atrás anulando el retardo neto, ideal para no deformar el ECG. En la</w:t>
      </w:r>
      <w:r>
        <w:t xml:space="preserve"> </w:t>
      </w:r>
      <w:r>
        <w:t xml:space="preserve">implementación embebida en tiempo real (Paso 5), en cambio, el filtrado es causal (</w:t>
      </w:r>
      <w:r>
        <w:rPr>
          <w:rStyle w:val="VerbatimChar"/>
        </w:rPr>
        <w:t xml:space="preserve">filter</w:t>
      </w:r>
      <w:r>
        <w:t xml:space="preserve">/</w:t>
      </w:r>
      <w:r>
        <w:rPr>
          <w:rStyle w:val="VerbatimChar"/>
        </w:rPr>
        <w:t xml:space="preserve">sosfilt</w:t>
      </w:r>
      <w:r>
        <w:t xml:space="preserve">)</w:t>
      </w:r>
      <w:r>
        <w:t xml:space="preserve"> </w:t>
      </w:r>
      <w:r>
        <w:t xml:space="preserve">e introduce el retardo de grupo nominal.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agente-de-ia-sistema-experto"/>
    <w:p>
      <w:pPr>
        <w:pStyle w:val="Heading1"/>
      </w:pPr>
      <w:r>
        <w:t xml:space="preserve">8. Agente de IA / Sistema Experto</w:t>
      </w:r>
    </w:p>
    <w:bookmarkStart w:id="45" w:name="descripción-y-variables-de-entradasalida"/>
    <w:p>
      <w:pPr>
        <w:pStyle w:val="Heading2"/>
      </w:pPr>
      <w:r>
        <w:t xml:space="preserve">8.1 Descripción y variables de entrada/salida</w:t>
      </w:r>
    </w:p>
    <w:p>
      <w:pPr>
        <w:pStyle w:val="FirstParagraph"/>
      </w:pPr>
      <w:r>
        <w:t xml:space="preserve">El agente de decisión se implementa como un</w:t>
      </w:r>
      <w:r>
        <w:t xml:space="preserve"> </w:t>
      </w:r>
      <w:r>
        <w:rPr>
          <w:b/>
          <w:bCs/>
        </w:rPr>
        <w:t xml:space="preserve">sistema experto de reglas IF-THEN</w:t>
      </w:r>
      <w:r>
        <w:t xml:space="preserve">, compuesto por una</w:t>
      </w:r>
      <w:r>
        <w:t xml:space="preserve"> </w:t>
      </w:r>
      <w:r>
        <w:t xml:space="preserve">base de hechos (las variables de entrada), una base de reglas y un motor de inferencia por</w:t>
      </w:r>
      <w:r>
        <w:t xml:space="preserve"> </w:t>
      </w:r>
      <w:r>
        <w:t xml:space="preserve">encadenamiento hacia adelante. Su rol es recomendar la familia de filtro (FIR o IIR) y la estructura</w:t>
      </w:r>
      <w:r>
        <w:t xml:space="preserve"> </w:t>
      </w:r>
      <w:r>
        <w:t xml:space="preserve">de realización en función de las restricciones del sistema, justificando la decisión con las reglas</w:t>
      </w:r>
      <w:r>
        <w:t xml:space="preserve"> </w:t>
      </w:r>
      <w:r>
        <w:t xml:space="preserve">activadas. Esta estrategia se elige por ser</w:t>
      </w:r>
      <w:r>
        <w:t xml:space="preserve"> </w:t>
      </w:r>
      <w:r>
        <w:rPr>
          <w:b/>
          <w:bCs/>
        </w:rPr>
        <w:t xml:space="preserve">interpretable, determinista, ligera y embebible</w:t>
      </w:r>
      <w:r>
        <w:t xml:space="preserve">; no</w:t>
      </w:r>
      <w:r>
        <w:t xml:space="preserve"> </w:t>
      </w:r>
      <w:r>
        <w:t xml:space="preserve">requiere entrenamiento, sino elicitación del conocimiento experto codificado en los criterios de</w:t>
      </w:r>
      <w:r>
        <w:t xml:space="preserve"> </w:t>
      </w:r>
      <w:r>
        <w:t xml:space="preserve">ingeniería.</w:t>
      </w:r>
    </w:p>
    <w:p>
      <w:pPr>
        <w:pStyle w:val="BodyText"/>
      </w:pPr>
      <w:r>
        <w:rPr>
          <w:b/>
          <w:bCs/>
        </w:rPr>
        <w:t xml:space="preserve">Variables de entrada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Tipo / rango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de muestreo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</w:t>
            </w:r>
          </w:p>
        </w:tc>
        <w:tc>
          <w:tcPr/>
          <w:p>
            <w:pPr>
              <w:pStyle w:val="Compact"/>
            </w:pPr>
            <w:r>
              <w:t xml:space="preserve">Hz (10 … 5000)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 del microcontrolador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Flash</w:t>
            </w:r>
          </w:p>
        </w:tc>
        <w:tc>
          <w:tcPr/>
          <w:p>
            <w:pPr>
              <w:pStyle w:val="Compact"/>
            </w:pPr>
            <w:r>
              <w:t xml:space="preserve">kB (2 … 512)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Cómputo disponible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FPU</w:t>
            </w:r>
          </w:p>
        </w:tc>
        <w:tc>
          <w:tcPr/>
          <w:p>
            <w:pPr>
              <w:pStyle w:val="Compact"/>
            </w:pPr>
            <w:r>
              <w:t xml:space="preserve">16 … 240 MHz; con/sin FPU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lineal requerida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fase_lineal</w:t>
            </w:r>
          </w:p>
        </w:tc>
        <w:tc>
          <w:tcPr/>
          <w:p>
            <w:pPr>
              <w:pStyle w:val="Compact"/>
            </w:pPr>
            <w:r>
              <w:t xml:space="preserve">booleano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Ruido / SNR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SNR_in</w:t>
            </w:r>
          </w:p>
        </w:tc>
        <w:tc>
          <w:tcPr/>
          <w:p>
            <w:pPr>
              <w:pStyle w:val="Compact"/>
            </w:pPr>
            <w:r>
              <w:t xml:space="preserve">dB (0 … 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Latencia admisible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latencia</w:t>
            </w:r>
          </w:p>
        </w:tc>
        <w:tc>
          <w:tcPr/>
          <w:p>
            <w:pPr>
              <w:pStyle w:val="Compact"/>
            </w:pPr>
            <w:r>
              <w:t xml:space="preserve">{baja, media, alta}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Pendiente de transición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transicion</w:t>
            </w:r>
          </w:p>
        </w:tc>
        <w:tc>
          <w:tcPr/>
          <w:p>
            <w:pPr>
              <w:pStyle w:val="Compact"/>
            </w:pPr>
            <w:r>
              <w:t xml:space="preserve">{estrecha, amplia}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 FIR estimado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ordenFIR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Variables de salida</w:t>
      </w:r>
      <w:r>
        <w:rPr>
          <w:b/>
          <w:bCs/>
        </w:rPr>
        <w:t xml:space="preserve"> </w:t>
      </w:r>
      <m:oMath>
        <m:r>
          <m:rPr>
            <m:sty m:val="bi"/>
          </m:rPr>
          <m:t>y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recomendación</w:t>
      </w:r>
      <w:r>
        <w:t xml:space="preserve"> </w:t>
      </w:r>
      <w:r>
        <w:rPr>
          <w:rStyle w:val="VerbatimChar"/>
        </w:rPr>
        <w:t xml:space="preserve">{FIR, IIR}</w:t>
      </w:r>
      <w:r>
        <w:t xml:space="preserve">; estructura</w:t>
      </w:r>
      <w:r>
        <w:t xml:space="preserve"> </w:t>
      </w:r>
      <w:r>
        <w:rPr>
          <w:rStyle w:val="VerbatimChar"/>
        </w:rPr>
        <w:t xml:space="preserve">{DF I, DF II, SOS, lattice}</w:t>
      </w:r>
      <w:r>
        <w:t xml:space="preserve">; justificación (reglas activadas, en lenguaje natural); nivel de confianza 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(opcional).</w:t>
      </w:r>
    </w:p>
    <w:bookmarkEnd w:id="45"/>
    <w:bookmarkStart w:id="46" w:name="base-de-reglas"/>
    <w:p>
      <w:pPr>
        <w:pStyle w:val="Heading2"/>
      </w:pPr>
      <w:r>
        <w:t xml:space="preserve">8.2 Base de reglas</w:t>
      </w:r>
    </w:p>
    <w:p>
      <w:pPr>
        <w:pStyle w:val="FirstParagraph"/>
      </w:pPr>
      <w:r>
        <w:t xml:space="preserve">Las reglas R1 a R4 son las reglas de referencia del enunciado; R5 a R7 las extienden. El motor recorre</w:t>
      </w:r>
      <w:r>
        <w:t xml:space="preserve"> </w:t>
      </w:r>
      <w:r>
        <w:t xml:space="preserve">las reglas por prioridad y la</w:t>
      </w:r>
      <w:r>
        <w:t xml:space="preserve"> </w:t>
      </w:r>
      <w:r>
        <w:rPr>
          <w:b/>
          <w:bCs/>
        </w:rPr>
        <w:t xml:space="preserve">primera que dispara fija</w:t>
      </w:r>
      <w:r>
        <w:t xml:space="preserve"> </w:t>
      </w:r>
      <w:r>
        <w:t xml:space="preserve">la familia, la estructura y la confianza,</w:t>
      </w:r>
      <w:r>
        <w:t xml:space="preserve"> </w:t>
      </w:r>
      <w:r>
        <w:t xml:space="preserve">acumulando todas las reglas activadas para trazabilidad.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708"/>
        <w:gridCol w:w="2484"/>
        <w:gridCol w:w="1552"/>
        <w:gridCol w:w="17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SI (condición)</w:t>
            </w:r>
          </w:p>
        </w:tc>
        <w:tc>
          <w:tcPr/>
          <w:p>
            <w:pPr>
              <w:pStyle w:val="Compact"/>
            </w:pPr>
            <w:r>
              <w:t xml:space="preserve">ENTONCES</w:t>
            </w:r>
          </w:p>
        </w:tc>
        <w:tc>
          <w:tcPr/>
          <w:p>
            <w:pPr>
              <w:pStyle w:val="Compact"/>
            </w:pPr>
            <w:r>
              <w:t xml:space="preserve">Confianza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fase_lineal == sí</w:t>
            </w:r>
            <w:r>
              <w:t xml:space="preserve"> </w:t>
            </w:r>
            <w:r>
              <w:t xml:space="preserve">(estricta)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</w:t>
            </w:r>
            <w:r>
              <w:t xml:space="preserve">, estructura DF</w:t>
            </w:r>
          </w:p>
        </w:tc>
        <w:tc>
          <w:tcPr/>
          <w:p>
            <w:pPr>
              <w:pStyle w:val="Compact"/>
            </w:pPr>
            <w:r>
              <w:t xml:space="preserve">0,95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RAM &lt; 2 kB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ordenFIR &gt; 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IIR</w:t>
            </w:r>
            <w:r>
              <w:t xml:space="preserve">, SOS</w:t>
            </w:r>
          </w:p>
        </w:tc>
        <w:tc>
          <w:tcPr/>
          <w:p>
            <w:pPr>
              <w:pStyle w:val="Compact"/>
            </w:pPr>
            <w:r>
              <w:t xml:space="preserve">0,90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estabilidad crítica Y sin FPU/float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IIR</w:t>
            </w:r>
            <w:r>
              <w:t xml:space="preserve">, SOS</w:t>
            </w:r>
          </w:p>
        </w:tc>
        <w:tc>
          <w:tcPr/>
          <w:p>
            <w:pPr>
              <w:pStyle w:val="Compact"/>
            </w:pPr>
            <w:r>
              <w:t xml:space="preserve">0,90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transicion == estrecha</w:t>
            </w:r>
            <w:r>
              <w:t xml:space="preserve"> </w:t>
            </w:r>
            <w:r>
              <w:t xml:space="preserve">Y cómputo suficiente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IIR</w:t>
            </w:r>
            <w:r>
              <w:t xml:space="preserve"> </w:t>
            </w:r>
            <w:r>
              <w:t xml:space="preserve">(Elíptico)</w:t>
            </w:r>
          </w:p>
        </w:tc>
        <w:tc>
          <w:tcPr/>
          <w:p>
            <w:pPr>
              <w:pStyle w:val="Compact"/>
            </w:pPr>
            <w:r>
              <w:t xml:space="preserve">0,85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latencia == baja</w:t>
            </w:r>
            <w:r>
              <w:t xml:space="preserve"> </w:t>
            </w:r>
            <w:r>
              <w:t xml:space="preserve">Y FIR alto inviable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IIR</w:t>
            </w:r>
            <w:r>
              <w:t xml:space="preserve">, DF II</w:t>
            </w:r>
          </w:p>
        </w:tc>
        <w:tc>
          <w:tcPr/>
          <w:p>
            <w:pPr>
              <w:pStyle w:val="Compact"/>
            </w:pPr>
            <w:r>
              <w:t xml:space="preserve">0,70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FPU Y</w:t>
            </w:r>
            <w:r>
              <w:t xml:space="preserve"> </w:t>
            </w:r>
            <w:r>
              <w:rPr>
                <w:rStyle w:val="VerbatimChar"/>
              </w:rPr>
              <w:t xml:space="preserve">transicion == amplia</w:t>
            </w:r>
            <w:r>
              <w:t xml:space="preserve"> </w:t>
            </w:r>
            <w:r>
              <w:t xml:space="preserve">Y fase lineal deseada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</w:t>
            </w:r>
            <w:r>
              <w:t xml:space="preserve">, DF</w:t>
            </w:r>
          </w:p>
        </w:tc>
        <w:tc>
          <w:tcPr/>
          <w:p>
            <w:pPr>
              <w:pStyle w:val="Compact"/>
            </w:pPr>
            <w:r>
              <w:t xml:space="preserve">0,80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ninguna anterior disparada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</w:t>
            </w:r>
            <w:r>
              <w:t xml:space="preserve"> </w:t>
            </w:r>
            <w:r>
              <w:t xml:space="preserve">por defecto, DF</w:t>
            </w:r>
          </w:p>
        </w:tc>
        <w:tc>
          <w:tcPr/>
          <w:p>
            <w:pPr>
              <w:pStyle w:val="Compact"/>
            </w:pPr>
            <w:r>
              <w:t xml:space="preserve">0,50</w:t>
            </w:r>
          </w:p>
        </w:tc>
      </w:tr>
    </w:tbl>
    <w:p>
      <w:pPr>
        <w:pStyle w:val="BodyText"/>
      </w:pPr>
      <w:r>
        <w:t xml:space="preserve">La implementación de referencia está en</w:t>
      </w:r>
      <w:r>
        <w:t xml:space="preserve"> </w:t>
      </w:r>
      <w:r>
        <w:rPr>
          <w:rStyle w:val="VerbatimChar"/>
        </w:rPr>
        <w:t xml:space="preserve">entrega_octave/ejemplos/agente_decision.m</w:t>
      </w:r>
      <w:r>
        <w:t xml:space="preserve"> </w:t>
      </w:r>
      <w:r>
        <w:t xml:space="preserve">(sistema experto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.m</w:t>
      </w:r>
      <w:r>
        <w:t xml:space="preserve">) y</w:t>
      </w:r>
      <w:r>
        <w:t xml:space="preserve"> </w:t>
      </w:r>
      <w:r>
        <w:rPr>
          <w:rStyle w:val="VerbatimChar"/>
        </w:rPr>
        <w:t xml:space="preserve">entrega_python/ejemplos/agente_decision.py</w:t>
      </w:r>
      <w:r>
        <w:t xml:space="preserve"> </w:t>
      </w:r>
      <w:r>
        <w:t xml:space="preserve">(versión Python). La variante que delega la</w:t>
      </w:r>
      <w:r>
        <w:t xml:space="preserve"> </w:t>
      </w:r>
      <w:r>
        <w:t xml:space="preserve">decisión a un modelo de lenguaje Claude vía API está en</w:t>
      </w:r>
      <w:r>
        <w:t xml:space="preserve"> </w:t>
      </w:r>
      <w:r>
        <w:rPr>
          <w:rStyle w:val="VerbatimChar"/>
        </w:rPr>
        <w:t xml:space="preserve">entrega_python/ejemplos/agente_llm.py</w:t>
      </w:r>
      <w:r>
        <w:t xml:space="preserve">.</w:t>
      </w:r>
    </w:p>
    <w:bookmarkEnd w:id="46"/>
    <w:bookmarkStart w:id="47" w:name="estrategias-alternativas"/>
    <w:p>
      <w:pPr>
        <w:pStyle w:val="Heading2"/>
      </w:pPr>
      <w:r>
        <w:t xml:space="preserve">8.3 Estrategias alternativas</w:t>
      </w:r>
    </w:p>
    <w:p>
      <w:pPr>
        <w:pStyle w:val="FirstParagraph"/>
      </w:pPr>
      <w:r>
        <w:t xml:space="preserve">El enunciado pide elegir y justificar una estrategia; se elige reglas IF-THEN. Las otras cuatro se</w:t>
      </w:r>
      <w:r>
        <w:t xml:space="preserve"> </w:t>
      </w:r>
      <w:r>
        <w:t xml:space="preserve">documentan por completitud y se comparan a continuación: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2"/>
        <w:gridCol w:w="1418"/>
        <w:gridCol w:w="1300"/>
        <w:gridCol w:w="1418"/>
        <w:gridCol w:w="1536"/>
        <w:gridCol w:w="10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(a) Reglas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(b) Árbol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(c) Difusa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(d) API LLM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(e) MLP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Interpretabilidad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Muy 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necesarios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Dataset (sint.)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Dataset (más)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(tras</w:t>
            </w:r>
            <w:r>
              <w:t xml:space="preserve"> </w:t>
            </w:r>
            <w:r>
              <w:rPr>
                <w:rStyle w:val="VerbatimChar"/>
              </w:rPr>
              <w:t xml:space="preserve">fit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(tras</w:t>
            </w:r>
            <w:r>
              <w:t xml:space="preserve"> </w:t>
            </w:r>
            <w:r>
              <w:rPr>
                <w:rStyle w:val="VerbatimChar"/>
              </w:rPr>
              <w:t xml:space="preserve">fit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Idoneidad embebida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Buena (→</w:t>
            </w:r>
            <w:r>
              <w:t xml:space="preserve"> </w:t>
            </w:r>
            <w:r>
              <w:rPr>
                <w:rStyle w:val="VerbatimChar"/>
              </w:rPr>
              <w:t xml:space="preserve">if/else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Nula</w:t>
            </w:r>
            <w:r>
              <w:t xml:space="preserve"> </w:t>
            </w:r>
            <w:r>
              <w:t xml:space="preserve">(online)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Aporta confianza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 (</w:t>
            </w:r>
            <w:r>
              <w:rPr>
                <w:rStyle w:val="VerbatimChar"/>
              </w:rPr>
              <w:t xml:space="preserve">predict_proba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 (centroide)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 (campo JSON)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 (softmax)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Recomendado para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µC tiempo real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diseño + exportar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entradas imprecisas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fase de diseño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(sobre-ingeniería)</w:t>
            </w:r>
          </w:p>
        </w:tc>
      </w:tr>
    </w:tbl>
    <w:p>
      <w:pPr>
        <w:pStyle w:val="BodyText"/>
      </w:pPr>
      <w:r>
        <w:t xml:space="preserve">El árbol de decisión y el MLP requieren un dataset sintético etiquetado por las reglas de ingeniería;</w:t>
      </w:r>
      <w:r>
        <w:t xml:space="preserve"> </w:t>
      </w:r>
      <w:r>
        <w:t xml:space="preserve">la lógica difusa sustituye fronteras duras por grados de pertenencia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con inferencia</w:t>
      </w:r>
      <w:r>
        <w:t xml:space="preserve"> </w:t>
      </w:r>
      <w:r>
        <w:t xml:space="preserve">Mamdani; la API LLM se construye por</w:t>
      </w:r>
      <w:r>
        <w:t xml:space="preserve"> </w:t>
      </w:r>
      <w:r>
        <w:rPr>
          <w:i/>
          <w:iCs/>
        </w:rPr>
        <w:t xml:space="preserve">prompt engineering</w:t>
      </w:r>
      <w:r>
        <w:t xml:space="preserve"> </w:t>
      </w:r>
      <w:r>
        <w:t xml:space="preserve">estructurado con salida JSON validada, útil</w:t>
      </w:r>
      <w:r>
        <w:t xml:space="preserve"> </w:t>
      </w:r>
      <w:r>
        <w:t xml:space="preserve">solo en fase de diseño por su latencia, coste y no determinismo. El MLP se considera sobre-ingeniería</w:t>
      </w:r>
      <w:r>
        <w:t xml:space="preserve"> </w:t>
      </w:r>
      <w:r>
        <w:t xml:space="preserve">para un problema de pocas variables y fronteras explicables.</w:t>
      </w:r>
    </w:p>
    <w:bookmarkEnd w:id="47"/>
    <w:bookmarkStart w:id="48" w:name="escenarios-de-validación"/>
    <w:p>
      <w:pPr>
        <w:pStyle w:val="Heading2"/>
      </w:pPr>
      <w:r>
        <w:t xml:space="preserve">8.4 Escenarios de validación</w:t>
      </w:r>
    </w:p>
    <w:p>
      <w:pPr>
        <w:pStyle w:val="FirstParagraph"/>
      </w:pPr>
      <w:r>
        <w:t xml:space="preserve">El agente se valida con tres escenarios de restricciones distintos, cuyas salidas son coherentes con</w:t>
      </w:r>
      <w:r>
        <w:t xml:space="preserve"> </w:t>
      </w:r>
      <w:r>
        <w:t xml:space="preserve">los criterios de ingeniería y con los Pasos 1 a 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2376"/>
        <w:gridCol w:w="2692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Entrada clave</w:t>
            </w:r>
          </w:p>
        </w:tc>
        <w:tc>
          <w:tcPr/>
          <w:p>
            <w:pPr>
              <w:pStyle w:val="Compact"/>
            </w:pPr>
            <w:r>
              <w:t xml:space="preserve">Salida esperada</w:t>
            </w:r>
          </w:p>
        </w:tc>
        <w:tc>
          <w:tcPr/>
          <w:p>
            <w:pPr>
              <w:pStyle w:val="Compac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ECG diagnóstico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fase_lineal = sí</w:t>
            </w:r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500</m:t>
              </m:r>
            </m:oMath>
            <w:r>
              <w:t xml:space="preserve">, transición amplia, FPU (ESP32/STM32)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</w:t>
            </w:r>
            <w:r>
              <w:t xml:space="preserve"> </w:t>
            </w:r>
            <w:r>
              <w:t xml:space="preserve">/ DF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Arduino UNO</w:t>
            </w:r>
          </w:p>
        </w:tc>
        <w:tc>
          <w:tcPr/>
          <w:p>
            <w:pPr>
              <w:pStyle w:val="Compact"/>
            </w:pPr>
            <w:r>
              <w:t xml:space="preserve">RAM 2 kB,</w:t>
            </w:r>
            <w:r>
              <w:t xml:space="preserve"> </w:t>
            </w:r>
            <w:r>
              <w:rPr>
                <w:rStyle w:val="VerbatimChar"/>
              </w:rPr>
              <w:t xml:space="preserve">ordenFIR &gt; 50</w:t>
            </w:r>
            <w:r>
              <w:t xml:space="preserve">, sin FPU, fase no estricta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IIR</w:t>
            </w:r>
            <w:r>
              <w:t xml:space="preserve"> </w:t>
            </w:r>
            <w:r>
              <w:t xml:space="preserve">/ SOS (Q15)</w:t>
            </w:r>
          </w:p>
        </w:tc>
        <w:tc>
          <w:tcPr/>
          <w:p>
            <w:pPr>
              <w:pStyle w:val="Compact"/>
            </w:pPr>
            <w:r>
              <w:t xml:space="preserve">R2, 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(c) Transición exigente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transicion = estrecha</w:t>
            </w:r>
            <w:r>
              <w:t xml:space="preserve">, ESP32 con FPU ≥ 160 MHz, fase no requerida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IIR (Elíptico)</w:t>
            </w:r>
            <w:r>
              <w:t xml:space="preserve"> </w:t>
            </w:r>
            <w:r>
              <w:t xml:space="preserve">/ SOS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Justificaciones.</w:t>
      </w:r>
      <w:r>
        <w:t xml:space="preserve"> </w:t>
      </w:r>
      <w:r>
        <w:t xml:space="preserve">(a) La morfología clínica exige fase lineal exacta, que solo el FIR garantiza por</w:t>
      </w:r>
      <w:r>
        <w:t xml:space="preserve"> </w:t>
      </w:r>
      <w:r>
        <w:t xml:space="preserve">la simetría de</w:t>
      </w:r>
      <w:r>
        <w:t xml:space="preserve"> </w:t>
      </w:r>
      <m:oMath>
        <m:r>
          <m:t>h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; el cómputo con FPU absorbe el mayor orden. (b) Un FIR de orden mayor que</w:t>
      </w:r>
      <w:r>
        <w:t xml:space="preserve"> </w:t>
      </w:r>
      <w:r>
        <w:t xml:space="preserve">cincuenta es inviable con dos kilobytes de RAM; el IIR logra la misma selectividad con orden bajo, y</w:t>
      </w:r>
      <w:r>
        <w:t xml:space="preserve"> </w:t>
      </w:r>
      <w:r>
        <w:t xml:space="preserve">sin unidad de punto flotante se impone la estructura SOS por estabilidad numérica, en punto fijo Q15.</w:t>
      </w:r>
      <w:r>
        <w:t xml:space="preserve"> </w:t>
      </w:r>
      <w:r>
        <w:t xml:space="preserve">(c) Con transición estrecha y cómputo suficiente conviene un IIR de orden adecuado; el prototipo</w:t>
      </w:r>
      <w:r>
        <w:t xml:space="preserve"> </w:t>
      </w:r>
      <w:r>
        <w:t xml:space="preserve">elíptico da la pendiente más abrupta con el menor orden, y SOS asegura la estabilidad.</w:t>
      </w:r>
    </w:p>
    <w:bookmarkEnd w:id="48"/>
    <w:bookmarkStart w:id="49" w:name="ejemplo-de-uso"/>
    <w:p>
      <w:pPr>
        <w:pStyle w:val="Heading2"/>
      </w:pPr>
      <w:r>
        <w:t xml:space="preserve">8.5 Ejemplo de uso</w:t>
      </w:r>
    </w:p>
    <w:p>
      <w:pPr>
        <w:pStyle w:val="FirstParagraph"/>
      </w:pPr>
      <w:r>
        <w:t xml:space="preserve">Una llamada típica al agente para el escenario (a), en sintaxis Octave, es: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VariableTok"/>
        </w:rPr>
        <w:t xml:space="preserve">rec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reglas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agente_reglas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struct</w:t>
      </w:r>
      <w:r>
        <w:rPr>
          <w:rStyle w:val="NormalTok"/>
        </w:rPr>
        <w:t xml:space="preserve">(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'fs'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'Flash'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'MHz'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'FPU'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'fase_lineal'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'SNR_in'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'latencia'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'media'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'transicion'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'amplia'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'ordenFIR'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% Resultado: rec = 'FIR', est = 'DF', reglas = {'R1'}, conf = 0.95</w:t>
      </w:r>
    </w:p>
    <w:p>
      <w:pPr>
        <w:pStyle w:val="FirstParagraph"/>
      </w:pPr>
      <w:r>
        <w:t xml:space="preserve">El resultado recomienda FIR con estructura de forma directa, disparando la regla R1 con confianza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95</m:t>
        </m:r>
      </m:oMath>
      <w:r>
        <w:t xml:space="preserve">, en plena coherencia con la decisión de diseño adoptada en el §6 para preservar el complejo</w:t>
      </w:r>
      <w:r>
        <w:t xml:space="preserve"> </w:t>
      </w:r>
      <w:r>
        <w:t xml:space="preserve">P-QRS-T.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implementación-embebida"/>
    <w:p>
      <w:pPr>
        <w:pStyle w:val="Heading1"/>
      </w:pPr>
      <w:r>
        <w:t xml:space="preserve">9. Implementación Embebida</w:t>
      </w:r>
    </w:p>
    <w:bookmarkStart w:id="51" w:name="selección-de-hardware"/>
    <w:p>
      <w:pPr>
        <w:pStyle w:val="Heading2"/>
      </w:pPr>
      <w:r>
        <w:t xml:space="preserve">9.1 Selección de hardware</w:t>
      </w:r>
    </w:p>
    <w:p>
      <w:pPr>
        <w:pStyle w:val="FirstParagraph"/>
      </w:pPr>
      <w:r>
        <w:t xml:space="preserve">La cadena de filtrado se implementa sobre un microcontrolador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(núcleo a 160–240 MHz, más de</w:t>
      </w:r>
      <w:r>
        <w:t xml:space="preserve"> </w:t>
      </w:r>
      <w:r>
        <w:t xml:space="preserve">320 kB de RAM y</w:t>
      </w:r>
      <w:r>
        <w:t xml:space="preserve"> </w:t>
      </w:r>
      <w:r>
        <w:rPr>
          <w:b/>
          <w:bCs/>
        </w:rPr>
        <w:t xml:space="preserve">unidad de punto flotante por hardware</w:t>
      </w:r>
      <w:r>
        <w:t xml:space="preserve">), plataforma que admite sin restricciones el</w:t>
      </w:r>
      <w:r>
        <w:t xml:space="preserve"> </w:t>
      </w:r>
      <w:r>
        <w:t xml:space="preserve">FIR de orden alto en aritmética</w:t>
      </w:r>
      <w:r>
        <w:t xml:space="preserve"> </w:t>
      </w:r>
      <w:r>
        <w:rPr>
          <w:b/>
          <w:bCs/>
        </w:rPr>
        <w:t xml:space="preserve">float32</w:t>
      </w:r>
      <w:r>
        <w:t xml:space="preserve">. Esta elección es consistente con la recomendación del</w:t>
      </w:r>
      <w:r>
        <w:t xml:space="preserve"> </w:t>
      </w:r>
      <w:r>
        <w:t xml:space="preserve">agente para el escenario de ECG diagnóstico (regla R1).</w:t>
      </w:r>
    </w:p>
    <w:p>
      <w:pPr>
        <w:pStyle w:val="BlockText"/>
      </w:pPr>
      <w:r>
        <w:rPr>
          <w:b/>
          <w:bCs/>
        </w:rPr>
        <w:t xml:space="preserve">Nota sobre Arduino UNO e IIR.</w:t>
      </w:r>
      <w:r>
        <w:t xml:space="preserve"> </w:t>
      </w:r>
      <w:r>
        <w:t xml:space="preserve">Si la plataforma fuese un Arduino UNO (16 MHz, 2 kB de RAM, sin</w:t>
      </w:r>
      <w:r>
        <w:t xml:space="preserve"> </w:t>
      </w:r>
      <w:r>
        <w:t xml:space="preserve">FPU), el FIR de 167</w:t>
      </w:r>
      <w:r>
        <w:t xml:space="preserve"> </w:t>
      </w:r>
      <w:r>
        <w:rPr>
          <w:i/>
          <w:iCs/>
        </w:rPr>
        <w:t xml:space="preserve">taps</w:t>
      </w:r>
      <w:r>
        <w:t xml:space="preserve"> </w:t>
      </w:r>
      <w:r>
        <w:t xml:space="preserve">sería inviable y el agente recomendaría (reglas R2 y R3) una solución</w:t>
      </w:r>
      <w:r>
        <w:t xml:space="preserve"> </w:t>
      </w:r>
      <w:r>
        <w:rPr>
          <w:b/>
          <w:bCs/>
        </w:rPr>
        <w:t xml:space="preserve">IIR de orden bajo en cascada SOS, con aritmética de punto fijo Q15</w:t>
      </w:r>
      <w:r>
        <w:t xml:space="preserve">. La cadena se rediseñaría</w:t>
      </w:r>
      <w:r>
        <w:t xml:space="preserve"> </w:t>
      </w:r>
      <w:r>
        <w:t xml:space="preserve">entonces como notch IIR más pasa-bajos IIR (Chebyshev o elíptico de orden cuatro a seis),</w:t>
      </w:r>
      <w:r>
        <w:t xml:space="preserve"> </w:t>
      </w:r>
      <w:r>
        <w:t xml:space="preserve">aceptando la fase no lineal a cambio de la viabilidad de recursos.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8"/>
        <w:gridCol w:w="908"/>
        <w:gridCol w:w="649"/>
        <w:gridCol w:w="649"/>
        <w:gridCol w:w="1558"/>
        <w:gridCol w:w="25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Reloj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FPU</w:t>
            </w:r>
          </w:p>
        </w:tc>
        <w:tc>
          <w:tcPr/>
          <w:p>
            <w:pPr>
              <w:pStyle w:val="Compact"/>
            </w:pPr>
            <w:r>
              <w:t xml:space="preserve">Aritmética</w:t>
            </w:r>
          </w:p>
        </w:tc>
        <w:tc>
          <w:tcPr/>
          <w:p>
            <w:pPr>
              <w:pStyle w:val="Compact"/>
            </w:pPr>
            <w:r>
              <w:t xml:space="preserve">Filtro recomendado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Arduino UNO</w:t>
            </w:r>
          </w:p>
        </w:tc>
        <w:tc>
          <w:tcPr/>
          <w:p>
            <w:pPr>
              <w:pStyle w:val="Compact"/>
            </w:pPr>
            <w:r>
              <w:t xml:space="preserve">16 MHz</w:t>
            </w:r>
          </w:p>
        </w:tc>
        <w:tc>
          <w:tcPr/>
          <w:p>
            <w:pPr>
              <w:pStyle w:val="Compact"/>
            </w:pPr>
            <w:r>
              <w:t xml:space="preserve">2 kB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Q15</w:t>
            </w:r>
          </w:p>
        </w:tc>
        <w:tc>
          <w:tcPr/>
          <w:p>
            <w:pPr>
              <w:pStyle w:val="Compact"/>
            </w:pPr>
            <w:r>
              <w:t xml:space="preserve">IIR orden bajo (SOS); FIR solo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≲</m:t>
              </m:r>
              <m:r>
                <m:t>20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ESP32</w:t>
            </w:r>
            <w:r>
              <w:t xml:space="preserve"> </w:t>
            </w:r>
            <w:r>
              <w:t xml:space="preserve">(adoptada)</w:t>
            </w:r>
          </w:p>
        </w:tc>
        <w:tc>
          <w:tcPr/>
          <w:p>
            <w:pPr>
              <w:pStyle w:val="Compact"/>
            </w:pPr>
            <w:r>
              <w:t xml:space="preserve">160–240 MHz</w:t>
            </w:r>
          </w:p>
        </w:tc>
        <w:tc>
          <w:tcPr/>
          <w:p>
            <w:pPr>
              <w:pStyle w:val="Compact"/>
            </w:pPr>
            <w:r>
              <w:t xml:space="preserve">320 kB+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 orden alto</w:t>
            </w:r>
            <w:r>
              <w:t xml:space="preserve"> </w:t>
            </w:r>
            <w:r>
              <w:t xml:space="preserve">o IIR libre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STM32F4</w:t>
            </w:r>
          </w:p>
        </w:tc>
        <w:tc>
          <w:tcPr/>
          <w:p>
            <w:pPr>
              <w:pStyle w:val="Compact"/>
            </w:pPr>
            <w:r>
              <w:t xml:space="preserve">168 MHz</w:t>
            </w:r>
          </w:p>
        </w:tc>
        <w:tc>
          <w:tcPr/>
          <w:p>
            <w:pPr>
              <w:pStyle w:val="Compact"/>
            </w:pPr>
            <w:r>
              <w:t xml:space="preserve">128–192 kB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FIR/IIR sin restricción práctica</w:t>
            </w:r>
          </w:p>
        </w:tc>
      </w:tr>
    </w:tbl>
    <w:bookmarkEnd w:id="51"/>
    <w:bookmarkStart w:id="52" w:name="diagrama-de-bloques"/>
    <w:p>
      <w:pPr>
        <w:pStyle w:val="Heading2"/>
      </w:pPr>
      <w:r>
        <w:t xml:space="preserve">9.2 Diagrama de bloques</w:t>
      </w:r>
    </w:p>
    <w:p>
      <w:pPr>
        <w:pStyle w:val="SourceCode"/>
      </w:pPr>
      <w:r>
        <w:rPr>
          <w:rStyle w:val="VerbatimChar"/>
        </w:rPr>
        <w:t xml:space="preserve">   +----------+     +-------------+     +------------------+     +---------------+     +----------+</w:t>
      </w:r>
      <w:r>
        <w:br/>
      </w:r>
      <w:r>
        <w:rPr>
          <w:rStyle w:val="VerbatimChar"/>
        </w:rPr>
        <w:t xml:space="preserve">   |  Sensor  |     |   AFE +     |     |   ADC (12 bit)   |     |  Buffer       |     |  Notch   |</w:t>
      </w:r>
      <w:r>
        <w:br/>
      </w:r>
      <w:r>
        <w:rPr>
          <w:rStyle w:val="VerbatimChar"/>
        </w:rPr>
        <w:t xml:space="preserve">   |   ECG    |----&gt;| anti-alias  |----&gt;|  f_s = 500 Hz    |----&gt;|  circular     |----&gt;|  IIR     |</w:t>
      </w:r>
      <w:r>
        <w:br/>
      </w:r>
      <w:r>
        <w:rPr>
          <w:rStyle w:val="VerbatimChar"/>
        </w:rPr>
        <w:t xml:space="preserve">   | (electr.)|     | (LP analóg) |     |  (timer-ISR)     |     |  (línea ret.) |     |  50 Hz   |</w:t>
      </w:r>
      <w:r>
        <w:br/>
      </w:r>
      <w:r>
        <w:rPr>
          <w:rStyle w:val="VerbatimChar"/>
        </w:rPr>
        <w:t xml:space="preserve">   +----------+     +-------------+     +------------------+     +---------------+     +----+-----+</w:t>
      </w:r>
      <w:r>
        <w:br/>
      </w:r>
      <w:r>
        <w:rPr>
          <w:rStyle w:val="VerbatimChar"/>
        </w:rPr>
        <w:t xml:space="preserve">                      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                            v</w:t>
      </w:r>
      <w:r>
        <w:br/>
      </w:r>
      <w:r>
        <w:rPr>
          <w:rStyle w:val="VerbatimChar"/>
        </w:rPr>
        <w:t xml:space="preserve">   +----------+     +-------------+     +------------------+                          +----------+</w:t>
      </w:r>
      <w:r>
        <w:br/>
      </w:r>
      <w:r>
        <w:rPr>
          <w:rStyle w:val="VerbatimChar"/>
        </w:rPr>
        <w:t xml:space="preserve">   |  Salida  |     |  Métricas / |     |   Pasa-bajos     |                          | (biquad  |</w:t>
      </w:r>
      <w:r>
        <w:br/>
      </w:r>
      <w:r>
        <w:rPr>
          <w:rStyle w:val="VerbatimChar"/>
        </w:rPr>
        <w:t xml:space="preserve">   |  ECG     |&lt;----|  display /  |&lt;----|   FIR Hamming    |&lt;-------------------------|  2.o ord)|</w:t>
      </w:r>
      <w:r>
        <w:br/>
      </w:r>
      <w:r>
        <w:rPr>
          <w:rStyle w:val="VerbatimChar"/>
        </w:rPr>
        <w:t xml:space="preserve">   | filtrada |     |  log SNR    |     |   f_c = 40 Hz    |                          +----------+</w:t>
      </w:r>
      <w:r>
        <w:br/>
      </w:r>
      <w:r>
        <w:rPr>
          <w:rStyle w:val="VerbatimChar"/>
        </w:rPr>
        <w:t xml:space="preserve">   +----------+     +-------------+     +------------------+</w:t>
      </w:r>
    </w:p>
    <w:p>
      <w:pPr>
        <w:pStyle w:val="FirstParagraph"/>
      </w:pPr>
      <w:r>
        <w:t xml:space="preserve">La adquisición se realiza por</w:t>
      </w:r>
      <w:r>
        <w:t xml:space="preserve"> </w:t>
      </w:r>
      <w:r>
        <w:rPr>
          <w:b/>
          <w:bCs/>
        </w:rPr>
        <w:t xml:space="preserve">interrupción de temporizador</w:t>
      </w:r>
      <w:r>
        <w:t xml:space="preserve"> </w:t>
      </w:r>
      <w:r>
        <w:t xml:space="preserve">(timer-ISR) para garantizar un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exacto; el</w:t>
      </w:r>
      <w:r>
        <w:t xml:space="preserve"> </w:t>
      </w:r>
      <w:r>
        <w:rPr>
          <w:b/>
          <w:bCs/>
        </w:rPr>
        <w:t xml:space="preserve">buffer circular</w:t>
      </w:r>
      <w:r>
        <w:t xml:space="preserve"> </w:t>
      </w:r>
      <w:r>
        <w:t xml:space="preserve">actúa como línea de retardo natural del filtro. La señal atraviesa</w:t>
      </w:r>
      <w:r>
        <w:t xml:space="preserve"> </w:t>
      </w:r>
      <w:r>
        <w:t xml:space="preserve">primero el notch IIR (un biquad) y luego el pasa-bajos FIR.</w:t>
      </w:r>
    </w:p>
    <w:bookmarkEnd w:id="52"/>
    <w:bookmarkStart w:id="53" w:name="pseudocódigo-del-filtrado"/>
    <w:p>
      <w:pPr>
        <w:pStyle w:val="Heading2"/>
      </w:pPr>
      <w:r>
        <w:t xml:space="preserve">9.3 Pseudocódigo del filtrado</w:t>
      </w:r>
    </w:p>
    <w:p>
      <w:pPr>
        <w:pStyle w:val="SourceCode"/>
      </w:pPr>
      <w:r>
        <w:rPr>
          <w:rStyle w:val="CommentTok"/>
        </w:rPr>
        <w:t xml:space="preserve">/* --- Cadena de filtrado ECG en tiempo real (ESP32, float32) --- */</w:t>
      </w:r>
      <w:r>
        <w:br/>
      </w:r>
      <w:r>
        <w:rPr>
          <w:rStyle w:val="PreprocessorTok"/>
        </w:rPr>
        <w:t xml:space="preserve">#define NTAPS </w:t>
      </w:r>
      <w:r>
        <w:rPr>
          <w:rStyle w:val="DecValTok"/>
        </w:rPr>
        <w:t xml:space="preserve">167</w:t>
      </w:r>
      <w:r>
        <w:rPr>
          <w:rStyle w:val="PreprocessorTok"/>
        </w:rPr>
        <w:t xml:space="preserve">                 </w:t>
      </w:r>
      <w:r>
        <w:rPr>
          <w:rStyle w:val="CommentTok"/>
        </w:rPr>
        <w:t xml:space="preserve">/* FIR Hamming, orden 166 */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h_fir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NTAPS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coeficientes FIR precalculados (simétricos) */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biquad notch 50 Hz: b0,b1,b2 / a0,a1,a2 */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x_buf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NTAPS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buffer circular de entrada al FIR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estados del biquad notch (DF-II traspuesta) */</w:t>
      </w:r>
      <w:r>
        <w:br/>
      </w:r>
      <w:r>
        <w:br/>
      </w:r>
      <w:r>
        <w:rPr>
          <w:rStyle w:val="CommentTok"/>
        </w:rPr>
        <w:t xml:space="preserve">/* Rutina de servicio de interrupción del timer (cada 1/fs = 2 ms)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ISR_muestra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adc_leer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muestra cruda del ADC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Etapa 1: NOTCH IIR 50 Hz (1 biquad, forma directa II traspuesta)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wn1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wn2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a0 = 1 (normalizado)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wn1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wn2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wn1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wn1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Etapa 2: PASA-BAJOS FIR (convolución sobre buffer circular) */</w:t>
      </w:r>
      <w:r>
        <w:br/>
      </w:r>
      <w:r>
        <w:rPr>
          <w:rStyle w:val="NormalTok"/>
        </w:rPr>
        <w:t xml:space="preserve">    x_buf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NTAPS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h_fir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NTAPS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recorre hacia atrás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NTAPS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salida_dac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/* ECG filtrado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notch se implementa en forma directa II traspuesta (mínima memoria, menor error de redondeo) y el</w:t>
      </w:r>
      <w:r>
        <w:t xml:space="preserve"> </w:t>
      </w:r>
      <w:r>
        <w:t xml:space="preserve">FIR como convolución directa sobre el buffer circular. En aritmética de punto fijo (plataformas sin</w:t>
      </w:r>
      <w:r>
        <w:t xml:space="preserve"> </w:t>
      </w:r>
      <w:r>
        <w:t xml:space="preserve">FPU) el acumulador debe ser de mayor ancho (32 o 64 bits) que las muestras y los coeficientes, con</w:t>
      </w:r>
      <w:r>
        <w:t xml:space="preserve"> </w:t>
      </w:r>
      <w:r>
        <w:t xml:space="preserve">bits de guarda y, eventualmente, aritmética saturante para prevenir desbordes.</w:t>
      </w:r>
    </w:p>
    <w:bookmarkEnd w:id="53"/>
    <w:bookmarkStart w:id="54" w:name="Xd8310634d241617e220940c9ad645174cc16fc1"/>
    <w:p>
      <w:pPr>
        <w:pStyle w:val="Heading2"/>
      </w:pPr>
      <w:r>
        <w:t xml:space="preserve">9.4 Representación de coeficientes: float32 frente a Q15</w:t>
      </w:r>
    </w:p>
    <w:p>
      <w:pPr>
        <w:pStyle w:val="FirstParagraph"/>
      </w:pPr>
      <w:r>
        <w:t xml:space="preserve">Existen dos representaciones posibles para los coeficientes y las muestras: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Punto flotante (float32):</w:t>
      </w:r>
      <w:r>
        <w:t xml:space="preserve"> </w:t>
      </w:r>
      <w:r>
        <w:t xml:space="preserve">se emplea en plataformas con FPU (ESP32, STM32F4). Es directo, de</w:t>
      </w:r>
      <w:r>
        <w:t xml:space="preserve"> </w:t>
      </w:r>
      <w:r>
        <w:t xml:space="preserve">amplio rango dinámico y sin riesgo de desborde apreciable; es la opción adoptada.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Punto fijo Q15 (formato Q1.15):</w:t>
      </w:r>
      <w:r>
        <w:t xml:space="preserve"> </w:t>
      </w:r>
      <w:r>
        <w:t xml:space="preserve">entero de dieciséis bits que representa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real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en el rango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Se emplea en plataformas sin</w:t>
      </w:r>
      <w:r>
        <w:t xml:space="preserve"> </w:t>
      </w:r>
      <w:r>
        <w:t xml:space="preserve">FPU (Arduino UNO). Los coeficientes se normalizan a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 el producto de dos valores Q15 es</w:t>
      </w:r>
      <w:r>
        <w:t xml:space="preserve"> </w:t>
      </w:r>
      <w:r>
        <w:t xml:space="preserve">Q30, y sumar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productos requiere</w:t>
      </w:r>
      <w:r>
        <w:t xml:space="preserve"> </w:t>
      </w:r>
      <m:oMath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⌉</m:t>
        </m:r>
      </m:oMath>
      <w:r>
        <w:t xml:space="preserve"> </w:t>
      </w:r>
      <w:r>
        <w:t xml:space="preserve">bits de guarda en el acumulador.</w:t>
      </w:r>
    </w:p>
    <w:p>
      <w:pPr>
        <w:pStyle w:val="FirstParagraph"/>
      </w:pPr>
      <w:r>
        <w:t xml:space="preserve">El ruido de cuantización tiene potencia</w:t>
      </w:r>
      <w:r>
        <w:t xml:space="preserve"> </w:t>
      </w:r>
      <m:oMath>
        <m:sSubSup>
          <m:e>
            <m:r>
              <m:t>σ</m:t>
            </m:r>
          </m:e>
          <m:sub>
            <m:r>
              <m:t>q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p"/>
              </m:rP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. La regla de</w:t>
      </w:r>
      <w:r>
        <w:t xml:space="preserve"> </w:t>
      </w:r>
      <w:r>
        <w:t xml:space="preserve">diseño fundamental es que</w:t>
      </w:r>
      <w:r>
        <w:t xml:space="preserve"> </w:t>
      </w:r>
      <w:r>
        <w:rPr>
          <w:b/>
          <w:bCs/>
        </w:rPr>
        <w:t xml:space="preserve">un IIR de orden mayor que dos en punto fijo debe realizarse siempre en</w:t>
      </w:r>
      <w:r>
        <w:rPr>
          <w:b/>
          <w:bCs/>
        </w:rPr>
        <w:t xml:space="preserve"> </w:t>
      </w:r>
      <w:r>
        <w:rPr>
          <w:b/>
          <w:bCs/>
        </w:rPr>
        <w:t xml:space="preserve">cascada SOS</w:t>
      </w:r>
      <w:r>
        <w:t xml:space="preserve">, porque la cuantización de coeficientes puede desplazar los polos fuera del círculo</w:t>
      </w:r>
      <w:r>
        <w:t xml:space="preserve"> </w:t>
      </w:r>
      <w:r>
        <w:t xml:space="preserve">unitario y desestabilizar el filtro. El FIR, al carecer de polos, no sufre este riesgo.</w:t>
      </w:r>
    </w:p>
    <w:bookmarkEnd w:id="54"/>
    <w:bookmarkStart w:id="55" w:name="validación-frente-a-la-simulación"/>
    <w:p>
      <w:pPr>
        <w:pStyle w:val="Heading2"/>
      </w:pPr>
      <w:r>
        <w:t xml:space="preserve">9.5 Validación frente a la simulación</w:t>
      </w:r>
    </w:p>
    <w:p>
      <w:pPr>
        <w:pStyle w:val="FirstParagraph"/>
      </w:pPr>
      <w:r>
        <w:t xml:space="preserve">La validación de la implementación embebida consiste en comparar la salida del microcontrolador con la</w:t>
      </w:r>
      <w:r>
        <w:t xml:space="preserve"> </w:t>
      </w:r>
      <w:r>
        <w:t xml:space="preserve">salida de la simulación en Octave/Python ante la misma señal de entrada, evaluando: (i) el error</w:t>
      </w:r>
      <w:r>
        <w:t xml:space="preserve"> </w:t>
      </w:r>
      <w:r>
        <w:t xml:space="preserve">cuadrático medio entre ambas salidas, que debe ser del orden del piso de cuantización; (ii) la</w:t>
      </w:r>
      <w:r>
        <w:t xml:space="preserve"> </w:t>
      </w:r>
      <w:r>
        <w:t xml:space="preserve">preservación de la SNR mejorada (aproximadamente veinte decibelios de salida); y (iii) la latencia</w:t>
      </w:r>
      <w:r>
        <w:t xml:space="preserve"> </w:t>
      </w:r>
      <w:r>
        <w:t xml:space="preserve">total, dominada por el retardo de grupo del FIR (166 ms). Las fuentes de error a controlar son la</w:t>
      </w:r>
      <w:r>
        <w:t xml:space="preserve"> </w:t>
      </w:r>
      <w:r>
        <w:t xml:space="preserve">cuantización de coeficientes y de productos, el truncamiento del acumulador, el posible aliasing</w:t>
      </w:r>
      <w:r>
        <w:t xml:space="preserve"> </w:t>
      </w:r>
      <w:r>
        <w:t xml:space="preserve">residual y la latencia de cómputo. El detalle de la implementación se documenta en el directorio</w:t>
      </w:r>
      <w:r>
        <w:t xml:space="preserve"> </w:t>
      </w:r>
      <w:r>
        <w:rPr>
          <w:rStyle w:val="VerbatimChar"/>
        </w:rPr>
        <w:t xml:space="preserve">entrega_embebido/</w:t>
      </w:r>
      <w:r>
        <w:t xml:space="preserve"> </w:t>
      </w:r>
      <w:r>
        <w:t xml:space="preserve">(código C/MicroPython, coeficientes y banco de pruebas).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nclusiones"/>
    <w:p>
      <w:pPr>
        <w:pStyle w:val="Heading1"/>
      </w:pPr>
      <w:r>
        <w:t xml:space="preserve">10. Conclusiones</w:t>
      </w:r>
    </w:p>
    <w:p>
      <w:pPr>
        <w:pStyle w:val="FirstParagraph"/>
      </w:pPr>
      <w:r>
        <w:rPr>
          <w:b/>
          <w:bCs/>
        </w:rPr>
        <w:t xml:space="preserve">Resultados.</w:t>
      </w:r>
      <w:r>
        <w:t xml:space="preserve"> </w:t>
      </w:r>
      <w:r>
        <w:t xml:space="preserve">Se diseñó, simuló y especificó la implementación de un sistema de filtrado digital</w:t>
      </w:r>
      <w:r>
        <w:t xml:space="preserve"> </w:t>
      </w:r>
      <w:r>
        <w:t xml:space="preserve">para señal de ECG que cumple la máscara propuesta. La cadena mixta —notch IIR de segundo orden a</w:t>
      </w:r>
      <w:r>
        <w:t xml:space="preserve"> </w:t>
      </w:r>
      <w:r>
        <w:t xml:space="preserve">cincuenta hertz más pasa-bajos FIR de fase lineal con ventana de Hamming a cuarenta hertz— alcanza una</w:t>
      </w:r>
      <w:r>
        <w:t xml:space="preserve"> </w:t>
      </w:r>
      <w:r>
        <w:t xml:space="preserve">mejora de relación señal a ruido del orden de</w:t>
      </w:r>
      <w:r>
        <w:t xml:space="preserve"> </w:t>
      </w:r>
      <w:r>
        <w:rPr>
          <w:b/>
          <w:bCs/>
        </w:rPr>
        <w:t xml:space="preserve">catorce decibelios</w:t>
      </w:r>
      <w:r>
        <w:t xml:space="preserve"> </w:t>
      </w:r>
      <w:r>
        <w:t xml:space="preserve">(de seis a veinte decibelios),</w:t>
      </w:r>
      <w:r>
        <w:t xml:space="preserve"> </w:t>
      </w:r>
      <w:r>
        <w:t xml:space="preserve">suprimiendo tanto la interferencia de red como el ruido EMG de alta frecuencia. El FIR resultó de</w:t>
      </w:r>
      <w:r>
        <w:t xml:space="preserve"> </w:t>
      </w:r>
      <w:r>
        <w:t xml:space="preserve">orden ciento sesenta y seis (167</w:t>
      </w:r>
      <w:r>
        <w:t xml:space="preserve"> </w:t>
      </w:r>
      <w:r>
        <w:rPr>
          <w:i/>
          <w:iCs/>
        </w:rPr>
        <w:t xml:space="preserve">taps</w:t>
      </w:r>
      <w:r>
        <w:t xml:space="preserve">) con retardo de grupo constante de 166 ms, mientras que el</w:t>
      </w:r>
      <w:r>
        <w:t xml:space="preserve"> </w:t>
      </w:r>
      <w:r>
        <w:t xml:space="preserve">desarrollo IIR mostró que el prototipo Butterworth requiere orden trece para la máscara estricta, lo</w:t>
      </w:r>
      <w:r>
        <w:t xml:space="preserve"> </w:t>
      </w:r>
      <w:r>
        <w:t xml:space="preserve">que justifica recurrir a Chebyshev I (orden seis) o elíptico (orden cuatro) cuando se prioriza la</w:t>
      </w:r>
      <w:r>
        <w:t xml:space="preserve"> </w:t>
      </w:r>
      <w:r>
        <w:t xml:space="preserve">eficiencia. La decisión arquitectónica de emplear un FIR de fase lineal para la etapa principal queda</w:t>
      </w:r>
      <w:r>
        <w:t xml:space="preserve"> </w:t>
      </w:r>
      <w:r>
        <w:t xml:space="preserve">plenamente justificada por la necesidad de preservar la morfología del complejo P-QRS-T, y es la que</w:t>
      </w:r>
      <w:r>
        <w:t xml:space="preserve"> </w:t>
      </w:r>
      <w:r>
        <w:t xml:space="preserve">recomienda de forma autónoma el agente de decisión (regla R1).</w:t>
      </w:r>
    </w:p>
    <w:p>
      <w:pPr>
        <w:pStyle w:val="BodyText"/>
      </w:pPr>
      <w:r>
        <w:rPr>
          <w:b/>
          <w:bCs/>
        </w:rPr>
        <w:t xml:space="preserve">Limitaciones.</w:t>
      </w:r>
      <w:r>
        <w:t xml:space="preserve"> </w:t>
      </w:r>
      <w:r>
        <w:t xml:space="preserve">El retardo de grupo de 166 ms del FIR, aunque constante, es elevado y podría ser</w:t>
      </w:r>
      <w:r>
        <w:t xml:space="preserve"> </w:t>
      </w:r>
      <w:r>
        <w:t xml:space="preserve">inaceptable en aplicaciones de monitoreo con realimentación inmediata. El filtrado de fase cero que</w:t>
      </w:r>
      <w:r>
        <w:t xml:space="preserve"> </w:t>
      </w:r>
      <w:r>
        <w:t xml:space="preserve">anula ese retardo solo es aplicable fuera de línea. La implementación de orden alto en punto flotante</w:t>
      </w:r>
      <w:r>
        <w:t xml:space="preserve"> </w:t>
      </w:r>
      <w:r>
        <w:t xml:space="preserve">restringe la plataforma a microcontroladores con FPU; en un Arduino UNO sería obligatorio el rediseño</w:t>
      </w:r>
      <w:r>
        <w:t xml:space="preserve"> </w:t>
      </w:r>
      <w:r>
        <w:t xml:space="preserve">hacia IIR en punto fijo, con la consiguiente distorsión de fase. Finalmente, las figuras de simulación</w:t>
      </w:r>
      <w:r>
        <w:t xml:space="preserve"> </w:t>
      </w:r>
      <w:r>
        <w:t xml:space="preserve">quedaron como marcadores de posición al no ejecutarse los scripts en este trabajo.</w:t>
      </w:r>
    </w:p>
    <w:p>
      <w:pPr>
        <w:pStyle w:val="BodyText"/>
      </w:pPr>
      <w:r>
        <w:rPr>
          <w:b/>
          <w:bCs/>
        </w:rPr>
        <w:t xml:space="preserve">Trabajo futuro.</w:t>
      </w:r>
      <w:r>
        <w:t xml:space="preserve"> </w:t>
      </w:r>
      <w:r>
        <w:t xml:space="preserve">Se propone: ejecutar los scripts de simulación con un dataset real de PhysioNet</w:t>
      </w:r>
      <w:r>
        <w:t xml:space="preserve"> </w:t>
      </w:r>
      <w:r>
        <w:t xml:space="preserve">(MIT-BIH) para validar las métricas con señales clínicas; explorar un FIR equiripple (Parks-McClellan)</w:t>
      </w:r>
      <w:r>
        <w:t xml:space="preserve"> </w:t>
      </w:r>
      <w:r>
        <w:t xml:space="preserve">para reducir el orden y, con ello, el retardo; implementar y medir la cadena en el ESP32 real,</w:t>
      </w:r>
      <w:r>
        <w:t xml:space="preserve"> </w:t>
      </w:r>
      <w:r>
        <w:t xml:space="preserve">contrastando la salida embebida con la simulación; y enriquecer el agente con la variante de árbol de</w:t>
      </w:r>
      <w:r>
        <w:t xml:space="preserve"> </w:t>
      </w:r>
      <w:r>
        <w:t xml:space="preserve">decisión exportada a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en C, embebible junto al filtro.</w:t>
      </w:r>
    </w:p>
    <w:p>
      <w:r>
        <w:pict>
          <v:rect style="width:0;height:1.5pt" o:hralign="center" o:hrstd="t" o:hr="t"/>
        </w:pict>
      </w:r>
    </w:p>
    <w:bookmarkEnd w:id="57"/>
    <w:bookmarkStart w:id="58" w:name="bibliografía"/>
    <w:p>
      <w:pPr>
        <w:pStyle w:val="Heading1"/>
      </w:pPr>
      <w:r>
        <w:t xml:space="preserve">11. Bibliografía</w:t>
      </w:r>
    </w:p>
    <w:p>
      <w:pPr>
        <w:pStyle w:val="FirstParagraph"/>
      </w:pPr>
      <w:r>
        <w:t xml:space="preserve">[1] A. V. Oppenheim and R. W. Schafer,</w:t>
      </w:r>
      <w:r>
        <w:t xml:space="preserve"> </w:t>
      </w:r>
      <w:r>
        <w:rPr>
          <w:i/>
          <w:iCs/>
        </w:rPr>
        <w:t xml:space="preserve">Discrete-Time Signal Processing</w:t>
      </w:r>
      <w:r>
        <w:t xml:space="preserve">, 3rd ed. Upper Saddle River,</w:t>
      </w:r>
      <w:r>
        <w:t xml:space="preserve"> </w:t>
      </w:r>
      <w:r>
        <w:t xml:space="preserve">NJ, USA: Pearson/Prentice Hall, 2010.</w:t>
      </w:r>
    </w:p>
    <w:p>
      <w:pPr>
        <w:pStyle w:val="BodyText"/>
      </w:pPr>
      <w:r>
        <w:t xml:space="preserve">[2] J. G. Proakis and D. G. Manolakis,</w:t>
      </w:r>
      <w:r>
        <w:t xml:space="preserve"> </w:t>
      </w:r>
      <w:r>
        <w:rPr>
          <w:i/>
          <w:iCs/>
        </w:rPr>
        <w:t xml:space="preserve">Digital Signal Processing: Principles, Algorithms, and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</w:t>
      </w:r>
      <w:r>
        <w:t xml:space="preserve">, 4th ed. Upper Saddle River, NJ, USA: Pearson Prentice Hall, 2007.</w:t>
      </w:r>
    </w:p>
    <w:p>
      <w:pPr>
        <w:pStyle w:val="BodyText"/>
      </w:pPr>
      <w:r>
        <w:t xml:space="preserve">[3] S. K. Mitra,</w:t>
      </w:r>
      <w:r>
        <w:t xml:space="preserve"> </w:t>
      </w:r>
      <w:r>
        <w:rPr>
          <w:i/>
          <w:iCs/>
        </w:rPr>
        <w:t xml:space="preserve">Digital Signal Processing: A Computer-Based Approach</w:t>
      </w:r>
      <w:r>
        <w:t xml:space="preserve">, 4th ed. New York, NY, USA:</w:t>
      </w:r>
      <w:r>
        <w:t xml:space="preserve"> </w:t>
      </w:r>
      <w:r>
        <w:t xml:space="preserve">McGraw-Hill, 2011.</w:t>
      </w:r>
    </w:p>
    <w:p>
      <w:pPr>
        <w:pStyle w:val="BodyText"/>
      </w:pPr>
      <w:r>
        <w:t xml:space="preserve">[4] T. W. Parks and C. S. Burrus,</w:t>
      </w:r>
      <w:r>
        <w:t xml:space="preserve"> </w:t>
      </w:r>
      <w:r>
        <w:rPr>
          <w:i/>
          <w:iCs/>
        </w:rPr>
        <w:t xml:space="preserve">Digital Filter Design</w:t>
      </w:r>
      <w:r>
        <w:t xml:space="preserve">. New York, NY, USA: Wiley-Interscience, 1987.</w:t>
      </w:r>
    </w:p>
    <w:p>
      <w:pPr>
        <w:pStyle w:val="BodyText"/>
      </w:pPr>
      <w:r>
        <w:t xml:space="preserve">[5] J. F. Kaiser,</w:t>
      </w:r>
      <w:r>
        <w:t xml:space="preserve"> </w:t>
      </w:r>
      <w:r>
        <w:t xml:space="preserve">“Nonrecursive digital filter design using the I0-sinh window function,”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IEEE Int. Symp. Circuits and Systems (ISCAS)</w:t>
      </w:r>
      <w:r>
        <w:t xml:space="preserve">, San Francisco, CA, USA, 1974, pp. 20–23.</w:t>
      </w:r>
    </w:p>
    <w:p>
      <w:pPr>
        <w:pStyle w:val="BodyText"/>
      </w:pPr>
      <w:r>
        <w:t xml:space="preserve">[6] The SciPy community,</w:t>
      </w:r>
      <w:r>
        <w:t xml:space="preserve"> </w:t>
      </w:r>
      <w:r>
        <w:t xml:space="preserve">“Signal processing (</w:t>
      </w:r>
      <w:r>
        <w:rPr>
          <w:rStyle w:val="VerbatimChar"/>
        </w:rPr>
        <w:t xml:space="preserve">scipy.signal</w:t>
      </w:r>
      <w:r>
        <w:t xml:space="preserve">),”</w:t>
      </w:r>
      <w:r>
        <w:t xml:space="preserve"> </w:t>
      </w:r>
      <w:r>
        <w:rPr>
          <w:i/>
          <w:iCs/>
        </w:rPr>
        <w:t xml:space="preserve">SciPy Reference Guide</w:t>
      </w:r>
      <w:r>
        <w:t xml:space="preserve">. [En línea].</w:t>
      </w:r>
      <w:r>
        <w:t xml:space="preserve"> </w:t>
      </w:r>
      <w:r>
        <w:t xml:space="preserve">Disponible: https://docs.scipy.org/doc/scipy/reference/signal.html</w:t>
      </w:r>
    </w:p>
    <w:p>
      <w:pPr>
        <w:pStyle w:val="BodyText"/>
      </w:pPr>
      <w:r>
        <w:t xml:space="preserve">[7] J. W. Eaton, D. Bateman, S. Hauberg, and R. Wehbring,</w:t>
      </w:r>
      <w:r>
        <w:t xml:space="preserve"> </w:t>
      </w:r>
      <w:r>
        <w:rPr>
          <w:i/>
          <w:iCs/>
        </w:rPr>
        <w:t xml:space="preserve">GNU Octave Manual</w:t>
      </w:r>
      <w:r>
        <w:t xml:space="preserve"> </w:t>
      </w:r>
      <w:r>
        <w:t xml:space="preserve">(Octave Forge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package documentation), version 8.x, 2024. [En línea]. Disponible: https://octave.org/doc/</w:t>
      </w:r>
    </w:p>
    <w:p>
      <w:pPr>
        <w:pStyle w:val="BodyText"/>
      </w:pPr>
      <w:r>
        <w:t xml:space="preserve">[8] The MathWorks, Inc.,</w:t>
      </w:r>
      <w:r>
        <w:t xml:space="preserve"> </w:t>
      </w:r>
      <w:r>
        <w:rPr>
          <w:i/>
          <w:iCs/>
        </w:rPr>
        <w:t xml:space="preserve">Signal Processing Toolbox User’s Guide</w:t>
      </w:r>
      <w:r>
        <w:t xml:space="preserve">, Natick, MA, USA, R2021b+. [En</w:t>
      </w:r>
      <w:r>
        <w:t xml:space="preserve"> </w:t>
      </w:r>
      <w:r>
        <w:t xml:space="preserve">línea]. Disponible: https://www.mathworks.com/help/signal/</w:t>
      </w:r>
    </w:p>
    <w:p>
      <w:pPr>
        <w:pStyle w:val="BodyText"/>
      </w:pPr>
      <w:r>
        <w:t xml:space="preserve">[9] Anthropic,</w:t>
      </w:r>
      <w:r>
        <w:t xml:space="preserve"> </w:t>
      </w:r>
      <w:r>
        <w:t xml:space="preserve">“Claude Developer Platform — API documentation and Python SDK (</w:t>
      </w:r>
      <w:r>
        <w:rPr>
          <w:rStyle w:val="VerbatimChar"/>
        </w:rPr>
        <w:t xml:space="preserve">anthropic</w:t>
      </w:r>
      <w:r>
        <w:t xml:space="preserve">).”</w:t>
      </w:r>
      <w:r>
        <w:t xml:space="preserve"> </w:t>
      </w:r>
      <w:r>
        <w:t xml:space="preserve">[En</w:t>
      </w:r>
      <w:r>
        <w:t xml:space="preserve"> </w:t>
      </w:r>
      <w:r>
        <w:t xml:space="preserve">línea]. Disponible: https://docs.claude.com/</w:t>
      </w:r>
    </w:p>
    <w:p>
      <w:pPr>
        <w:pStyle w:val="BodyText"/>
      </w:pPr>
      <w:r>
        <w:t xml:space="preserve">[10] F. Pedregosa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“Scikit-learn: Machine learning in Python,”</w:t>
      </w:r>
      <w:r>
        <w:t xml:space="preserve"> </w:t>
      </w:r>
      <w:r>
        <w:rPr>
          <w:i/>
          <w:iCs/>
        </w:rPr>
        <w:t xml:space="preserve">J. Mach. Learn. Res.</w:t>
      </w:r>
      <w:r>
        <w:t xml:space="preserve">, vol.</w:t>
      </w:r>
      <w:r>
        <w:t xml:space="preserve"> </w:t>
      </w:r>
      <w:r>
        <w:t xml:space="preserve">12, pp. 2825–2830, 2011. [En línea]. Disponible: https://scikit-learn.org/stable/</w:t>
      </w:r>
    </w:p>
    <w:p>
      <w:r>
        <w:pict>
          <v:rect style="width:0;height:1.5pt" o:hralign="center" o:hrstd="t" o:hr="t"/>
        </w:pict>
      </w:r>
    </w:p>
    <w:bookmarkEnd w:id="58"/>
    <w:bookmarkStart w:id="61" w:name="anexos"/>
    <w:p>
      <w:pPr>
        <w:pStyle w:val="Heading1"/>
      </w:pPr>
      <w:r>
        <w:t xml:space="preserve">12. Anexos</w:t>
      </w:r>
    </w:p>
    <w:bookmarkStart w:id="59" w:name="anexo-a-índice-de-archivos-del-proyecto"/>
    <w:p>
      <w:pPr>
        <w:pStyle w:val="Heading2"/>
      </w:pPr>
      <w:r>
        <w:t xml:space="preserve">Anexo A — Índice de archivos del proyecto</w:t>
      </w:r>
    </w:p>
    <w:p>
      <w:pPr>
        <w:pStyle w:val="SourceCode"/>
      </w:pPr>
      <w:r>
        <w:rPr>
          <w:rStyle w:val="VerbatimChar"/>
        </w:rPr>
        <w:t xml:space="preserve">preuba-ia2/</w:t>
      </w:r>
      <w:r>
        <w:br/>
      </w:r>
      <w:r>
        <w:rPr>
          <w:rStyle w:val="VerbatimChar"/>
        </w:rPr>
        <w:t xml:space="preserve">├── README.md                          Índice general del proyecto</w:t>
      </w:r>
      <w:r>
        <w:br/>
      </w:r>
      <w:r>
        <w:rPr>
          <w:rStyle w:val="VerbatimChar"/>
        </w:rPr>
        <w:t xml:space="preserve">├── _kb/                               Base de conocimiento modular (fuente de síntesis)</w:t>
      </w:r>
      <w:r>
        <w:br/>
      </w:r>
      <w:r>
        <w:rPr>
          <w:rStyle w:val="VerbatimChar"/>
        </w:rPr>
        <w:t xml:space="preserve">│   ├── 00-enunciado.md                Resumen del examen y anexos</w:t>
      </w:r>
      <w:r>
        <w:br/>
      </w:r>
      <w:r>
        <w:rPr>
          <w:rStyle w:val="VerbatimChar"/>
        </w:rPr>
        <w:t xml:space="preserve">│   ├── 01-fundamentos-pds.md          Nyquist, DTFT/DFT/Z, fase lineal, SNR</w:t>
      </w:r>
      <w:r>
        <w:br/>
      </w:r>
      <w:r>
        <w:rPr>
          <w:rStyle w:val="VerbatimChar"/>
        </w:rPr>
        <w:t xml:space="preserve">│   ├── 02-fir.md                      Diseño FIR (ventanas, orden, H(z))</w:t>
      </w:r>
      <w:r>
        <w:br/>
      </w:r>
      <w:r>
        <w:rPr>
          <w:rStyle w:val="VerbatimChar"/>
        </w:rPr>
        <w:t xml:space="preserve">│   ├── 03-iir.md                      Diseño IIR (autoridad numérica del ejemplo)</w:t>
      </w:r>
      <w:r>
        <w:br/>
      </w:r>
      <w:r>
        <w:rPr>
          <w:rStyle w:val="VerbatimChar"/>
        </w:rPr>
        <w:t xml:space="preserve">│   ├── 04-criterios-diseno.md         Criterios FIR vs IIR, MACs, punto fijo</w:t>
      </w:r>
      <w:r>
        <w:br/>
      </w:r>
      <w:r>
        <w:rPr>
          <w:rStyle w:val="VerbatimChar"/>
        </w:rPr>
        <w:t xml:space="preserve">│   ├── 05-agente-ia.md                Agente de decisión (5 estrategias)</w:t>
      </w:r>
      <w:r>
        <w:br/>
      </w:r>
      <w:r>
        <w:rPr>
          <w:rStyle w:val="VerbatimChar"/>
        </w:rPr>
        <w:t xml:space="preserve">│   ├── 06-octave.md                   Referencia de herramientas Octave/MATLAB</w:t>
      </w:r>
      <w:r>
        <w:br/>
      </w:r>
      <w:r>
        <w:rPr>
          <w:rStyle w:val="VerbatimChar"/>
        </w:rPr>
        <w:t xml:space="preserve">│   └── 07-python.md                   Referencia de herramientas Python</w:t>
      </w:r>
      <w:r>
        <w:br/>
      </w:r>
      <w:r>
        <w:rPr>
          <w:rStyle w:val="VerbatimChar"/>
        </w:rPr>
        <w:t xml:space="preserve">├── entrega_octave/</w:t>
      </w:r>
      <w:r>
        <w:br/>
      </w:r>
      <w:r>
        <w:rPr>
          <w:rStyle w:val="VerbatimChar"/>
        </w:rPr>
        <w:t xml:space="preserve">│   ├── APUNTES_OCTAVE.md              Apuntes Octave/MATLAB (autónomos)</w:t>
      </w:r>
      <w:r>
        <w:br/>
      </w:r>
      <w:r>
        <w:rPr>
          <w:rStyle w:val="VerbatimChar"/>
        </w:rPr>
        <w:t xml:space="preserve">│   └── ejemplos/</w:t>
      </w:r>
      <w:r>
        <w:br/>
      </w:r>
      <w:r>
        <w:rPr>
          <w:rStyle w:val="VerbatimChar"/>
        </w:rPr>
        <w:t xml:space="preserve">│       ├── diseno_filtros.m           Diseño y análisis FIR/IIR (Figuras 1–4)</w:t>
      </w:r>
      <w:r>
        <w:br/>
      </w:r>
      <w:r>
        <w:rPr>
          <w:rStyle w:val="VerbatimChar"/>
        </w:rPr>
        <w:t xml:space="preserve">│       ├── procesar_senal.m           Filtrado de la señal + métricas (Figuras 5–6)</w:t>
      </w:r>
      <w:r>
        <w:br/>
      </w:r>
      <w:r>
        <w:rPr>
          <w:rStyle w:val="VerbatimChar"/>
        </w:rPr>
        <w:t xml:space="preserve">│       └── agente_decision.m          Agente experto IF-THEN en .m</w:t>
      </w:r>
      <w:r>
        <w:br/>
      </w:r>
      <w:r>
        <w:rPr>
          <w:rStyle w:val="VerbatimChar"/>
        </w:rPr>
        <w:t xml:space="preserve">├── entrega_python/</w:t>
      </w:r>
      <w:r>
        <w:br/>
      </w:r>
      <w:r>
        <w:rPr>
          <w:rStyle w:val="VerbatimChar"/>
        </w:rPr>
        <w:t xml:space="preserve">│   ├── APUNTES_PYTHON.md              Apuntes Python (autónomos)</w:t>
      </w:r>
      <w:r>
        <w:br/>
      </w:r>
      <w:r>
        <w:rPr>
          <w:rStyle w:val="VerbatimChar"/>
        </w:rPr>
        <w:t xml:space="preserve">│   └── ejemplos/</w:t>
      </w:r>
      <w:r>
        <w:br/>
      </w:r>
      <w:r>
        <w:rPr>
          <w:rStyle w:val="VerbatimChar"/>
        </w:rPr>
        <w:t xml:space="preserve">│       ├── diseno_filtros.py          Diseño y análisis FIR/IIR</w:t>
      </w:r>
      <w:r>
        <w:br/>
      </w:r>
      <w:r>
        <w:rPr>
          <w:rStyle w:val="VerbatimChar"/>
        </w:rPr>
        <w:t xml:space="preserve">│       ├── procesar_senal.py          Filtrado + métricas</w:t>
      </w:r>
      <w:r>
        <w:br/>
      </w:r>
      <w:r>
        <w:rPr>
          <w:rStyle w:val="VerbatimChar"/>
        </w:rPr>
        <w:t xml:space="preserve">│       ├── agente_decision.py         Agente (reglas / árbol / fuzzy / MLP)</w:t>
      </w:r>
      <w:r>
        <w:br/>
      </w:r>
      <w:r>
        <w:rPr>
          <w:rStyle w:val="VerbatimChar"/>
        </w:rPr>
        <w:t xml:space="preserve">│       ├── agente_llm.py              Agente vía API LLM Claude</w:t>
      </w:r>
      <w:r>
        <w:br/>
      </w:r>
      <w:r>
        <w:rPr>
          <w:rStyle w:val="VerbatimChar"/>
        </w:rPr>
        <w:t xml:space="preserve">│       └── requirements.txt           Dependencias del entorno virtual</w:t>
      </w:r>
      <w:r>
        <w:br/>
      </w:r>
      <w:r>
        <w:rPr>
          <w:rStyle w:val="VerbatimChar"/>
        </w:rPr>
        <w:t xml:space="preserve">├── entrega_embebido/                  Implementación en µC (C/MicroPython) [Paso 5]</w:t>
      </w:r>
      <w:r>
        <w:br/>
      </w:r>
      <w:r>
        <w:rPr>
          <w:rStyle w:val="VerbatimChar"/>
        </w:rPr>
        <w:t xml:space="preserve">└── informe/</w:t>
      </w:r>
      <w:r>
        <w:br/>
      </w:r>
      <w:r>
        <w:rPr>
          <w:rStyle w:val="VerbatimChar"/>
        </w:rPr>
        <w:t xml:space="preserve">    └── INFORME.md                     Este documento</w:t>
      </w:r>
    </w:p>
    <w:bookmarkEnd w:id="59"/>
    <w:bookmarkStart w:id="60" w:name="X30c31ec4bab959540cf3b64dee0a3be560e795a"/>
    <w:p>
      <w:pPr>
        <w:pStyle w:val="Heading2"/>
      </w:pPr>
      <w:r>
        <w:t xml:space="preserve">Anexo B — Mapeo a los entregables del examen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1"/>
        <w:gridCol w:w="3220"/>
        <w:gridCol w:w="2262"/>
        <w:gridCol w:w="21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Entregable (los 5 pasos del examen)</w:t>
            </w:r>
          </w:p>
        </w:tc>
        <w:tc>
          <w:tcPr/>
          <w:p>
            <w:pPr>
              <w:pStyle w:val="Compact"/>
            </w:pPr>
            <w:r>
              <w:t xml:space="preserve">Ubicación en el proyecto</w:t>
            </w:r>
          </w:p>
        </w:tc>
        <w:tc>
          <w:tcPr/>
          <w:p>
            <w:pPr>
              <w:pStyle w:val="Compact"/>
            </w:pPr>
            <w:r>
              <w:t xml:space="preserve">Sección de este informe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Análisis del problema y especificaciones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_kb/00,01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APUNTES_*</w:t>
            </w:r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Desarrollo matemático del diseño (FIR e IIR)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_kb/02,03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APUNTES_*</w:t>
            </w:r>
            <w:r>
              <w:t xml:space="preserve"> </w:t>
            </w:r>
            <w:r>
              <w:t xml:space="preserve">§4–§5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Simulación en MATLAB/Octave (gráficas + métricas)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entrega_octave/ejemplos/diseno_filtros.m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procesar_senal.m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Agente de decisión asistido por 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entrega_*/ejemplos/agente_decision.*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agente_llm.py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Implementación en microcontrolador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entrega_embebido/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Documento de síntesis Octave/MATLAB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entrega_octave/APUNTES_OCTAVE.md</w:t>
            </w:r>
          </w:p>
        </w:tc>
        <w:tc>
          <w:tcPr/>
          <w:p>
            <w:pPr>
              <w:pStyle w:val="Compact"/>
            </w:pPr>
            <w:r>
              <w:t xml:space="preserve">(transversal)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Documento de síntesis 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entrega_python/APUNTES_PYTHON.md</w:t>
            </w:r>
          </w:p>
        </w:tc>
        <w:tc>
          <w:tcPr/>
          <w:p>
            <w:pPr>
              <w:pStyle w:val="Compact"/>
            </w:pPr>
            <w:r>
              <w:t xml:space="preserve">(transversal)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Informe final integrador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informe/INFORME.md</w:t>
            </w:r>
          </w:p>
        </w:tc>
        <w:tc>
          <w:tcPr/>
          <w:p>
            <w:pPr>
              <w:pStyle w:val="Compact"/>
            </w:pPr>
            <w:r>
              <w:t xml:space="preserve">(este documento)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Informe final del Examen Parcial Integrador — Técnicas Digitales III (PDS / Filtrado Digital, 2026).</w:t>
      </w:r>
      <w:r>
        <w:t xml:space="preserve"> </w:t>
      </w:r>
      <w:r>
        <w:rPr>
          <w:i/>
          <w:iCs/>
        </w:rPr>
        <w:t xml:space="preserve">El PDF formal se genera con pandoc (Arial 11 pt, márgenes 2,5 cm) según el bloque de metadatos del</w:t>
      </w:r>
      <w:r>
        <w:rPr>
          <w:i/>
          <w:iCs/>
        </w:rPr>
        <w:t xml:space="preserve"> </w:t>
      </w:r>
      <w:r>
        <w:rPr>
          <w:i/>
          <w:iCs/>
        </w:rPr>
        <w:t xml:space="preserve">encabezado.</w:t>
      </w:r>
    </w:p>
    <w:bookmarkEnd w:id="60"/>
    <w:bookmarkEnd w:id="61"/>
    <w:sectPr>
      <w:footnotePr>
        <w:numRestart w:val="eachSect"/>
      </w:footnotePr>
      <w:pgSz w:w="11906" w:h="16838"/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bidi="ar-SA" w:eastAsia="zh-CN" w:val="en-US"/>
      </w:rPr>
    </w:rPrDefault>
    <w:pPrDefault>
      <w:pPr>
        <w:spacing w:after="16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2026-06-30T15:41:51Z</dcterms:created>
  <dcterms:modified xsi:type="dcterms:W3CDTF">2026-06-30T15:41:51Z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