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drawing>
          <wp:inline distT="0" distB="0" distL="0" distR="0">
            <wp:extent cx="3429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760"/>
        <w:jc w:val="center"/>
      </w:pPr>
      <w:r>
        <w:rPr>
          <w:b/>
          <w:bCs/>
          <w:color w:val="3C3489"/>
          <w:sz w:val="56"/>
          <w:szCs w:val="56"/>
        </w:rPr>
        <w:t xml:space="preserve">Variables del Modelo</w:t>
      </w:r>
    </w:p>
    <w:p>
      <w:pPr>
        <w:spacing w:after="60"/>
        <w:jc w:val="center"/>
      </w:pPr>
      <w:r>
        <w:rPr>
          <w:color w:val="6B4FD9"/>
          <w:sz w:val="28"/>
          <w:szCs w:val="28"/>
        </w:rPr>
        <w:t xml:space="preserve">Guía de variables calculadas y derivadas</w:t>
      </w:r>
    </w:p>
    <w:p>
      <w:pPr>
        <w:spacing w:after="40"/>
        <w:jc w:val="center"/>
      </w:pPr>
      <w:r>
        <w:rPr>
          <w:i/>
          <w:iCs/>
          <w:color w:val="64748B"/>
          <w:sz w:val="21"/>
          <w:szCs w:val="21"/>
        </w:rPr>
        <w:t xml:space="preserve">Sistema de Riesgo Crediticio Hipotecario · Prestanza</w:t>
      </w:r>
    </w:p>
    <w:p>
      <w:pPr>
        <w:spacing w:after="700" w:before="1100"/>
        <w:jc w:val="center"/>
      </w:pPr>
      <w:r>
        <w:rPr>
          <w:color w:val="1E293B"/>
          <w:sz w:val="18"/>
          <w:szCs w:val="18"/>
        </w:rPr>
        <w:t xml:space="preserve">Qué es cada variable, cómo se calcula, si es binaria o continua, y cómo leerla</w:t>
      </w:r>
    </w:p>
    <w:p>
      <w:pPr>
        <w:jc w:val="center"/>
      </w:pPr>
      <w:r>
        <w:rPr>
          <w:color w:val="1E293B"/>
          <w:sz w:val="20"/>
          <w:szCs w:val="20"/>
        </w:rPr>
        <w:t xml:space="preserve">2026 · v1.0</w:t>
      </w:r>
    </w:p>
    <w:p>
      <w:r>
        <w:br w:type="page"/>
      </w:r>
    </w:p>
    <w:p>
      <w:pPr>
        <w:sectPr>
          <w:pgSz w:w="12240" w:h="15840" w:orient="portrait"/>
          <w:pgMar w:top="1200" w:right="1440" w:bottom="1200" w:left="1440" w:header="708" w:footer="708" w:gutter="0"/>
          <w:pgNumType/>
          <w:docGrid w:linePitch="360"/>
        </w:sectPr>
      </w:pPr>
    </w:p>
    <w:p>
      <w:pPr>
        <w:pStyle w:val="Heading1"/>
        <w:spacing w:after="140" w:before="300"/>
      </w:pPr>
      <w:r>
        <w:rPr>
          <w:color w:val="3C3489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color w:val="3C3489"/>
        </w:rPr>
        <w:t xml:space="preserve">1. Por qué existe este documento</w:t>
      </w:r>
    </w:p>
    <w:p>
      <w:pPr>
        <w:spacing w:after="100" w:line="276"/>
        <w:jc w:val="both"/>
      </w:pPr>
      <w:r>
        <w:rPr>
          <w:color w:val="1E293B"/>
        </w:rPr>
        <w:t xml:space="preserve">El modelo no usa únicamente los datos tal como llegan. A partir de las variables originales (score, ingresos, monto, etc.), el sistema </w:t>
      </w:r>
      <w:r>
        <w:rPr>
          <w:b/>
          <w:bCs/>
          <w:color w:val="1E293B"/>
        </w:rPr>
        <w:t xml:space="preserve">calcula automáticamente</w:t>
      </w:r>
      <w:r>
        <w:rPr>
          <w:color w:val="1E293B"/>
        </w:rPr>
        <w:t xml:space="preserve"> nuevas variables: factores financieros, interacciones, transformaciones y banderas. Estas variables calculadas aparecen en la pestaña de EDA y en la importancia de los modelos, y a veces su nombre o su escala no es obvio.</w:t>
      </w:r>
    </w:p>
    <w:p>
      <w:pPr>
        <w:spacing w:after="100" w:line="276"/>
        <w:jc w:val="both"/>
      </w:pPr>
      <w:r>
        <w:rPr>
          <w:color w:val="1E293B"/>
        </w:rPr>
        <w:t xml:space="preserve">Este documento aclara, una por una, </w:t>
      </w:r>
      <w:r>
        <w:rPr>
          <w:b/>
          <w:bCs/>
          <w:color w:val="1E293B"/>
        </w:rPr>
        <w:t xml:space="preserve">qué es cada variable calculada, cómo se obtiene, de qué tipo es (binaria o continua) y cómo interpretarla</w:t>
      </w:r>
      <w:r>
        <w:rPr>
          <w:color w:val="1E293B"/>
        </w:rPr>
        <w:t xml:space="preserve"> en los gráficos. El objetivo es que ninguna variable quede ambigua.</w:t>
      </w:r>
    </w:p>
    <w:p>
      <w:pPr>
        <w:pStyle w:val="Heading2"/>
        <w:spacing w:after="100" w:before="220"/>
      </w:pPr>
      <w:r>
        <w:rPr>
          <w:color w:val="6B4FD9"/>
        </w:rPr>
        <w:t xml:space="preserve">1.1 La distinción clave: binaria vs continua</w:t>
      </w:r>
    </w:p>
    <w:p>
      <w:pPr>
        <w:spacing w:after="100" w:line="276"/>
        <w:jc w:val="both"/>
      </w:pPr>
      <w:r>
        <w:rPr>
          <w:color w:val="1E293B"/>
        </w:rPr>
        <w:t xml:space="preserve">Antes de entrar al detalle, conviene fijar la diferencia más importante, porque cambia por completo cómo se lee un gráfico de promedios: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valores toma</w:t>
            </w:r>
          </w:p>
        </w:tc>
        <w:tc>
          <w:tcPr>
            <w:tcW w:type="dxa" w:w="43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 se lee su promedio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 (bandera)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Solo 0 o 1</w:t>
            </w:r>
          </w:p>
        </w:tc>
        <w:tc>
          <w:tcPr>
            <w:tcW w:type="dxa" w:w="4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 promedio es una </w:t>
            </w:r>
            <w:r>
              <w:rPr>
                <w:b/>
                <w:bCs/>
                <w:color w:val="1E293B"/>
                <w:sz w:val="16"/>
                <w:szCs w:val="16"/>
              </w:rPr>
              <w:t xml:space="preserve">proporción</w:t>
            </w:r>
            <w:r>
              <w:rPr>
                <w:color w:val="1E293B"/>
                <w:sz w:val="16"/>
                <w:szCs w:val="16"/>
              </w:rPr>
              <w:t xml:space="preserve">: 0.25 = el 25% de los casos cumple la condición.</w:t>
            </w:r>
          </w:p>
        </w:tc>
      </w:tr>
      <w:tr>
        <w:tc>
          <w:tcPr>
            <w:tcW w:type="dxa" w:w="2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2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Cualquier número</w:t>
            </w:r>
          </w:p>
        </w:tc>
        <w:tc>
          <w:tcPr>
            <w:tcW w:type="dxa" w:w="43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 promedio es el </w:t>
            </w:r>
            <w:r>
              <w:rPr>
                <w:b/>
                <w:bCs/>
                <w:color w:val="1E293B"/>
                <w:sz w:val="16"/>
                <w:szCs w:val="16"/>
              </w:rPr>
              <w:t xml:space="preserve">valor medio real</w:t>
            </w:r>
            <w:r>
              <w:rPr>
                <w:color w:val="1E293B"/>
                <w:sz w:val="16"/>
                <w:szCs w:val="16"/>
              </w:rPr>
              <w:t xml:space="preserve"> de la variable en ese grupo.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7791F" w:sz="18"/>
              <w:bottom w:val="none"/>
              <w:right w:val="none"/>
            </w:tcBorders>
            <w:shd w:fill="FB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7791F"/>
              </w:rPr>
              <w:t xml:space="preserve">Regla práctica para los gráficos de “Promedio por calificación”</w:t>
            </w:r>
          </w:p>
          <w:p>
            <w:r>
              <w:rPr>
                <w:color w:val="1E293B"/>
              </w:rPr>
              <w:t xml:space="preserve">Si las barras nunca pasan de 1.0, la variable es binaria y su altura es un porcentaje. Si las barras superan 1 (llegan a 6, 15, etc.), es continua y su altura es el valor promedio real.</w:t>
            </w:r>
          </w:p>
        </w:tc>
      </w:tr>
    </w:tbl>
    <w:p>
      <w:pPr>
        <w:pStyle w:val="Heading2"/>
        <w:spacing w:after="100" w:before="220"/>
      </w:pPr>
      <w:r>
        <w:rPr>
          <w:color w:val="6B4FD9"/>
        </w:rPr>
        <w:t xml:space="preserve">1.2 El eje X de “Promedio por calificación”</w:t>
      </w:r>
    </w:p>
    <w:p>
      <w:pPr>
        <w:spacing w:after="100" w:line="276"/>
        <w:jc w:val="both"/>
      </w:pPr>
      <w:r>
        <w:rPr>
          <w:color w:val="1E293B"/>
        </w:rPr>
        <w:t xml:space="preserve">En ese gráfico, el </w:t>
      </w:r>
      <w:r>
        <w:rPr>
          <w:b/>
          <w:bCs/>
          <w:color w:val="1E293B"/>
        </w:rPr>
        <w:t xml:space="preserve">eje horizontal (X) siempre es la calificación del crédito</w:t>
      </w:r>
      <w:r>
        <w:rPr>
          <w:color w:val="1E293B"/>
        </w:rPr>
        <w:t xml:space="preserve"> (0 a 10), nunca la variable seleccionada. La variable que se elige en el menú va en la </w:t>
      </w:r>
      <w:r>
        <w:rPr>
          <w:b/>
          <w:bCs/>
          <w:color w:val="1E293B"/>
        </w:rPr>
        <w:t xml:space="preserve">altura</w:t>
      </w:r>
      <w:r>
        <w:rPr>
          <w:color w:val="1E293B"/>
        </w:rPr>
        <w:t xml:space="preserve"> de las barras. Es decir, el gráfico responde: “para los créditos con cada calificación, ¿cuál es el promedio de esta variable?”.</w:t>
      </w:r>
    </w:p>
    <w:p>
      <w:pPr>
        <w:spacing w:after="30" w:before="100"/>
        <w:jc w:val="center"/>
      </w:pPr>
      <w:r>
        <w:drawing>
          <wp:inline distT="0" distB="0" distL="0" distR="0">
            <wp:extent cx="3429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6"/>
          <w:szCs w:val="16"/>
        </w:rPr>
        <w:t xml:space="preserve">Figura 1. La variable elegida va en la altura; el eje X es la calificación.</w:t>
      </w:r>
    </w:p>
    <w:p>
      <w:pPr>
        <w:pStyle w:val="Heading1"/>
        <w:spacing w:after="140" w:before="300"/>
      </w:pPr>
      <w:r>
        <w:rPr>
          <w:color w:val="3C3489"/>
        </w:rPr>
        <w:t xml:space="preserve">2. Factores financieros (derivados)</w:t>
      </w:r>
    </w:p>
    <w:p>
      <w:pPr>
        <w:spacing w:after="100" w:line="276"/>
        <w:jc w:val="both"/>
      </w:pPr>
      <w:r>
        <w:rPr>
          <w:color w:val="1E293B"/>
        </w:rPr>
        <w:t xml:space="preserve">Son cocientes entre variables originales que capturan relaciones financieras. Todos son </w:t>
      </w:r>
      <w:r>
        <w:rPr>
          <w:b/>
          <w:bCs/>
          <w:color w:val="1E293B"/>
        </w:rPr>
        <w:t xml:space="preserve">continuos</w:t>
      </w:r>
      <w:r>
        <w:rPr>
          <w:color w:val="1E293B"/>
        </w:rPr>
        <w:t xml:space="preserve"> y se calculan con </w:t>
      </w:r>
      <w:r>
        <w:rPr>
          <w:b/>
          <w:bCs/>
          <w:color w:val="1E293B"/>
        </w:rPr>
        <w:t xml:space="preserve">división segura</w:t>
      </w:r>
      <w:r>
        <w:rPr>
          <w:color w:val="1E293B"/>
        </w:rPr>
        <w:t xml:space="preserve"> (si el denominador es 0, el resultado es 0, para evitar errores). Se calculan en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calcular_variables_derivadas</w:t>
      </w:r>
      <w:r>
        <w:rPr>
          <w:color w:val="1E293B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equityFactor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patrimonio / monto del crédito</w:t>
            </w:r>
            <w:r>
              <w:rPr>
                <w:color w:val="1E293B"/>
              </w:rPr>
              <w:t xml:space="preserve">  (tax_report_total_equity_value ÷ original_amount)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Cuánto respalda el patrimonio al crédito. Mayor = más respaldo. Un valor de 2 significa que el patrimonio es el doble del monto solicitado.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quotefactor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(ingreso anual / 12) / cuota mensual</w:t>
            </w:r>
            <w:r>
              <w:rPr>
                <w:color w:val="1E293B"/>
              </w:rPr>
              <w:t xml:space="preserve">  (tax_report_total_income_value÷12 ÷ value_monthly_payments)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Capacidad de pago: cuántas veces el ingreso mensual cubre la cuota. Mayor = más holgura para pagar.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LTVfactor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monto del crédito / valor de la garantía</w:t>
            </w:r>
            <w:r>
              <w:rPr>
                <w:color w:val="1E293B"/>
              </w:rPr>
              <w:t xml:space="preserve">  (original_amount ÷ collateral_commercial_value)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Loan-to-Value: qué fracción del valor de la garantía se está prestando. </w:t>
            </w:r>
            <w:r>
              <w:rPr>
                <w:b/>
                <w:bCs/>
                <w:color w:val="1E293B"/>
              </w:rPr>
              <w:t xml:space="preserve">Menor es mejor</w:t>
            </w:r>
            <w:r>
              <w:rPr>
                <w:color w:val="1E293B"/>
              </w:rPr>
              <w:t xml:space="preserve"> (más garantía respecto al préstamo).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bank_inflow_factor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ingresos bancarios mensuales / cuota</w:t>
            </w:r>
            <w:r>
              <w:rPr>
                <w:color w:val="1E293B"/>
              </w:rPr>
              <w:t xml:space="preserve">  (bank_monthly_avg_credit_value ÷ value_monthly_payments)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Cuántas veces los ingresos que entran al banco cubren la cuota. Mayor = mejor flujo de caja.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bank_average_factor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saldo bancario promedio / cuota</w:t>
            </w:r>
            <w:r>
              <w:rPr>
                <w:color w:val="1E293B"/>
              </w:rPr>
              <w:t xml:space="preserve">  (bank_monthly_avg_blance ÷ value_monthly_payments)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Colchón de liquidez: cuántas cuotas cubre el saldo promedio en el banco. Mayor = más respaldo líquido.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creditos_cerrados_factor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(valor créditos cerrados × 1000 / monto) − 1</w:t>
            </w:r>
            <w:r>
              <w:rPr>
                <w:color w:val="1E293B"/>
              </w:rPr>
              <w:t xml:space="preserve">  (debtor_closed_loan_value)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Historial de crédito relativo al monto actual. Refleja la experiencia previa de endeudamiento del deudor.</w:t>
            </w:r>
          </w:p>
        </w:tc>
      </w:tr>
    </w:tbl>
    <w:p>
      <w:pPr>
        <w:pStyle w:val="Heading1"/>
        <w:spacing w:after="140" w:before="300"/>
      </w:pPr>
      <w:r>
        <w:rPr>
          <w:color w:val="3C3489"/>
        </w:rPr>
        <w:t xml:space="preserve">3. Transformaciones logarítmicas</w:t>
      </w:r>
    </w:p>
    <w:p>
      <w:pPr>
        <w:spacing w:after="100" w:line="276"/>
        <w:jc w:val="both"/>
      </w:pPr>
      <w:r>
        <w:rPr>
          <w:color w:val="1E293B"/>
        </w:rPr>
        <w:t xml:space="preserve">Para las variables de </w:t>
      </w:r>
      <w:r>
        <w:rPr>
          <w:b/>
          <w:bCs/>
          <w:color w:val="1E293B"/>
        </w:rPr>
        <w:t xml:space="preserve">dinero</w:t>
      </w:r>
      <w:r>
        <w:rPr>
          <w:color w:val="1E293B"/>
        </w:rPr>
        <w:t xml:space="preserve"> (montos, ingresos, patrimonio, saldos), el sistema crea además una versión logarítmica con el prefijo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log_</w:t>
      </w:r>
      <w:r>
        <w:rPr>
          <w:color w:val="1E293B"/>
        </w:rPr>
        <w:t xml:space="preserve">. Son </w:t>
      </w:r>
      <w:r>
        <w:rPr>
          <w:b/>
          <w:bCs/>
          <w:color w:val="1E293B"/>
        </w:rPr>
        <w:t xml:space="preserve">continuas</w:t>
      </w:r>
      <w:r>
        <w:rPr>
          <w:color w:val="1E293B"/>
        </w:rPr>
        <w:t xml:space="preserve">.</w:t>
      </w:r>
    </w:p>
    <w:p>
      <w:pPr>
        <w:spacing w:after="100" w:line="276"/>
        <w:jc w:val="both"/>
      </w:pPr>
      <w:r>
        <w:rPr>
          <w:color w:val="1E293B"/>
        </w:rPr>
        <w:t xml:space="preserve">Se calculan con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log(1 + valor)</w:t>
      </w:r>
      <w:r>
        <w:rPr>
          <w:color w:val="1E293B"/>
        </w:rPr>
        <w:t xml:space="preserve"> (la función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log1p</w:t>
      </w:r>
      <w:r>
        <w:rPr>
          <w:color w:val="1E293B"/>
        </w:rPr>
        <w:t xml:space="preserve">, que maneja bien el cero). Por ejemplo,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log_original_amount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log_tax_report_total_income_value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log_bank_monthly_avg_blance</w:t>
      </w:r>
      <w:r>
        <w:rPr>
          <w:color w:val="1E293B"/>
        </w:rPr>
        <w:t xml:space="preserve">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4FD9" w:sz="18"/>
              <w:bottom w:val="none"/>
              <w:right w:val="none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C3489"/>
              </w:rPr>
              <w:t xml:space="preserve">Por qué se hace esto</w:t>
            </w:r>
          </w:p>
          <w:p>
            <w:r>
              <w:rPr>
                <w:color w:val="1E293B"/>
              </w:rPr>
              <w:t xml:space="preserve">Los montos de dinero tienen rangos enormes (de miles a miles de millones) y distribuciones muy sesgadas. El logaritmo comprime esa escala, evita que unos pocos valores gigantes dominen el modelo, y suele mejorar el desempeño de los modelos lineales. No cambian el significado de la variable, solo su escala.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original</w:t>
            </w:r>
          </w:p>
        </w:tc>
        <w:tc>
          <w:tcPr>
            <w:tcW w:type="dxa" w:w="468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Versión logarítmica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original_amount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log_original_amount</w:t>
            </w:r>
          </w:p>
        </w:tc>
      </w:tr>
      <w:tr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collateral_commercial_value</w:t>
            </w:r>
          </w:p>
        </w:tc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log_collateral_commercial_value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tax_report_total_income_value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log_tax_report_total_income_value</w:t>
            </w:r>
          </w:p>
        </w:tc>
      </w:tr>
      <w:tr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tax_report_total_equity_value</w:t>
            </w:r>
          </w:p>
        </w:tc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log_tax_report_total_equity_value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bank_monthly_avg_blance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log_bank_monthly_avg_blance</w:t>
            </w:r>
          </w:p>
        </w:tc>
      </w:tr>
      <w:tr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bank_monthly_avg_credit_value</w:t>
            </w:r>
          </w:p>
        </w:tc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log_bank_monthly_avg_credit_value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value_monthly_payments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log_value_monthly_payments</w:t>
            </w:r>
          </w:p>
        </w:tc>
      </w:tr>
      <w:tr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debtor_closed_loan_value</w:t>
            </w:r>
          </w:p>
        </w:tc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log_debtor_closed_loan_value</w:t>
            </w:r>
          </w:p>
        </w:tc>
      </w:tr>
    </w:tbl>
    <w:p>
      <w:pPr>
        <w:pStyle w:val="Heading1"/>
        <w:spacing w:after="140" w:before="300"/>
      </w:pPr>
      <w:r>
        <w:rPr>
          <w:color w:val="3C3489"/>
        </w:rPr>
        <w:t xml:space="preserve">4. Interacciones y combinaciones</w:t>
      </w:r>
    </w:p>
    <w:p>
      <w:pPr>
        <w:spacing w:after="100" w:line="276"/>
        <w:jc w:val="both"/>
      </w:pPr>
      <w:r>
        <w:rPr>
          <w:color w:val="1E293B"/>
        </w:rPr>
        <w:t xml:space="preserve">Combinan dos variables para capturar efectos conjuntos que ninguna explica por separado. Son </w:t>
      </w:r>
      <w:r>
        <w:rPr>
          <w:b/>
          <w:bCs/>
          <w:color w:val="1E293B"/>
        </w:rPr>
        <w:t xml:space="preserve">continuas</w:t>
      </w:r>
      <w:r>
        <w:rPr>
          <w:color w:val="1E293B"/>
        </w:rPr>
        <w:t xml:space="preserve">. Se generan en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ingenieria_features</w:t>
      </w:r>
      <w:r>
        <w:rPr>
          <w:color w:val="1E293B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score_x_educacion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score crediticio × nivel educativo ordinal</w:t>
            </w:r>
            <w:r>
              <w:rPr>
                <w:color w:val="1E293B"/>
              </w:rPr>
              <w:t xml:space="preserve">  (debtor_credit_score × debtor_education_ordinal)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Efecto conjunto de score y educación. Un score alto en alguien con más educación pesa distinto que el mismo score con menos educación. Por eso un valor de ~3552 (visto en los gráficos) sale de multiplicar, p. ej., un score de ~592 por una educación de 6 (pregrado).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score_x_quote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score crediticio × quotefactor</w:t>
            </w:r>
            <w:r>
              <w:rPr>
                <w:color w:val="1E293B"/>
              </w:rPr>
              <w:t xml:space="preserve">  (debtor_credit_score × capacidad de pago)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Cruza la calidad crediticia con la capacidad de pago. Alto cuando ambas son buenas a la vez.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solvencia_bancaria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bank_inflow_factor + bank_average_factor</w:t>
            </w:r>
            <w:r>
              <w:rPr>
                <w:color w:val="1E293B"/>
              </w:rPr>
              <w:t xml:space="preserve">  (suma de los dos factores bancarios)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Solvencia total respecto a la cuota: combina el flujo de ingresos y el colchón de saldo. </w:t>
            </w:r>
            <w:r>
              <w:rPr>
                <w:b/>
                <w:bCs/>
                <w:color w:val="1E293B"/>
              </w:rPr>
              <w:t xml:space="preserve">No es binaria</w:t>
            </w:r>
            <w:r>
              <w:rPr>
                <w:color w:val="1E293B"/>
              </w:rPr>
              <w:t xml:space="preserve">: puede valer 2.3, 6.7, 15, etc. Por eso en los gráficos sus barras superan 1.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equity_sobre_ltv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equityFactor / (LTVfactor + ε)</w:t>
            </w:r>
            <w:r>
              <w:rPr>
                <w:color w:val="1E293B"/>
              </w:rPr>
              <w:t xml:space="preserve">  (respaldo patrimonial ÷ apalancamiento)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Relaciona el respaldo patrimonial con el nivel de apalancamiento. Mayor = perfil más sólido (mucho patrimonio, poco préstamo respecto a la garantía).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7791F" w:sz="18"/>
              <w:bottom w:val="none"/>
              <w:right w:val="none"/>
            </w:tcBorders>
            <w:shd w:fill="FB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7791F"/>
              </w:rPr>
              <w:t xml:space="preserve">Sobre solvencia_bancaria y los promedios engañosos</w:t>
            </w:r>
          </w:p>
          <w:p>
            <w:r>
              <w:rPr>
                <w:color w:val="1E293B"/>
              </w:rPr>
              <w:t xml:space="preserve">Como se vio en la interfaz, esta variable puede mostrar su barra más alta en una calificación mala. Eso no significa que solvencia y riesgo vayan juntos: suele deberse a que esa calificación tiene muy pocos créditos y un valor atípico (un deudor con mucho saldo) infla el promedio. Siempre conviene mirar cuántos casos hay en cada calificación antes de concluir.</w:t>
            </w:r>
          </w:p>
        </w:tc>
      </w:tr>
    </w:tbl>
    <w:p>
      <w:pPr>
        <w:pStyle w:val="Heading1"/>
        <w:spacing w:after="140" w:before="300"/>
      </w:pPr>
      <w:r>
        <w:rPr>
          <w:color w:val="3C3489"/>
        </w:rPr>
        <w:t xml:space="preserve">5. Banderas (variables binarias)</w:t>
      </w:r>
    </w:p>
    <w:p>
      <w:pPr>
        <w:spacing w:after="100" w:line="276"/>
        <w:jc w:val="both"/>
      </w:pPr>
      <w:r>
        <w:rPr>
          <w:color w:val="1E293B"/>
        </w:rPr>
        <w:t xml:space="preserve">Marcan si se cumple una condición. Solo valen </w:t>
      </w:r>
      <w:r>
        <w:rPr>
          <w:b/>
          <w:bCs/>
          <w:color w:val="1E293B"/>
        </w:rPr>
        <w:t xml:space="preserve">0 o 1</w:t>
      </w:r>
      <w:r>
        <w:rPr>
          <w:color w:val="1E293B"/>
        </w:rPr>
        <w:t xml:space="preserve">. En los gráficos de promedio, su altura es la </w:t>
      </w:r>
      <w:r>
        <w:rPr>
          <w:b/>
          <w:bCs/>
          <w:color w:val="1E293B"/>
        </w:rPr>
        <w:t xml:space="preserve">proporción</w:t>
      </w:r>
      <w:r>
        <w:rPr>
          <w:color w:val="1E293B"/>
        </w:rPr>
        <w:t xml:space="preserve"> de créditos que cumplen la condición (nunca pasa de 1.0). Se generan en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ingenieria_features</w:t>
      </w:r>
      <w:r>
        <w:rPr>
          <w:color w:val="1E293B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2700"/>
        <w:gridCol w:w="3500"/>
        <w:gridCol w:w="3160"/>
      </w:tblGrid>
      <w:tr>
        <w:trPr>
          <w:tblHeader/>
        </w:trPr>
        <w:tc>
          <w:tcPr>
            <w:tcW w:type="dxa" w:w="27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5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 1 si…</w:t>
            </w:r>
          </w:p>
        </w:tc>
        <w:tc>
          <w:tcPr>
            <w:tcW w:type="dxa" w:w="31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 0 si…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score_alto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 score es ≥ 700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 score es menor a 700</w:t>
            </w:r>
          </w:p>
        </w:tc>
      </w:tr>
      <w:tr>
        <w:tc>
          <w:tcPr>
            <w:tcW w:type="dxa" w:w="27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score_bajo</w:t>
            </w:r>
          </w:p>
        </w:tc>
        <w:tc>
          <w:tcPr>
            <w:tcW w:type="dxa" w:w="35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 score es &lt; 550</w:t>
            </w:r>
          </w:p>
        </w:tc>
        <w:tc>
          <w:tcPr>
            <w:tcW w:type="dxa" w:w="3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 score es 550 o más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flag_demandas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tiene alguna demanda registrada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no tiene demandas</w:t>
            </w:r>
          </w:p>
        </w:tc>
      </w:tr>
      <w:tr>
        <w:tc>
          <w:tcPr>
            <w:tcW w:type="dxa" w:w="27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flag_demanda_dinero</w:t>
            </w:r>
          </w:p>
        </w:tc>
        <w:tc>
          <w:tcPr>
            <w:tcW w:type="dxa" w:w="35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tiene demandas por dinero</w:t>
            </w:r>
          </w:p>
        </w:tc>
        <w:tc>
          <w:tcPr>
            <w:tcW w:type="dxa" w:w="3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no tiene demandas por dinero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flag_tiene_propiedades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tiene propiedades estimadas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no tiene propiedades</w:t>
            </w:r>
          </w:p>
        </w:tc>
      </w:tr>
      <w:tr>
        <w:tc>
          <w:tcPr>
            <w:tcW w:type="dxa" w:w="27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flag_historial_similar</w:t>
            </w:r>
          </w:p>
        </w:tc>
        <w:tc>
          <w:tcPr>
            <w:tcW w:type="dxa" w:w="35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tiene créditos similares cerrados</w:t>
            </w:r>
          </w:p>
        </w:tc>
        <w:tc>
          <w:tcPr>
            <w:tcW w:type="dxa" w:w="3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no tiene historial similar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0B981" w:sz="18"/>
              <w:bottom w:val="none"/>
              <w:right w:val="none"/>
            </w:tcBorders>
            <w:shd w:fill="E7F7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6E56"/>
              </w:rPr>
              <w:t xml:space="preserve">Cómo leer una bandera en el gráfico</w:t>
            </w:r>
          </w:p>
          <w:p>
            <w:r>
              <w:rPr>
                <w:color w:val="1E293B"/>
              </w:rPr>
              <w:t xml:space="preserve">Ejemplo con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score_bajo</w:t>
            </w:r>
            <w:r>
              <w:rPr>
                <w:color w:val="1E293B"/>
              </w:rPr>
              <w:t xml:space="preserve">: si en la calificación 4 la barra está en 1.0, significa que el 100% de esos créditos tienen score bajo; si en la calificación 10 está en 0.10, solo el 10% lo tiene. El patrón típico —barras altas en notas malas y bajas en notas buenas— confirma que la variable se comporta con lógica de crédito.</w:t>
            </w:r>
          </w:p>
        </w:tc>
      </w:tr>
    </w:tbl>
    <w:p>
      <w:pPr>
        <w:spacing w:after="100" w:line="276"/>
        <w:jc w:val="both"/>
      </w:pPr>
      <w:r>
        <w:rPr>
          <w:b/>
          <w:bCs/>
          <w:color w:val="1E293B"/>
        </w:rPr>
        <w:t xml:space="preserve">Por qué se crean estas banderas</w:t>
      </w:r>
      <w:r>
        <w:rPr>
          <w:color w:val="1E293B"/>
        </w:rPr>
        <w:t xml:space="preserve">: a veces lo relevante no es el valor exacto sino </w:t>
      </w:r>
      <w:r>
        <w:rPr>
          <w:b/>
          <w:bCs/>
          <w:color w:val="1E293B"/>
        </w:rPr>
        <w:t xml:space="preserve">cruzar un umbral</w:t>
      </w:r>
      <w:r>
        <w:rPr>
          <w:color w:val="1E293B"/>
        </w:rPr>
        <w:t xml:space="preserve">. Un modelo puede aprender mejor “¿el score está por debajo de 550?” que el número crudo. Por eso, junto al score real (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debtor_credit_score</w:t>
      </w:r>
      <w:r>
        <w:rPr>
          <w:color w:val="1E293B"/>
        </w:rPr>
        <w:t xml:space="preserve">) se agregan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score_alto</w:t>
      </w:r>
      <w:r>
        <w:rPr>
          <w:color w:val="1E293B"/>
        </w:rPr>
        <w:t xml:space="preserve"> y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score_bajo</w:t>
      </w:r>
      <w:r>
        <w:rPr>
          <w:color w:val="1E293B"/>
        </w:rPr>
        <w:t xml:space="preserve">.</w:t>
      </w:r>
    </w:p>
    <w:p>
      <w:pPr>
        <w:pStyle w:val="Heading1"/>
        <w:spacing w:after="140" w:before="300"/>
      </w:pPr>
      <w:r>
        <w:rPr>
          <w:color w:val="3C3489"/>
        </w:rPr>
        <w:t xml:space="preserve">6. Caso especial: nivel educativo</w:t>
      </w:r>
    </w:p>
    <w:p>
      <w:pPr>
        <w:spacing w:after="100" w:line="276"/>
        <w:jc w:val="both"/>
      </w:pPr>
      <w:r>
        <w:rPr>
          <w:color w:val="1E293B"/>
        </w:rPr>
        <w:t xml:space="preserve">El nivel educativo llega como texto (bachillerato, pregrado…) y el modelo necesita números. Por eso se convierte a un valor </w:t>
      </w:r>
      <w:r>
        <w:rPr>
          <w:b/>
          <w:bCs/>
          <w:color w:val="1E293B"/>
        </w:rPr>
        <w:t xml:space="preserve">ordinal</w:t>
      </w:r>
      <w:r>
        <w:rPr>
          <w:color w:val="1E293B"/>
        </w:rPr>
        <w:t xml:space="preserve"> (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debtor_education_ordinal</w:t>
      </w:r>
      <w:r>
        <w:rPr>
          <w:color w:val="1E293B"/>
        </w:rPr>
        <w:t xml:space="preserve">) que respeta el orden: a mayor estudio, mayor número. Es </w:t>
      </w:r>
      <w:r>
        <w:rPr>
          <w:b/>
          <w:bCs/>
          <w:color w:val="1E293B"/>
        </w:rPr>
        <w:t xml:space="preserve">continua</w:t>
      </w:r>
      <w:r>
        <w:rPr>
          <w:color w:val="1E293B"/>
        </w:rPr>
        <w:t xml:space="preserve"> en la práctica (se trata como número ordenado).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100"/>
        <w:gridCol w:w="1500"/>
        <w:gridCol w:w="3100"/>
        <w:gridCol w:w="1660"/>
      </w:tblGrid>
      <w:tr>
        <w:trPr>
          <w:tblHeader/>
        </w:trPr>
        <w:tc>
          <w:tcPr>
            <w:tcW w:type="dxa" w:w="31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 educativo</w:t>
            </w:r>
          </w:p>
        </w:tc>
        <w:tc>
          <w:tcPr>
            <w:tcW w:type="dxa" w:w="15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1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 educativo</w:t>
            </w:r>
          </w:p>
        </w:tc>
        <w:tc>
          <w:tcPr>
            <w:tcW w:type="dxa" w:w="16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sin estudio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pregrado</w:t>
            </w:r>
          </w:p>
        </w:tc>
        <w:tc>
          <w:tcPr>
            <w:tcW w:type="dxa" w:w="1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31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primaria</w:t>
            </w:r>
          </w:p>
        </w:tc>
        <w:tc>
          <w:tcPr>
            <w:tcW w:type="dxa" w:w="15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31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especialización</w:t>
            </w:r>
          </w:p>
        </w:tc>
        <w:tc>
          <w:tcPr>
            <w:tcW w:type="dxa" w:w="16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bachillerato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3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maestría</w:t>
            </w:r>
          </w:p>
        </w:tc>
        <w:tc>
          <w:tcPr>
            <w:tcW w:type="dxa" w:w="1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1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técnico profesional</w:t>
            </w:r>
          </w:p>
        </w:tc>
        <w:tc>
          <w:tcPr>
            <w:tcW w:type="dxa" w:w="15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31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doctorado</w:t>
            </w:r>
          </w:p>
        </w:tc>
        <w:tc>
          <w:tcPr>
            <w:tcW w:type="dxa" w:w="16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tecnológico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5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  <w:tc>
          <w:tcPr>
            <w:tcW w:type="dxa" w:w="1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4FD9" w:sz="18"/>
              <w:bottom w:val="none"/>
              <w:right w:val="none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C3489"/>
              </w:rPr>
              <w:t xml:space="preserve">Por eso ves números en vez de “bachiller” o “pregrado”</w:t>
            </w:r>
          </w:p>
          <w:p>
            <w:r>
              <w:rPr>
                <w:color w:val="1E293B"/>
              </w:rPr>
              <w:t xml:space="preserve">Cuando seleccionas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debtor_education_ordinal</w:t>
            </w:r>
            <w:r>
              <w:rPr>
                <w:color w:val="1E293B"/>
              </w:rPr>
              <w:t xml:space="preserve"> en el gráfico, las barras muestran el nivel educativo PROMEDIO como número: una barra de altura 6 significa “en promedio, pregrado”; una de 3.5, “entre bachillerato y técnico”. Para ver la distribución por nombre de nivel, está la torta “Nivel de educación” en la misma pestaña de EDA.</w:t>
            </w:r>
          </w:p>
        </w:tc>
      </w:tr>
    </w:tbl>
    <w:p>
      <w:pPr>
        <w:pStyle w:val="Heading1"/>
        <w:spacing w:after="140" w:before="300"/>
      </w:pPr>
      <w:r>
        <w:rPr>
          <w:color w:val="3C3489"/>
        </w:rPr>
        <w:t xml:space="preserve">7. Tabla resumen</w:t>
      </w:r>
    </w:p>
    <w:p>
      <w:pPr>
        <w:spacing w:after="100" w:line="276"/>
        <w:jc w:val="both"/>
      </w:pPr>
      <w:r>
        <w:rPr>
          <w:color w:val="1E293B"/>
        </w:rPr>
        <w:t xml:space="preserve">Referencia rápida de todas las variables calculadas y su tipo: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400"/>
        <w:gridCol w:w="2160"/>
        <w:gridCol w:w="3800"/>
      </w:tblGrid>
      <w:tr>
        <w:trPr>
          <w:tblHeader/>
        </w:trPr>
        <w:tc>
          <w:tcPr>
            <w:tcW w:type="dxa" w:w="34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1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8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mide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equityFactor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Patrimonio ÷ monto.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quotefactor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Capacidad de pago.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LTVfactor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Monto ÷ garantía (menor mejor).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bank_inflow_factor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Ingresos banco ÷ cuota.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bank_average_factor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Saldo banco ÷ cuota.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creditos_cerrados_factor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Historial de crédito relativo.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log_* (8 variables)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Versión logarítmica de montos.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score_x_educacion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 × educación.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score_x_quote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 × capacidad de pago.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solvencia_bancaria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Suma de factores bancarios.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equity_sobre_ltv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Patrimonio ÷ apalancamiento.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debtor_education_ordinal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 (ordinal)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Educación como número 1–9.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score_alto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 si score ≥ 700.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score_bajo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 si score &lt; 550.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flag_demandas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 si tiene demandas.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flag_demanda_dinero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 si tiene demandas por dinero.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flag_tiene_propiedades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 si tiene propiedades.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flag_historial_similar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 si tiene créditos similares.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64748B"/>
          <w:sz w:val="18"/>
          <w:szCs w:val="18"/>
        </w:rPr>
        <w:t xml:space="preserve">— Fin del documento de variables —</w:t>
      </w:r>
    </w:p>
    <w:sectPr>
      <w:headerReference w:type="default" r:id="rId7"/>
      <w:footerReference w:type="default" r:id="rId8"/>
      <w:pgSz w:w="12240" w:h="15840" w:orient="portrait"/>
      <w:pgMar w:top="1700" w:right="1440" w:bottom="1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30"/>
      <w:jc w:val="center"/>
    </w:pPr>
    <w:r>
      <w:drawing>
        <wp:inline distT="0" distB="0" distL="0" distR="0">
          <wp:extent cx="4476750" cy="314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4748B"/>
        <w:sz w:val="14"/>
        <w:szCs w:val="14"/>
      </w:rPr>
      <w:t xml:space="preserve">Variables del modelo · Sistema de Riesgo Crediticio · Página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333500" cy="314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6B4FD9" w:sz="6" w:space="1"/>
      </w:pBdr>
      <w:spacing w:before="3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3C348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6B4F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b2859df6229e69f1845449fa18d9f4ba712d32.png"/><Relationship Id="rId10" Type="http://schemas.openxmlformats.org/officeDocument/2006/relationships/image" Target="media/00352ed52ef3afe38f16e806dc677d13065767a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83362366e008a72658b50c0ebf746950ea4440f9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b2859df6229e69f1845449fa18d9f4ba712d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2026-06-24T20:35:41.869Z</dcterms:created>
  <dcterms:modified xsi:type="dcterms:W3CDTF">2026-06-24T20:35:41.880Z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