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W w:w="936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0"/>
      </w:tblGrid>
      <w:tr>
        <w:tc>
          <w:tcPr>
            <w:tcW w:w="9360" w:type="dxa"/>
            <w:shd w:val="clear" w:color="auto" w:fill="0A1525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bottom w:w="180" w:type="dxa"/>
              <w:left w:w="220" w:type="dxa"/>
              <w:right w:w="220" w:type="dxa"/>
            </w:tcMar>
          </w:tcPr>
          <w:p>
            <w:r>
              <w:rPr>
                <w:rFonts w:ascii="Courier New" w:hAnsi="Courier New"/>
                <w:b w:val="0"/>
                <w:color w:val="6B7280"/>
                <w:sz w:val="16"/>
              </w:rPr>
              <w:t>TrazaUrbana  ·  Jalisco AMG  ·  Propuesta de módulo</w:t>
            </w:r>
          </w:p>
          <w:p>
            <w:r>
              <w:rPr>
                <w:rFonts w:ascii="Segoe UI" w:hAnsi="Segoe UI"/>
                <w:b/>
                <w:color w:val="FFFFFF"/>
                <w:sz w:val="40"/>
              </w:rPr>
              <w:t xml:space="preserve">M11 — Corrida Financiera de Inversión </w:t>
            </w:r>
            <w:r>
              <w:rPr>
                <w:rFonts w:ascii="Segoe UI" w:hAnsi="Segoe UI"/>
                <w:b/>
                <w:color w:val="D85A30"/>
                <w:sz w:val="40"/>
              </w:rPr>
              <w:t>Inmobiliaria</w:t>
            </w:r>
          </w:p>
          <w:p>
            <w:pPr>
              <w:spacing w:after="160"/>
            </w:pPr>
            <w:r>
              <w:rPr>
                <w:rFonts w:ascii="Segoe UI" w:hAnsi="Segoe UI"/>
                <w:b w:val="0"/>
                <w:color w:val="9CA3AF"/>
                <w:sz w:val="20"/>
              </w:rPr>
              <w:t>Análisis de factibilidad y pro forma para proyectos de desarrollo en el AMG</w:t>
            </w:r>
          </w:p>
          <w:p>
            <w:r>
              <w:rPr>
                <w:rFonts w:ascii="Courier New" w:hAnsi="Courier New"/>
                <w:b w:val="0"/>
                <w:color w:val="6B7280"/>
                <w:sz w:val="16"/>
              </w:rPr>
              <w:t>Residencial  ·  Bodega / Industrial  ·  Parque Industrial  ·  Comercial  ·  TIR · VPN · Flujo  ·  Express + Pro</w:t>
            </w:r>
          </w:p>
        </w:tc>
      </w:tr>
    </w:tbl>
    <w:p>
      <w:pPr>
        <w:spacing w:before="280" w:after="120"/>
        <w:pBdr>
          <w:bottom w:val="single" w:sz="4" w:color="E2E8F0"/>
        </w:pBdr>
      </w:pPr>
      <w:r>
        <w:rPr>
          <w:rFonts w:ascii="Courier New" w:hAnsi="Courier New"/>
          <w:b/>
          <w:color w:val="94A3B8"/>
          <w:sz w:val="16"/>
        </w:rPr>
        <w:t>¿QUÉ HACE ESTE MÓDULO?</w:t>
      </w:r>
    </w:p>
    <w:p>
      <w:pPr>
        <w:spacing w:after="200"/>
      </w:pPr>
      <w:r>
        <w:rPr>
          <w:rFonts w:ascii="Segoe UI" w:hAnsi="Segoe UI"/>
          <w:b w:val="0"/>
          <w:color w:val="475569"/>
          <w:sz w:val="21"/>
        </w:rPr>
        <w:t xml:space="preserve">El módulo M11 permite evaluar la viabilidad financiera de un proyecto inmobiliario ingresando los datos del terreno, construcción, costos indirectos, financiamiento e ingresos proyectados. Genera de forma automática los indicadores clave de rentabilidad (TIR, VPN, margen, payback) y un flujo de caja mensual, sin necesidad de hojas de cálculo ni fórmulas manuales. Funciona en dos modos: </w:t>
      </w:r>
      <w:r>
        <w:rPr>
          <w:rFonts w:ascii="Segoe UI" w:hAnsi="Segoe UI"/>
          <w:b/>
          <w:color w:val="2563EB"/>
          <w:sz w:val="21"/>
        </w:rPr>
        <w:t>Express</w:t>
      </w:r>
      <w:r>
        <w:rPr>
          <w:rFonts w:ascii="Segoe UI" w:hAnsi="Segoe UI"/>
          <w:b w:val="0"/>
          <w:color w:val="475569"/>
          <w:sz w:val="21"/>
        </w:rPr>
        <w:t xml:space="preserve"> para una revisión rápida de factibilidad, y </w:t>
      </w:r>
      <w:r>
        <w:rPr>
          <w:rFonts w:ascii="Segoe UI" w:hAnsi="Segoe UI"/>
          <w:b/>
          <w:color w:val="7C3AED"/>
          <w:sz w:val="21"/>
        </w:rPr>
        <w:t>Pro</w:t>
      </w:r>
      <w:r>
        <w:rPr>
          <w:rFonts w:ascii="Segoe UI" w:hAnsi="Segoe UI"/>
          <w:b w:val="0"/>
          <w:color w:val="475569"/>
          <w:sz w:val="21"/>
        </w:rPr>
        <w:t xml:space="preserve"> para un modelo completo presentable a banco o socio.</w:t>
      </w:r>
    </w:p>
    <w:p>
      <w:pPr>
        <w:spacing w:before="280" w:after="120"/>
        <w:pBdr>
          <w:bottom w:val="single" w:sz="4" w:color="E2E8F0"/>
        </w:pBdr>
      </w:pPr>
      <w:r>
        <w:rPr>
          <w:rFonts w:ascii="Courier New" w:hAnsi="Courier New"/>
          <w:b/>
          <w:color w:val="94A3B8"/>
          <w:sz w:val="16"/>
        </w:rPr>
        <w:t>TIPOS DE PROYECTO CUBIERTOS</w:t>
      </w:r>
    </w:p>
    <w:tbl>
      <w:tblPr>
        <w:tblW w:type="auto" w:w="0"/>
        <w:tblLook w:firstColumn="1" w:firstRow="1" w:lastColumn="0" w:lastRow="0" w:noHBand="0" w:noVBand="1" w:val="04A0"/>
        <w:tblW w:w="936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F8F9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0F172A"/>
                <w:sz w:val="20"/>
              </w:rPr>
              <w:t>Edificio residencial</w:t>
            </w:r>
          </w:p>
          <w:p>
            <w:pPr>
              <w:jc w:val="center"/>
            </w:pPr>
            <w:r>
              <w:rPr>
                <w:rFonts w:ascii="Segoe UI" w:hAnsi="Segoe UI"/>
                <w:b w:val="0"/>
                <w:color w:val="94A3B8"/>
                <w:sz w:val="17"/>
              </w:rPr>
              <w:t>Departamentos en venta o renta, vertical</w:t>
            </w:r>
          </w:p>
        </w:tc>
        <w:tc>
          <w:tcPr>
            <w:tcW w:w="2340" w:type="dxa"/>
            <w:shd w:val="clear" w:color="auto" w:fill="F8F9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0F172A"/>
                <w:sz w:val="20"/>
              </w:rPr>
              <w:t>Casa / horizontal</w:t>
            </w:r>
          </w:p>
          <w:p>
            <w:pPr>
              <w:jc w:val="center"/>
            </w:pPr>
            <w:r>
              <w:rPr>
                <w:rFonts w:ascii="Segoe UI" w:hAnsi="Segoe UI"/>
                <w:b w:val="0"/>
                <w:color w:val="94A3B8"/>
                <w:sz w:val="17"/>
              </w:rPr>
              <w:t>Desarrollo de vivienda, lotes con servicios</w:t>
            </w:r>
          </w:p>
        </w:tc>
        <w:tc>
          <w:tcPr>
            <w:tcW w:w="2340" w:type="dxa"/>
            <w:shd w:val="clear" w:color="auto" w:fill="F8F9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0F172A"/>
                <w:sz w:val="20"/>
              </w:rPr>
              <w:t>Bodega / nave industrial</w:t>
            </w:r>
          </w:p>
          <w:p>
            <w:pPr>
              <w:jc w:val="center"/>
            </w:pPr>
            <w:r>
              <w:rPr>
                <w:rFonts w:ascii="Segoe UI" w:hAnsi="Segoe UI"/>
                <w:b w:val="0"/>
                <w:color w:val="94A3B8"/>
                <w:sz w:val="17"/>
              </w:rPr>
              <w:t>Industrial ligero, clase B / C, para renta</w:t>
            </w:r>
          </w:p>
        </w:tc>
        <w:tc>
          <w:tcPr>
            <w:tcW w:w="2340" w:type="dxa"/>
            <w:shd w:val="clear" w:color="auto" w:fill="F8F9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0F172A"/>
                <w:sz w:val="20"/>
              </w:rPr>
              <w:t>Parque industrial</w:t>
            </w:r>
          </w:p>
          <w:p>
            <w:pPr>
              <w:jc w:val="center"/>
            </w:pPr>
            <w:r>
              <w:rPr>
                <w:rFonts w:ascii="Segoe UI" w:hAnsi="Segoe UI"/>
                <w:b w:val="0"/>
                <w:color w:val="94A3B8"/>
                <w:sz w:val="17"/>
              </w:rPr>
              <w:t>Clase A, multi-tenant, build-to-suit</w:t>
            </w:r>
          </w:p>
        </w:tc>
      </w:tr>
    </w:tbl>
    <w:p>
      <w:pPr>
        <w:spacing w:before="0" w:after="200"/>
      </w:pPr>
    </w:p>
    <w:p>
      <w:pPr>
        <w:spacing w:before="280" w:after="120"/>
        <w:pBdr>
          <w:bottom w:val="single" w:sz="4" w:color="E2E8F0"/>
        </w:pBdr>
      </w:pPr>
      <w:r>
        <w:rPr>
          <w:rFonts w:ascii="Courier New" w:hAnsi="Courier New"/>
          <w:b/>
          <w:color w:val="94A3B8"/>
          <w:sz w:val="16"/>
        </w:rPr>
        <w:t>BLOQUES DE DATOS DE ENTRADA</w:t>
      </w:r>
    </w:p>
    <w:tbl>
      <w:tblPr>
        <w:tblW w:type="auto" w:w="0"/>
        <w:tblLook w:firstColumn="1" w:firstRow="1" w:lastColumn="0" w:lastRow="0" w:noHBand="0" w:noVBand="1" w:val="04A0"/>
        <w:tblW w:w="936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val="clear" w:color="auto" w:fill="EFF6FF"/>
            <w:tcBorders>
              <w:top w:val="nil"/>
              <w:left w:val="single" w:sz="16" w:color="2563EB"/>
              <w:bottom w:val="single" w:sz="4" w:color="E2E8F0"/>
              <w:right w:val="nil"/>
            </w:tcBorders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b/>
                <w:color w:val="2563EB"/>
                <w:sz w:val="21"/>
              </w:rPr>
              <w:t xml:space="preserve">Bloque 1 — </w:t>
            </w:r>
            <w:r>
              <w:rPr>
                <w:rFonts w:ascii="Segoe UI" w:hAnsi="Segoe UI"/>
                <w:b/>
                <w:color w:val="0F172A"/>
                <w:sz w:val="21"/>
              </w:rPr>
              <w:t>Proyecto y terreno</w:t>
            </w:r>
            <w:r>
              <w:rPr>
                <w:rFonts w:ascii="Segoe UI" w:hAnsi="Segoe UI"/>
                <w:b w:val="0"/>
                <w:color w:val="94A3B8"/>
                <w:sz w:val="18"/>
              </w:rPr>
              <w:t xml:space="preserve">    Base del análisis</w:t>
            </w:r>
          </w:p>
        </w:tc>
      </w:tr>
      <w:tr>
        <w:tc>
          <w:tcPr>
            <w:tcW w:w="4680" w:type="dxa"/>
            <w:shd w:val="clear" w:color="auto" w:fill="FAFBFC"/>
            <w:tcBorders>
              <w:top w:val="single" w:sz="4" w:color="E2E8F0"/>
              <w:left w:val="nil"/>
              <w:bottom w:val="nil"/>
              <w:right w:val="nil"/>
            </w:tcBorders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 w:val="0"/>
                <w:color w:val="0F172A"/>
                <w:sz w:val="20"/>
              </w:rPr>
              <w:t>Precio del terreno</w:t>
            </w:r>
            <w:r>
              <w:rPr>
                <w:rFonts w:ascii="Courier New" w:hAnsi="Courier New"/>
                <w:b w:val="0"/>
                <w:color w:val="94A3B8"/>
                <w:sz w:val="17"/>
              </w:rPr>
              <w:t xml:space="preserve">    MXN</w:t>
            </w:r>
          </w:p>
        </w:tc>
        <w:tc>
          <w:tcPr>
            <w:tcW w:w="4680" w:type="dxa"/>
            <w:shd w:val="clear" w:color="auto" w:fill="FAFBFC"/>
            <w:tcBorders>
              <w:top w:val="single" w:sz="4" w:color="E2E8F0"/>
              <w:left w:val="single" w:sz="4" w:color="E2E8F0"/>
              <w:bottom w:val="nil"/>
              <w:right w:val="nil"/>
            </w:tcBorders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 w:val="0"/>
                <w:color w:val="0F172A"/>
                <w:sz w:val="20"/>
              </w:rPr>
              <w:t>Superficie del terreno</w:t>
            </w:r>
            <w:r>
              <w:rPr>
                <w:rFonts w:ascii="Courier New" w:hAnsi="Courier New"/>
                <w:b w:val="0"/>
                <w:color w:val="94A3B8"/>
                <w:sz w:val="17"/>
              </w:rPr>
              <w:t xml:space="preserve">    m²</w:t>
            </w:r>
          </w:p>
        </w:tc>
      </w:tr>
      <w:tr>
        <w:tc>
          <w:tcPr>
            <w:tcW w:w="4680" w:type="dxa"/>
            <w:shd w:val="clear" w:color="auto" w:fill="FAFBFC"/>
            <w:tcBorders>
              <w:top w:val="single" w:sz="4" w:color="E2E8F0"/>
              <w:left w:val="nil"/>
              <w:bottom w:val="nil"/>
              <w:right w:val="nil"/>
            </w:tcBorders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 w:val="0"/>
                <w:color w:val="0F172A"/>
                <w:sz w:val="20"/>
              </w:rPr>
              <w:t>Tipo de proyecto</w:t>
            </w:r>
            <w:r>
              <w:rPr>
                <w:rFonts w:ascii="Courier New" w:hAnsi="Courier New"/>
                <w:b w:val="0"/>
                <w:color w:val="94A3B8"/>
                <w:sz w:val="17"/>
              </w:rPr>
              <w:t xml:space="preserve">    lista</w:t>
            </w:r>
          </w:p>
        </w:tc>
        <w:tc>
          <w:tcPr>
            <w:tcW w:w="4680" w:type="dxa"/>
            <w:shd w:val="clear" w:color="auto" w:fill="FAFBFC"/>
            <w:tcBorders>
              <w:top w:val="single" w:sz="4" w:color="E2E8F0"/>
              <w:left w:val="single" w:sz="4" w:color="E2E8F0"/>
              <w:bottom w:val="nil"/>
              <w:right w:val="nil"/>
            </w:tcBorders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 w:val="0"/>
                <w:color w:val="0F172A"/>
                <w:sz w:val="20"/>
              </w:rPr>
              <w:t>Municipio / zona AMG</w:t>
            </w:r>
            <w:r>
              <w:rPr>
                <w:rFonts w:ascii="Courier New" w:hAnsi="Courier New"/>
                <w:b w:val="0"/>
                <w:color w:val="94A3B8"/>
                <w:sz w:val="17"/>
              </w:rPr>
              <w:t xml:space="preserve">    GDL · ZPN · TLQ · TLA · TON</w:t>
            </w:r>
          </w:p>
        </w:tc>
      </w:tr>
      <w:tr>
        <w:tc>
          <w:tcPr>
            <w:tcW w:w="4680" w:type="dxa"/>
            <w:shd w:val="clear" w:color="auto" w:fill="FAFBFC"/>
            <w:tcBorders>
              <w:top w:val="single" w:sz="4" w:color="E2E8F0"/>
              <w:left w:val="nil"/>
              <w:bottom w:val="nil"/>
              <w:right w:val="nil"/>
            </w:tcBorders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 w:val="0"/>
                <w:color w:val="0F172A"/>
                <w:sz w:val="20"/>
              </w:rPr>
              <w:t>COS aplicable</w:t>
            </w:r>
            <w:r>
              <w:rPr>
                <w:rFonts w:ascii="Courier New" w:hAnsi="Courier New"/>
                <w:b w:val="0"/>
                <w:color w:val="94A3B8"/>
                <w:sz w:val="17"/>
              </w:rPr>
              <w:t xml:space="preserve">    % ocupación suelo</w:t>
            </w:r>
          </w:p>
        </w:tc>
        <w:tc>
          <w:tcPr>
            <w:tcW w:w="4680" w:type="dxa"/>
            <w:shd w:val="clear" w:color="auto" w:fill="FAFBFC"/>
            <w:tcBorders>
              <w:top w:val="single" w:sz="4" w:color="E2E8F0"/>
              <w:left w:val="single" w:sz="4" w:color="E2E8F0"/>
              <w:bottom w:val="nil"/>
              <w:right w:val="nil"/>
            </w:tcBorders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 w:val="0"/>
                <w:color w:val="0F172A"/>
                <w:sz w:val="20"/>
              </w:rPr>
              <w:t>CUS aplicable</w:t>
            </w:r>
            <w:r>
              <w:rPr>
                <w:rFonts w:ascii="Courier New" w:hAnsi="Courier New"/>
                <w:b w:val="0"/>
                <w:color w:val="94A3B8"/>
                <w:sz w:val="17"/>
              </w:rPr>
              <w:t xml:space="preserve">    × superficie terreno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936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val="clear" w:color="auto" w:fill="F0FDF4"/>
            <w:tcBorders>
              <w:top w:val="nil"/>
              <w:left w:val="single" w:sz="16" w:color="16A34A"/>
              <w:bottom w:val="single" w:sz="4" w:color="E2E8F0"/>
              <w:right w:val="nil"/>
            </w:tcBorders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b/>
                <w:color w:val="16A34A"/>
                <w:sz w:val="21"/>
              </w:rPr>
              <w:t xml:space="preserve">Bloque 2 — </w:t>
            </w:r>
            <w:r>
              <w:rPr>
                <w:rFonts w:ascii="Segoe UI" w:hAnsi="Segoe UI"/>
                <w:b/>
                <w:color w:val="0F172A"/>
                <w:sz w:val="21"/>
              </w:rPr>
              <w:t>Construcción</w:t>
            </w:r>
            <w:r>
              <w:rPr>
                <w:rFonts w:ascii="Segoe UI" w:hAnsi="Segoe UI"/>
                <w:b w:val="0"/>
                <w:color w:val="94A3B8"/>
                <w:sz w:val="18"/>
              </w:rPr>
              <w:t xml:space="preserve">    Costo directo</w:t>
            </w:r>
          </w:p>
        </w:tc>
      </w:tr>
      <w:tr>
        <w:tc>
          <w:tcPr>
            <w:tcW w:w="4680" w:type="dxa"/>
            <w:shd w:val="clear" w:color="auto" w:fill="FAFBFC"/>
            <w:tcBorders>
              <w:top w:val="single" w:sz="4" w:color="E2E8F0"/>
              <w:left w:val="nil"/>
              <w:bottom w:val="nil"/>
              <w:right w:val="nil"/>
            </w:tcBorders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 w:val="0"/>
                <w:color w:val="0F172A"/>
                <w:sz w:val="20"/>
              </w:rPr>
              <w:t>M² construidos totales</w:t>
            </w:r>
            <w:r>
              <w:rPr>
                <w:rFonts w:ascii="Courier New" w:hAnsi="Courier New"/>
                <w:b w:val="0"/>
                <w:color w:val="94A3B8"/>
                <w:sz w:val="17"/>
              </w:rPr>
              <w:t xml:space="preserve">    privativa + áreas comunes</w:t>
            </w:r>
          </w:p>
        </w:tc>
        <w:tc>
          <w:tcPr>
            <w:tcW w:w="4680" w:type="dxa"/>
            <w:shd w:val="clear" w:color="auto" w:fill="FAFBFC"/>
            <w:tcBorders>
              <w:top w:val="single" w:sz="4" w:color="E2E8F0"/>
              <w:left w:val="single" w:sz="4" w:color="E2E8F0"/>
              <w:bottom w:val="nil"/>
              <w:right w:val="nil"/>
            </w:tcBorders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 w:val="0"/>
                <w:color w:val="0F172A"/>
                <w:sz w:val="20"/>
              </w:rPr>
              <w:t>Número de unidades</w:t>
            </w:r>
            <w:r>
              <w:rPr>
                <w:rFonts w:ascii="Courier New" w:hAnsi="Courier New"/>
                <w:b w:val="0"/>
                <w:color w:val="94A3B8"/>
                <w:sz w:val="17"/>
              </w:rPr>
              <w:t xml:space="preserve">    deptos / naves / lotes</w:t>
            </w:r>
          </w:p>
        </w:tc>
      </w:tr>
      <w:tr>
        <w:tc>
          <w:tcPr>
            <w:tcW w:w="4680" w:type="dxa"/>
            <w:shd w:val="clear" w:color="auto" w:fill="FAFBFC"/>
            <w:tcBorders>
              <w:top w:val="single" w:sz="4" w:color="E2E8F0"/>
              <w:left w:val="nil"/>
              <w:bottom w:val="nil"/>
              <w:right w:val="nil"/>
            </w:tcBorders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 w:val="0"/>
                <w:color w:val="0F172A"/>
                <w:sz w:val="20"/>
              </w:rPr>
              <w:t>Costo construcción / m²</w:t>
            </w:r>
            <w:r>
              <w:rPr>
                <w:rFonts w:ascii="Courier New" w:hAnsi="Courier New"/>
                <w:b w:val="0"/>
                <w:color w:val="94A3B8"/>
                <w:sz w:val="17"/>
              </w:rPr>
              <w:t xml:space="preserve">    MXN — con benchmark AMG</w:t>
            </w:r>
          </w:p>
        </w:tc>
        <w:tc>
          <w:tcPr>
            <w:tcW w:w="4680" w:type="dxa"/>
            <w:shd w:val="clear" w:color="auto" w:fill="FAFBFC"/>
            <w:tcBorders>
              <w:top w:val="single" w:sz="4" w:color="E2E8F0"/>
              <w:left w:val="single" w:sz="4" w:color="E2E8F0"/>
              <w:bottom w:val="nil"/>
              <w:right w:val="nil"/>
            </w:tcBorders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 w:val="0"/>
                <w:color w:val="0F172A"/>
                <w:sz w:val="20"/>
              </w:rPr>
              <w:t>Plazo de obra</w:t>
            </w:r>
            <w:r>
              <w:rPr>
                <w:rFonts w:ascii="Courier New" w:hAnsi="Courier New"/>
                <w:b w:val="0"/>
                <w:color w:val="94A3B8"/>
                <w:sz w:val="17"/>
              </w:rPr>
              <w:t xml:space="preserve">    meses</w:t>
            </w:r>
          </w:p>
        </w:tc>
      </w:tr>
      <w:tr>
        <w:tc>
          <w:tcPr>
            <w:tcW w:w="4680" w:type="dxa"/>
            <w:shd w:val="clear" w:color="auto" w:fill="FAFBFC"/>
            <w:tcBorders>
              <w:top w:val="single" w:sz="4" w:color="E2E8F0"/>
              <w:left w:val="nil"/>
              <w:bottom w:val="nil"/>
              <w:right w:val="nil"/>
            </w:tcBorders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 w:val="0"/>
                <w:color w:val="0F172A"/>
                <w:sz w:val="20"/>
              </w:rPr>
              <w:t>Urbanización / infraestructura</w:t>
            </w:r>
            <w:r>
              <w:rPr>
                <w:rFonts w:ascii="Courier New" w:hAnsi="Courier New"/>
                <w:b w:val="0"/>
                <w:color w:val="94A3B8"/>
                <w:sz w:val="17"/>
              </w:rPr>
              <w:t xml:space="preserve">    % del costo directo</w:t>
            </w:r>
          </w:p>
        </w:tc>
        <w:tc>
          <w:tcPr>
            <w:tcW w:w="4680" w:type="dxa"/>
            <w:shd w:val="clear" w:color="auto" w:fill="FAFBFC"/>
            <w:tcBorders>
              <w:top w:val="single" w:sz="4" w:color="E2E8F0"/>
              <w:left w:val="single" w:sz="4" w:color="E2E8F0"/>
              <w:bottom w:val="nil"/>
              <w:right w:val="nil"/>
            </w:tcBorders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 w:val="0"/>
                <w:color w:val="0F172A"/>
                <w:sz w:val="20"/>
              </w:rPr>
              <w:t>Contingencia</w:t>
            </w:r>
            <w:r>
              <w:rPr>
                <w:rFonts w:ascii="Courier New" w:hAnsi="Courier New"/>
                <w:b w:val="0"/>
                <w:color w:val="94A3B8"/>
                <w:sz w:val="17"/>
              </w:rPr>
              <w:t xml:space="preserve">    5 – 10 %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936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val="clear" w:color="auto" w:fill="FFF7ED"/>
            <w:tcBorders>
              <w:top w:val="nil"/>
              <w:left w:val="single" w:sz="16" w:color="EA580C"/>
              <w:bottom w:val="single" w:sz="4" w:color="E2E8F0"/>
              <w:right w:val="nil"/>
            </w:tcBorders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b/>
                <w:color w:val="EA580C"/>
                <w:sz w:val="21"/>
              </w:rPr>
              <w:t xml:space="preserve">Bloque 3 — </w:t>
            </w:r>
            <w:r>
              <w:rPr>
                <w:rFonts w:ascii="Segoe UI" w:hAnsi="Segoe UI"/>
                <w:b/>
                <w:color w:val="0F172A"/>
                <w:sz w:val="21"/>
              </w:rPr>
              <w:t>Costos indirectos (soft costs)</w:t>
            </w:r>
            <w:r>
              <w:rPr>
                <w:rFonts w:ascii="Segoe UI" w:hAnsi="Segoe UI"/>
                <w:b w:val="0"/>
                <w:color w:val="94A3B8"/>
                <w:sz w:val="18"/>
              </w:rPr>
              <w:t xml:space="preserve">    Gastos de desarrollo</w:t>
            </w:r>
          </w:p>
        </w:tc>
      </w:tr>
      <w:tr>
        <w:tc>
          <w:tcPr>
            <w:tcW w:w="4680" w:type="dxa"/>
            <w:shd w:val="clear" w:color="auto" w:fill="FAFBFC"/>
            <w:tcBorders>
              <w:top w:val="single" w:sz="4" w:color="E2E8F0"/>
              <w:left w:val="nil"/>
              <w:bottom w:val="nil"/>
              <w:right w:val="nil"/>
            </w:tcBorders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 w:val="0"/>
                <w:color w:val="0F172A"/>
                <w:sz w:val="20"/>
              </w:rPr>
              <w:t>Honorarios de diseño</w:t>
            </w:r>
            <w:r>
              <w:rPr>
                <w:rFonts w:ascii="Courier New" w:hAnsi="Courier New"/>
                <w:b w:val="0"/>
                <w:color w:val="94A3B8"/>
                <w:sz w:val="17"/>
              </w:rPr>
              <w:t xml:space="preserve">    % costo directo</w:t>
            </w:r>
          </w:p>
        </w:tc>
        <w:tc>
          <w:tcPr>
            <w:tcW w:w="4680" w:type="dxa"/>
            <w:shd w:val="clear" w:color="auto" w:fill="FAFBFC"/>
            <w:tcBorders>
              <w:top w:val="single" w:sz="4" w:color="E2E8F0"/>
              <w:left w:val="single" w:sz="4" w:color="E2E8F0"/>
              <w:bottom w:val="nil"/>
              <w:right w:val="nil"/>
            </w:tcBorders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 w:val="0"/>
                <w:color w:val="0F172A"/>
                <w:sz w:val="20"/>
              </w:rPr>
              <w:t>Permisos y licencias</w:t>
            </w:r>
            <w:r>
              <w:rPr>
                <w:rFonts w:ascii="Courier New" w:hAnsi="Courier New"/>
                <w:b w:val="0"/>
                <w:color w:val="94A3B8"/>
                <w:sz w:val="17"/>
              </w:rPr>
              <w:t xml:space="preserve">    MXN estimado</w:t>
            </w:r>
          </w:p>
        </w:tc>
      </w:tr>
      <w:tr>
        <w:tc>
          <w:tcPr>
            <w:tcW w:w="4680" w:type="dxa"/>
            <w:shd w:val="clear" w:color="auto" w:fill="FAFBFC"/>
            <w:tcBorders>
              <w:top w:val="single" w:sz="4" w:color="E2E8F0"/>
              <w:left w:val="nil"/>
              <w:bottom w:val="nil"/>
              <w:right w:val="nil"/>
            </w:tcBorders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 w:val="0"/>
                <w:color w:val="0F172A"/>
                <w:sz w:val="20"/>
              </w:rPr>
              <w:t>Estudios (suelo, vial, ambiental)</w:t>
            </w:r>
            <w:r>
              <w:rPr>
                <w:rFonts w:ascii="Courier New" w:hAnsi="Courier New"/>
                <w:b w:val="0"/>
                <w:color w:val="94A3B8"/>
                <w:sz w:val="17"/>
              </w:rPr>
              <w:t xml:space="preserve">    MXN</w:t>
            </w:r>
          </w:p>
        </w:tc>
        <w:tc>
          <w:tcPr>
            <w:tcW w:w="4680" w:type="dxa"/>
            <w:shd w:val="clear" w:color="auto" w:fill="FAFBFC"/>
            <w:tcBorders>
              <w:top w:val="single" w:sz="4" w:color="E2E8F0"/>
              <w:left w:val="single" w:sz="4" w:color="E2E8F0"/>
              <w:bottom w:val="nil"/>
              <w:right w:val="nil"/>
            </w:tcBorders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 w:val="0"/>
                <w:color w:val="0F172A"/>
                <w:sz w:val="20"/>
              </w:rPr>
              <w:t>Costo de ventas</w:t>
            </w:r>
            <w:r>
              <w:rPr>
                <w:rFonts w:ascii="Courier New" w:hAnsi="Courier New"/>
                <w:b w:val="0"/>
                <w:color w:val="94A3B8"/>
                <w:sz w:val="17"/>
              </w:rPr>
              <w:t xml:space="preserve">    comisiones + publicidad %</w:t>
            </w:r>
          </w:p>
        </w:tc>
      </w:tr>
      <w:tr>
        <w:tc>
          <w:tcPr>
            <w:tcW w:w="4680" w:type="dxa"/>
            <w:shd w:val="clear" w:color="auto" w:fill="FAFBFC"/>
            <w:tcBorders>
              <w:top w:val="single" w:sz="4" w:color="E2E8F0"/>
              <w:left w:val="nil"/>
              <w:bottom w:val="nil"/>
              <w:right w:val="nil"/>
            </w:tcBorders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 w:val="0"/>
                <w:color w:val="0F172A"/>
                <w:sz w:val="20"/>
              </w:rPr>
              <w:t>Gastos notariales</w:t>
            </w:r>
            <w:r>
              <w:rPr>
                <w:rFonts w:ascii="Courier New" w:hAnsi="Courier New"/>
                <w:b w:val="0"/>
                <w:color w:val="94A3B8"/>
                <w:sz w:val="17"/>
              </w:rPr>
              <w:t xml:space="preserve">    escrituras · adquisición</w:t>
            </w:r>
          </w:p>
        </w:tc>
        <w:tc>
          <w:tcPr>
            <w:tcW w:w="4680" w:type="dxa"/>
            <w:shd w:val="clear" w:color="auto" w:fill="FAFBFC"/>
            <w:tcBorders>
              <w:top w:val="single" w:sz="4" w:color="E2E8F0"/>
              <w:left w:val="single" w:sz="4" w:color="E2E8F0"/>
              <w:bottom w:val="nil"/>
              <w:right w:val="nil"/>
            </w:tcBorders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 w:val="0"/>
                <w:color w:val="0F172A"/>
                <w:sz w:val="20"/>
              </w:rPr>
              <w:t>ISR / impuestos</w:t>
            </w:r>
            <w:r>
              <w:rPr>
                <w:rFonts w:ascii="Courier New" w:hAnsi="Courier New"/>
                <w:b w:val="0"/>
                <w:color w:val="94A3B8"/>
                <w:sz w:val="17"/>
              </w:rPr>
              <w:t xml:space="preserve">    % sobre utilidad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936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val="clear" w:color="auto" w:fill="FAF5FF"/>
            <w:tcBorders>
              <w:top w:val="nil"/>
              <w:left w:val="single" w:sz="16" w:color="9333EA"/>
              <w:bottom w:val="single" w:sz="4" w:color="E2E8F0"/>
              <w:right w:val="nil"/>
            </w:tcBorders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b/>
                <w:color w:val="9333EA"/>
                <w:sz w:val="21"/>
              </w:rPr>
              <w:t xml:space="preserve">Bloque 4 — </w:t>
            </w:r>
            <w:r>
              <w:rPr>
                <w:rFonts w:ascii="Segoe UI" w:hAnsi="Segoe UI"/>
                <w:b/>
                <w:color w:val="0F172A"/>
                <w:sz w:val="21"/>
              </w:rPr>
              <w:t>Financiamiento</w:t>
            </w:r>
            <w:r>
              <w:rPr>
                <w:rFonts w:ascii="Segoe UI" w:hAnsi="Segoe UI"/>
                <w:b w:val="0"/>
                <w:color w:val="94A3B8"/>
                <w:sz w:val="18"/>
              </w:rPr>
              <w:t xml:space="preserve">    Estructura de capital</w:t>
            </w:r>
          </w:p>
        </w:tc>
      </w:tr>
      <w:tr>
        <w:tc>
          <w:tcPr>
            <w:tcW w:w="4680" w:type="dxa"/>
            <w:shd w:val="clear" w:color="auto" w:fill="FAFBFC"/>
            <w:tcBorders>
              <w:top w:val="single" w:sz="4" w:color="E2E8F0"/>
              <w:left w:val="nil"/>
              <w:bottom w:val="nil"/>
              <w:right w:val="nil"/>
            </w:tcBorders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 w:val="0"/>
                <w:color w:val="0F172A"/>
                <w:sz w:val="20"/>
              </w:rPr>
              <w:t>Capital propio</w:t>
            </w:r>
            <w:r>
              <w:rPr>
                <w:rFonts w:ascii="Courier New" w:hAnsi="Courier New"/>
                <w:b w:val="0"/>
                <w:color w:val="94A3B8"/>
                <w:sz w:val="17"/>
              </w:rPr>
              <w:t xml:space="preserve">    MXN o % del total</w:t>
            </w:r>
          </w:p>
        </w:tc>
        <w:tc>
          <w:tcPr>
            <w:tcW w:w="4680" w:type="dxa"/>
            <w:shd w:val="clear" w:color="auto" w:fill="FAFBFC"/>
            <w:tcBorders>
              <w:top w:val="single" w:sz="4" w:color="E2E8F0"/>
              <w:left w:val="single" w:sz="4" w:color="E2E8F0"/>
              <w:bottom w:val="nil"/>
              <w:right w:val="nil"/>
            </w:tcBorders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 w:val="0"/>
                <w:color w:val="0F172A"/>
                <w:sz w:val="20"/>
              </w:rPr>
              <w:t>Monto de crédito puente</w:t>
            </w:r>
            <w:r>
              <w:rPr>
                <w:rFonts w:ascii="Courier New" w:hAnsi="Courier New"/>
                <w:b w:val="0"/>
                <w:color w:val="94A3B8"/>
                <w:sz w:val="17"/>
              </w:rPr>
              <w:t xml:space="preserve">    MXN</w:t>
            </w:r>
          </w:p>
        </w:tc>
      </w:tr>
      <w:tr>
        <w:tc>
          <w:tcPr>
            <w:tcW w:w="4680" w:type="dxa"/>
            <w:shd w:val="clear" w:color="auto" w:fill="FAFBFC"/>
            <w:tcBorders>
              <w:top w:val="single" w:sz="4" w:color="E2E8F0"/>
              <w:left w:val="nil"/>
              <w:bottom w:val="nil"/>
              <w:right w:val="nil"/>
            </w:tcBorders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 w:val="0"/>
                <w:color w:val="0F172A"/>
                <w:sz w:val="20"/>
              </w:rPr>
              <w:t>Tasa de interés</w:t>
            </w:r>
            <w:r>
              <w:rPr>
                <w:rFonts w:ascii="Courier New" w:hAnsi="Courier New"/>
                <w:b w:val="0"/>
                <w:color w:val="94A3B8"/>
                <w:sz w:val="17"/>
              </w:rPr>
              <w:t xml:space="preserve">    % anual sobre saldo insoluto</w:t>
            </w:r>
          </w:p>
        </w:tc>
        <w:tc>
          <w:tcPr>
            <w:tcW w:w="4680" w:type="dxa"/>
            <w:shd w:val="clear" w:color="auto" w:fill="FAFBFC"/>
            <w:tcBorders>
              <w:top w:val="single" w:sz="4" w:color="E2E8F0"/>
              <w:left w:val="single" w:sz="4" w:color="E2E8F0"/>
              <w:bottom w:val="nil"/>
              <w:right w:val="nil"/>
            </w:tcBorders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 w:val="0"/>
                <w:color w:val="0F172A"/>
                <w:sz w:val="20"/>
              </w:rPr>
              <w:t>Plazo del crédito</w:t>
            </w:r>
            <w:r>
              <w:rPr>
                <w:rFonts w:ascii="Courier New" w:hAnsi="Courier New"/>
                <w:b w:val="0"/>
                <w:color w:val="94A3B8"/>
                <w:sz w:val="17"/>
              </w:rPr>
              <w:t xml:space="preserve">    meses</w:t>
            </w:r>
          </w:p>
        </w:tc>
      </w:tr>
      <w:tr>
        <w:tc>
          <w:tcPr>
            <w:tcW w:w="4680" w:type="dxa"/>
            <w:shd w:val="clear" w:color="auto" w:fill="FAFBFC"/>
            <w:tcBorders>
              <w:top w:val="single" w:sz="4" w:color="E2E8F0"/>
              <w:left w:val="nil"/>
              <w:bottom w:val="nil"/>
              <w:right w:val="nil"/>
            </w:tcBorders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 w:val="0"/>
                <w:color w:val="0F172A"/>
                <w:sz w:val="20"/>
              </w:rPr>
              <w:t>Período de gracia</w:t>
            </w:r>
            <w:r>
              <w:rPr>
                <w:rFonts w:ascii="Courier New" w:hAnsi="Courier New"/>
                <w:b w:val="0"/>
                <w:color w:val="94A3B8"/>
                <w:sz w:val="17"/>
              </w:rPr>
              <w:t xml:space="preserve">    meses solo intereses</w:t>
            </w:r>
          </w:p>
        </w:tc>
        <w:tc>
          <w:tcPr>
            <w:tcW w:w="4680" w:type="dxa"/>
            <w:shd w:val="clear" w:color="auto" w:fill="FAFBFC"/>
            <w:tcBorders>
              <w:top w:val="single" w:sz="4" w:color="E2E8F0"/>
              <w:left w:val="single" w:sz="4" w:color="E2E8F0"/>
              <w:bottom w:val="nil"/>
              <w:right w:val="nil"/>
            </w:tcBorders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 w:val="0"/>
                <w:color w:val="0F172A"/>
                <w:sz w:val="20"/>
              </w:rPr>
              <w:t>Comisión de apertura</w:t>
            </w:r>
            <w:r>
              <w:rPr>
                <w:rFonts w:ascii="Courier New" w:hAnsi="Courier New"/>
                <w:b w:val="0"/>
                <w:color w:val="94A3B8"/>
                <w:sz w:val="17"/>
              </w:rPr>
              <w:t xml:space="preserve">    % sobre monto del crédito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936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val="clear" w:color="auto" w:fill="ECFEFF"/>
            <w:tcBorders>
              <w:top w:val="nil"/>
              <w:left w:val="single" w:sz="16" w:color="0891B2"/>
              <w:bottom w:val="single" w:sz="4" w:color="E2E8F0"/>
              <w:right w:val="nil"/>
            </w:tcBorders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r>
              <w:rPr>
                <w:rFonts w:ascii="Segoe UI" w:hAnsi="Segoe UI"/>
                <w:b/>
                <w:color w:val="0891B2"/>
                <w:sz w:val="21"/>
              </w:rPr>
              <w:t xml:space="preserve">Bloque 5 — </w:t>
            </w:r>
            <w:r>
              <w:rPr>
                <w:rFonts w:ascii="Segoe UI" w:hAnsi="Segoe UI"/>
                <w:b/>
                <w:color w:val="0F172A"/>
                <w:sz w:val="21"/>
              </w:rPr>
              <w:t>Ingresos proyectados</w:t>
            </w:r>
            <w:r>
              <w:rPr>
                <w:rFonts w:ascii="Segoe UI" w:hAnsi="Segoe UI"/>
                <w:b w:val="0"/>
                <w:color w:val="94A3B8"/>
                <w:sz w:val="18"/>
              </w:rPr>
              <w:t xml:space="preserve">    Venta o renta</w:t>
            </w:r>
          </w:p>
        </w:tc>
      </w:tr>
      <w:tr>
        <w:tc>
          <w:tcPr>
            <w:tcW w:w="4680" w:type="dxa"/>
            <w:shd w:val="clear" w:color="auto" w:fill="FAFBFC"/>
            <w:tcBorders>
              <w:top w:val="single" w:sz="4" w:color="E2E8F0"/>
              <w:left w:val="nil"/>
              <w:bottom w:val="nil"/>
              <w:right w:val="nil"/>
            </w:tcBorders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 w:val="0"/>
                <w:color w:val="0F172A"/>
                <w:sz w:val="20"/>
              </w:rPr>
              <w:t>Precio de venta / m²</w:t>
            </w:r>
            <w:r>
              <w:rPr>
                <w:rFonts w:ascii="Courier New" w:hAnsi="Courier New"/>
                <w:b w:val="0"/>
                <w:color w:val="94A3B8"/>
                <w:sz w:val="17"/>
              </w:rPr>
              <w:t xml:space="preserve">    o precio por unidad</w:t>
            </w:r>
          </w:p>
        </w:tc>
        <w:tc>
          <w:tcPr>
            <w:tcW w:w="4680" w:type="dxa"/>
            <w:shd w:val="clear" w:color="auto" w:fill="FAFBFC"/>
            <w:tcBorders>
              <w:top w:val="single" w:sz="4" w:color="E2E8F0"/>
              <w:left w:val="single" w:sz="4" w:color="E2E8F0"/>
              <w:bottom w:val="nil"/>
              <w:right w:val="nil"/>
            </w:tcBorders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 w:val="0"/>
                <w:color w:val="0F172A"/>
                <w:sz w:val="20"/>
              </w:rPr>
              <w:t>Velocidad de ventas</w:t>
            </w:r>
            <w:r>
              <w:rPr>
                <w:rFonts w:ascii="Courier New" w:hAnsi="Courier New"/>
                <w:b w:val="0"/>
                <w:color w:val="94A3B8"/>
                <w:sz w:val="17"/>
              </w:rPr>
              <w:t xml:space="preserve">    unidades / mes</w:t>
            </w:r>
          </w:p>
        </w:tc>
      </w:tr>
      <w:tr>
        <w:tc>
          <w:tcPr>
            <w:tcW w:w="4680" w:type="dxa"/>
            <w:shd w:val="clear" w:color="auto" w:fill="FAFBFC"/>
            <w:tcBorders>
              <w:top w:val="single" w:sz="4" w:color="E2E8F0"/>
              <w:left w:val="nil"/>
              <w:bottom w:val="nil"/>
              <w:right w:val="nil"/>
            </w:tcBorders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 w:val="0"/>
                <w:color w:val="0F172A"/>
                <w:sz w:val="20"/>
              </w:rPr>
              <w:t>Renta mensual / m²</w:t>
            </w:r>
            <w:r>
              <w:rPr>
                <w:rFonts w:ascii="Courier New" w:hAnsi="Courier New"/>
                <w:b w:val="0"/>
                <w:color w:val="94A3B8"/>
                <w:sz w:val="17"/>
              </w:rPr>
              <w:t xml:space="preserve">    si el proyecto es para renta</w:t>
            </w:r>
          </w:p>
        </w:tc>
        <w:tc>
          <w:tcPr>
            <w:tcW w:w="4680" w:type="dxa"/>
            <w:shd w:val="clear" w:color="auto" w:fill="FAFBFC"/>
            <w:tcBorders>
              <w:top w:val="single" w:sz="4" w:color="E2E8F0"/>
              <w:left w:val="single" w:sz="4" w:color="E2E8F0"/>
              <w:bottom w:val="nil"/>
              <w:right w:val="nil"/>
            </w:tcBorders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 w:val="0"/>
                <w:color w:val="0F172A"/>
                <w:sz w:val="20"/>
              </w:rPr>
              <w:t>Ocupación estimada</w:t>
            </w:r>
            <w:r>
              <w:rPr>
                <w:rFonts w:ascii="Courier New" w:hAnsi="Courier New"/>
                <w:b w:val="0"/>
                <w:color w:val="94A3B8"/>
                <w:sz w:val="17"/>
              </w:rPr>
              <w:t xml:space="preserve">    % — aplica para renta</w:t>
            </w:r>
          </w:p>
        </w:tc>
      </w:tr>
      <w:tr>
        <w:tc>
          <w:tcPr>
            <w:tcW w:w="4680" w:type="dxa"/>
            <w:shd w:val="clear" w:color="auto" w:fill="FAFBFC"/>
            <w:tcBorders>
              <w:top w:val="single" w:sz="4" w:color="E2E8F0"/>
              <w:left w:val="nil"/>
              <w:bottom w:val="nil"/>
              <w:right w:val="nil"/>
            </w:tcBorders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 w:val="0"/>
                <w:color w:val="0F172A"/>
                <w:sz w:val="20"/>
              </w:rPr>
              <w:t>Enganche / preventas</w:t>
            </w:r>
            <w:r>
              <w:rPr>
                <w:rFonts w:ascii="Courier New" w:hAnsi="Courier New"/>
                <w:b w:val="0"/>
                <w:color w:val="94A3B8"/>
                <w:sz w:val="17"/>
              </w:rPr>
              <w:t xml:space="preserve">    % y plazo en meses</w:t>
            </w:r>
          </w:p>
        </w:tc>
        <w:tc>
          <w:tcPr>
            <w:tcW w:w="4680" w:type="dxa"/>
            <w:shd w:val="clear" w:color="auto" w:fill="FAFBFC"/>
            <w:tcBorders>
              <w:top w:val="single" w:sz="4" w:color="E2E8F0"/>
              <w:left w:val="single" w:sz="4" w:color="E2E8F0"/>
              <w:bottom w:val="nil"/>
              <w:right w:val="nil"/>
            </w:tcBorders>
            <w:tcMar>
              <w:top w:w="70" w:type="dxa"/>
              <w:bottom w:w="70" w:type="dxa"/>
              <w:left w:w="140" w:type="dxa"/>
              <w:right w:w="140" w:type="dxa"/>
            </w:tcMar>
          </w:tcPr>
          <w:p>
            <w:r>
              <w:rPr>
                <w:rFonts w:ascii="Segoe UI" w:hAnsi="Segoe UI"/>
                <w:b w:val="0"/>
                <w:color w:val="0F172A"/>
                <w:sz w:val="20"/>
              </w:rPr>
              <w:t>Escalación de precios</w:t>
            </w:r>
            <w:r>
              <w:rPr>
                <w:rFonts w:ascii="Courier New" w:hAnsi="Courier New"/>
                <w:b w:val="0"/>
                <w:color w:val="94A3B8"/>
                <w:sz w:val="17"/>
              </w:rPr>
              <w:t xml:space="preserve">    % anual</w:t>
            </w:r>
          </w:p>
        </w:tc>
      </w:tr>
    </w:tbl>
    <w:p>
      <w:pPr>
        <w:spacing w:before="0" w:after="120"/>
      </w:pPr>
    </w:p>
    <w:p>
      <w:pPr>
        <w:spacing w:before="0" w:after="120"/>
      </w:pPr>
    </w:p>
    <w:p>
      <w:pPr>
        <w:spacing w:before="280" w:after="120"/>
        <w:pBdr>
          <w:bottom w:val="single" w:sz="4" w:color="E2E8F0"/>
        </w:pBdr>
      </w:pPr>
      <w:r>
        <w:rPr>
          <w:rFonts w:ascii="Courier New" w:hAnsi="Courier New"/>
          <w:b/>
          <w:color w:val="94A3B8"/>
          <w:sz w:val="16"/>
        </w:rPr>
        <w:t>INDICADORES QUE ARROJA EL ANÁLISIS</w:t>
      </w:r>
    </w:p>
    <w:tbl>
      <w:tblPr>
        <w:tblW w:type="auto" w:w="0"/>
        <w:tblLook w:firstColumn="1" w:firstRow="1" w:lastColumn="0" w:lastRow="0" w:noHBand="0" w:noVBand="1" w:val="04A0"/>
        <w:tblW w:w="936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F8F9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r>
              <w:rPr>
                <w:rFonts w:ascii="Courier New" w:hAnsi="Courier New"/>
                <w:b/>
                <w:color w:val="1D4ED8"/>
                <w:sz w:val="26"/>
              </w:rPr>
              <w:t>TIR</w:t>
            </w:r>
          </w:p>
          <w:p>
            <w:pPr>
              <w:spacing w:after="40"/>
            </w:pPr>
            <w:r>
              <w:rPr>
                <w:rFonts w:ascii="Segoe UI" w:hAnsi="Segoe UI"/>
                <w:b/>
                <w:color w:val="0F172A"/>
                <w:sz w:val="19"/>
              </w:rPr>
              <w:t>Tasa Interna de Retorno</w:t>
            </w:r>
          </w:p>
          <w:p>
            <w:r>
              <w:rPr>
                <w:rFonts w:ascii="Segoe UI" w:hAnsi="Segoe UI"/>
                <w:b w:val="0"/>
                <w:color w:val="94A3B8"/>
                <w:sz w:val="17"/>
              </w:rPr>
              <w:t>Rentabilidad anualizada del proyecto sobre el capital invertido</w:t>
            </w:r>
          </w:p>
        </w:tc>
        <w:tc>
          <w:tcPr>
            <w:tcW w:w="2340" w:type="dxa"/>
            <w:shd w:val="clear" w:color="auto" w:fill="F8F9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r>
              <w:rPr>
                <w:rFonts w:ascii="Courier New" w:hAnsi="Courier New"/>
                <w:b/>
                <w:color w:val="1D4ED8"/>
                <w:sz w:val="26"/>
              </w:rPr>
              <w:t>VPN</w:t>
            </w:r>
          </w:p>
          <w:p>
            <w:pPr>
              <w:spacing w:after="40"/>
            </w:pPr>
            <w:r>
              <w:rPr>
                <w:rFonts w:ascii="Segoe UI" w:hAnsi="Segoe UI"/>
                <w:b/>
                <w:color w:val="0F172A"/>
                <w:sz w:val="19"/>
              </w:rPr>
              <w:t>Valor Presente Neto</w:t>
            </w:r>
          </w:p>
          <w:p>
            <w:r>
              <w:rPr>
                <w:rFonts w:ascii="Segoe UI" w:hAnsi="Segoe UI"/>
                <w:b w:val="0"/>
                <w:color w:val="94A3B8"/>
                <w:sz w:val="17"/>
              </w:rPr>
              <w:t>Valor actual del flujo futuro descontado a la tasa de descuento exigida</w:t>
            </w:r>
          </w:p>
        </w:tc>
        <w:tc>
          <w:tcPr>
            <w:tcW w:w="2340" w:type="dxa"/>
            <w:shd w:val="clear" w:color="auto" w:fill="F8F9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r>
              <w:rPr>
                <w:rFonts w:ascii="Courier New" w:hAnsi="Courier New"/>
                <w:b/>
                <w:color w:val="1D4ED8"/>
                <w:sz w:val="26"/>
              </w:rPr>
              <w:t>ROI</w:t>
            </w:r>
          </w:p>
          <w:p>
            <w:pPr>
              <w:spacing w:after="40"/>
            </w:pPr>
            <w:r>
              <w:rPr>
                <w:rFonts w:ascii="Segoe UI" w:hAnsi="Segoe UI"/>
                <w:b/>
                <w:color w:val="0F172A"/>
                <w:sz w:val="19"/>
              </w:rPr>
              <w:t>Retorno sobre inversión</w:t>
            </w:r>
          </w:p>
          <w:p>
            <w:r>
              <w:rPr>
                <w:rFonts w:ascii="Segoe UI" w:hAnsi="Segoe UI"/>
                <w:b w:val="0"/>
                <w:color w:val="94A3B8"/>
                <w:sz w:val="17"/>
              </w:rPr>
              <w:t>Utilidad neta dividida entre la inversión total aportada por el desarrollador</w:t>
            </w:r>
          </w:p>
        </w:tc>
        <w:tc>
          <w:tcPr>
            <w:tcW w:w="2340" w:type="dxa"/>
            <w:shd w:val="clear" w:color="auto" w:fill="F8F9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r>
              <w:rPr>
                <w:rFonts w:ascii="Courier New" w:hAnsi="Courier New"/>
                <w:b/>
                <w:color w:val="1D4ED8"/>
                <w:sz w:val="26"/>
              </w:rPr>
              <w:t>Margen</w:t>
            </w:r>
          </w:p>
          <w:p>
            <w:pPr>
              <w:spacing w:after="40"/>
            </w:pPr>
            <w:r>
              <w:rPr>
                <w:rFonts w:ascii="Segoe UI" w:hAnsi="Segoe UI"/>
                <w:b/>
                <w:color w:val="0F172A"/>
                <w:sz w:val="19"/>
              </w:rPr>
              <w:t>Margen bruto y neto</w:t>
            </w:r>
          </w:p>
          <w:p>
            <w:r>
              <w:rPr>
                <w:rFonts w:ascii="Segoe UI" w:hAnsi="Segoe UI"/>
                <w:b w:val="0"/>
                <w:color w:val="94A3B8"/>
                <w:sz w:val="17"/>
              </w:rPr>
              <w:t>Utilidad entre ingresos totales, antes y después de impuestos y costos</w:t>
            </w:r>
          </w:p>
        </w:tc>
      </w:tr>
      <w:tr>
        <w:tc>
          <w:tcPr>
            <w:tcW w:w="2340" w:type="dxa"/>
            <w:shd w:val="clear" w:color="auto" w:fill="F8F9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r>
              <w:rPr>
                <w:rFonts w:ascii="Courier New" w:hAnsi="Courier New"/>
                <w:b/>
                <w:color w:val="1D4ED8"/>
                <w:sz w:val="26"/>
              </w:rPr>
              <w:t>Payback</w:t>
            </w:r>
          </w:p>
          <w:p>
            <w:pPr>
              <w:spacing w:after="40"/>
            </w:pPr>
            <w:r>
              <w:rPr>
                <w:rFonts w:ascii="Segoe UI" w:hAnsi="Segoe UI"/>
                <w:b/>
                <w:color w:val="0F172A"/>
                <w:sz w:val="19"/>
              </w:rPr>
              <w:t>Período de recuperación</w:t>
            </w:r>
          </w:p>
          <w:p>
            <w:r>
              <w:rPr>
                <w:rFonts w:ascii="Segoe UI" w:hAnsi="Segoe UI"/>
                <w:b w:val="0"/>
                <w:color w:val="94A3B8"/>
                <w:sz w:val="17"/>
              </w:rPr>
              <w:t>Meses hasta recuperar el 100% del capital propio invertido</w:t>
            </w:r>
          </w:p>
        </w:tc>
        <w:tc>
          <w:tcPr>
            <w:tcW w:w="2340" w:type="dxa"/>
            <w:shd w:val="clear" w:color="auto" w:fill="F8F9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r>
              <w:rPr>
                <w:rFonts w:ascii="Courier New" w:hAnsi="Courier New"/>
                <w:b/>
                <w:color w:val="1D4ED8"/>
                <w:sz w:val="26"/>
              </w:rPr>
              <w:t>P. Equil.</w:t>
            </w:r>
          </w:p>
          <w:p>
            <w:pPr>
              <w:spacing w:after="40"/>
            </w:pPr>
            <w:r>
              <w:rPr>
                <w:rFonts w:ascii="Segoe UI" w:hAnsi="Segoe UI"/>
                <w:b/>
                <w:color w:val="0F172A"/>
                <w:sz w:val="19"/>
              </w:rPr>
              <w:t>Punto de equilibrio</w:t>
            </w:r>
          </w:p>
          <w:p>
            <w:r>
              <w:rPr>
                <w:rFonts w:ascii="Segoe UI" w:hAnsi="Segoe UI"/>
                <w:b w:val="0"/>
                <w:color w:val="94A3B8"/>
                <w:sz w:val="17"/>
              </w:rPr>
              <w:t>Precio mínimo de venta por m² para cubrir todos los costos del proyecto</w:t>
            </w:r>
          </w:p>
        </w:tc>
        <w:tc>
          <w:tcPr>
            <w:tcW w:w="2340" w:type="dxa"/>
            <w:shd w:val="clear" w:color="auto" w:fill="F8F9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r>
              <w:rPr>
                <w:rFonts w:ascii="Courier New" w:hAnsi="Courier New"/>
                <w:b/>
                <w:color w:val="1D4ED8"/>
                <w:sz w:val="26"/>
              </w:rPr>
              <w:t>Flujo</w:t>
            </w:r>
          </w:p>
          <w:p>
            <w:pPr>
              <w:spacing w:after="40"/>
            </w:pPr>
            <w:r>
              <w:rPr>
                <w:rFonts w:ascii="Segoe UI" w:hAnsi="Segoe UI"/>
                <w:b/>
                <w:color w:val="0F172A"/>
                <w:sz w:val="19"/>
              </w:rPr>
              <w:t>Flujo de caja mensual</w:t>
            </w:r>
          </w:p>
          <w:p>
            <w:r>
              <w:rPr>
                <w:rFonts w:ascii="Segoe UI" w:hAnsi="Segoe UI"/>
                <w:b w:val="0"/>
                <w:color w:val="94A3B8"/>
                <w:sz w:val="17"/>
              </w:rPr>
              <w:t>Entradas y salidas de efectivo mes a mes durante la vida del proyecto</w:t>
            </w:r>
          </w:p>
        </w:tc>
        <w:tc>
          <w:tcPr>
            <w:tcW w:w="2340" w:type="dxa"/>
            <w:shd w:val="clear" w:color="auto" w:fill="F8F9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r>
              <w:rPr>
                <w:rFonts w:ascii="Courier New" w:hAnsi="Courier New"/>
                <w:b/>
                <w:color w:val="1D4ED8"/>
                <w:sz w:val="26"/>
              </w:rPr>
              <w:t>DSCR</w:t>
            </w:r>
          </w:p>
          <w:p>
            <w:pPr>
              <w:spacing w:after="40"/>
            </w:pPr>
            <w:r>
              <w:rPr>
                <w:rFonts w:ascii="Segoe UI" w:hAnsi="Segoe UI"/>
                <w:b/>
                <w:color w:val="0F172A"/>
                <w:sz w:val="19"/>
              </w:rPr>
              <w:t>Cobertura de deuda</w:t>
            </w:r>
          </w:p>
          <w:p>
            <w:r>
              <w:rPr>
                <w:rFonts w:ascii="Segoe UI" w:hAnsi="Segoe UI"/>
                <w:b w:val="0"/>
                <w:color w:val="94A3B8"/>
                <w:sz w:val="17"/>
              </w:rPr>
              <w:t>Capacidad del proyecto de cubrir sus obligaciones financieras con el banco</w:t>
            </w:r>
          </w:p>
        </w:tc>
      </w:tr>
    </w:tbl>
    <w:p>
      <w:pPr>
        <w:spacing w:before="0" w:after="200"/>
      </w:pPr>
    </w:p>
    <w:p>
      <w:pPr>
        <w:spacing w:before="280" w:after="120"/>
        <w:pBdr>
          <w:bottom w:val="single" w:sz="4" w:color="E2E8F0"/>
        </w:pBdr>
      </w:pPr>
      <w:r>
        <w:rPr>
          <w:rFonts w:ascii="Courier New" w:hAnsi="Courier New"/>
          <w:b/>
          <w:color w:val="94A3B8"/>
          <w:sz w:val="16"/>
        </w:rPr>
        <w:t>MODOS DE ANÁLISIS</w:t>
      </w:r>
    </w:p>
    <w:tbl>
      <w:tblPr>
        <w:tblW w:type="auto" w:w="0"/>
        <w:tblLook w:firstColumn="1" w:firstRow="1" w:lastColumn="0" w:lastRow="0" w:noHBand="0" w:noVBand="1" w:val="04A0"/>
        <w:tblW w:w="936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c>
          <w:tcPr>
            <w:tcW w:w="4680" w:type="dxa"/>
            <w:shd w:val="clear" w:color="auto" w:fill="F8F9FC"/>
            <w:tcBorders>
              <w:top w:val="single" w:sz="4" w:color="E2E8F0"/>
              <w:left w:val="single" w:sz="16" w:color="2563EB"/>
              <w:bottom w:val="single" w:sz="4" w:color="E2E8F0"/>
              <w:right w:val="single" w:sz="4" w:color="E2E8F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Courier New" w:hAnsi="Courier New"/>
                <w:b/>
                <w:color w:val="2563EB"/>
                <w:sz w:val="17"/>
              </w:rPr>
              <w:t>MODO A — EXPRESS</w:t>
            </w:r>
          </w:p>
          <w:p>
            <w:pPr>
              <w:spacing w:after="100"/>
            </w:pPr>
            <w:r>
              <w:rPr>
                <w:rFonts w:ascii="Segoe UI" w:hAnsi="Segoe UI"/>
                <w:b/>
                <w:color w:val="0F172A"/>
                <w:sz w:val="24"/>
              </w:rPr>
              <w:t>Factibilidad rápida</w:t>
            </w:r>
          </w:p>
          <w:p>
            <w:pPr>
              <w:spacing w:after="140"/>
            </w:pPr>
            <w:r>
              <w:rPr>
                <w:rFonts w:ascii="Segoe UI" w:hAnsi="Segoe UI"/>
                <w:b w:val="0"/>
                <w:color w:val="475569"/>
                <w:sz w:val="19"/>
              </w:rPr>
              <w:t>Ingresa 8 datos clave con valores por defecto inteligentes. Para saber en 2 minutos si el proyecto tiene sentido financiero antes de comprometer tiempo en un análisis detallado.</w:t>
            </w:r>
          </w:p>
          <w:p>
            <w:pPr>
              <w:spacing w:after="40"/>
            </w:pPr>
            <w:r>
              <w:rPr>
                <w:rFonts w:ascii="Segoe UI" w:hAnsi="Segoe UI"/>
                <w:b w:val="0"/>
                <w:color w:val="475569"/>
                <w:sz w:val="19"/>
              </w:rPr>
              <w:t>• Precio terreno + m² a construir</w:t>
            </w:r>
          </w:p>
          <w:p>
            <w:pPr>
              <w:spacing w:after="40"/>
            </w:pPr>
            <w:r>
              <w:rPr>
                <w:rFonts w:ascii="Segoe UI" w:hAnsi="Segoe UI"/>
                <w:b w:val="0"/>
                <w:color w:val="475569"/>
                <w:sz w:val="19"/>
              </w:rPr>
              <w:t>• Costo/m² con benchmark del AMG</w:t>
            </w:r>
          </w:p>
          <w:p>
            <w:pPr>
              <w:spacing w:after="40"/>
            </w:pPr>
            <w:r>
              <w:rPr>
                <w:rFonts w:ascii="Segoe UI" w:hAnsi="Segoe UI"/>
                <w:b w:val="0"/>
                <w:color w:val="475569"/>
                <w:sz w:val="19"/>
              </w:rPr>
              <w:t>• Precio de venta y velocidad de ventas</w:t>
            </w:r>
          </w:p>
          <w:p>
            <w:pPr>
              <w:spacing w:after="40"/>
            </w:pPr>
            <w:r>
              <w:rPr>
                <w:rFonts w:ascii="Segoe UI" w:hAnsi="Segoe UI"/>
                <w:b w:val="0"/>
                <w:color w:val="475569"/>
                <w:sz w:val="19"/>
              </w:rPr>
              <w:t>• % soft costs y financiamiento con defaults</w:t>
            </w:r>
          </w:p>
          <w:p>
            <w:pPr>
              <w:spacing w:before="140"/>
            </w:pPr>
            <w:r>
              <w:rPr>
                <w:rFonts w:ascii="Courier New" w:hAnsi="Courier New"/>
                <w:b w:val="0"/>
                <w:color w:val="94A3B8"/>
                <w:sz w:val="17"/>
              </w:rPr>
              <w:t>~2 minutos  ·  sin registro  ·  resultados instantáneos</w:t>
            </w:r>
          </w:p>
        </w:tc>
        <w:tc>
          <w:tcPr>
            <w:tcW w:w="4680" w:type="dxa"/>
            <w:shd w:val="clear" w:color="auto" w:fill="F8F9FC"/>
            <w:tcBorders>
              <w:top w:val="single" w:sz="4" w:color="E2E8F0"/>
              <w:left w:val="single" w:sz="16" w:color="7C3AED"/>
              <w:bottom w:val="single" w:sz="4" w:color="E2E8F0"/>
              <w:right w:val="single" w:sz="4" w:color="E2E8F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Courier New" w:hAnsi="Courier New"/>
                <w:b/>
                <w:color w:val="7C3AED"/>
                <w:sz w:val="17"/>
              </w:rPr>
              <w:t>MODO B — PRO</w:t>
            </w:r>
          </w:p>
          <w:p>
            <w:pPr>
              <w:spacing w:after="100"/>
            </w:pPr>
            <w:r>
              <w:rPr>
                <w:rFonts w:ascii="Segoe UI" w:hAnsi="Segoe UI"/>
                <w:b/>
                <w:color w:val="0F172A"/>
                <w:sz w:val="24"/>
              </w:rPr>
              <w:t>Modelo completo</w:t>
            </w:r>
          </w:p>
          <w:p>
            <w:pPr>
              <w:spacing w:after="140"/>
            </w:pPr>
            <w:r>
              <w:rPr>
                <w:rFonts w:ascii="Segoe UI" w:hAnsi="Segoe UI"/>
                <w:b w:val="0"/>
                <w:color w:val="475569"/>
                <w:sz w:val="19"/>
              </w:rPr>
              <w:t>Todos los bloques, timeline por fases, deuda estructurada y análisis de sensibilidad. Para presentar ante un banco, inversionista o socio de negocio.</w:t>
            </w:r>
          </w:p>
          <w:p>
            <w:pPr>
              <w:spacing w:after="40"/>
            </w:pPr>
            <w:r>
              <w:rPr>
                <w:rFonts w:ascii="Segoe UI" w:hAnsi="Segoe UI"/>
                <w:b w:val="0"/>
                <w:color w:val="475569"/>
                <w:sz w:val="19"/>
              </w:rPr>
              <w:t>• Soft costs desglosados por categoría</w:t>
            </w:r>
          </w:p>
          <w:p>
            <w:pPr>
              <w:spacing w:after="40"/>
            </w:pPr>
            <w:r>
              <w:rPr>
                <w:rFonts w:ascii="Segoe UI" w:hAnsi="Segoe UI"/>
                <w:b w:val="0"/>
                <w:color w:val="475569"/>
                <w:sz w:val="19"/>
              </w:rPr>
              <w:t>• Flujo de caja mensual graficado</w:t>
            </w:r>
          </w:p>
          <w:p>
            <w:pPr>
              <w:spacing w:after="40"/>
            </w:pPr>
            <w:r>
              <w:rPr>
                <w:rFonts w:ascii="Segoe UI" w:hAnsi="Segoe UI"/>
                <w:b w:val="0"/>
                <w:color w:val="475569"/>
                <w:sz w:val="19"/>
              </w:rPr>
              <w:t>• Estructura de deuda con DSCR</w:t>
            </w:r>
          </w:p>
          <w:p>
            <w:pPr>
              <w:spacing w:after="40"/>
            </w:pPr>
            <w:r>
              <w:rPr>
                <w:rFonts w:ascii="Segoe UI" w:hAnsi="Segoe UI"/>
                <w:b w:val="0"/>
                <w:color w:val="475569"/>
                <w:sz w:val="19"/>
              </w:rPr>
              <w:t>• Sensibilidad precio x velocidad de ventas</w:t>
            </w:r>
          </w:p>
          <w:p>
            <w:pPr>
              <w:spacing w:before="140"/>
            </w:pPr>
            <w:r>
              <w:rPr>
                <w:rFonts w:ascii="Courier New" w:hAnsi="Courier New"/>
                <w:b w:val="0"/>
                <w:color w:val="94A3B8"/>
                <w:sz w:val="17"/>
              </w:rPr>
              <w:t>~15 minutos  ·  exportable XLSX / PDF</w:t>
            </w:r>
          </w:p>
        </w:tc>
      </w:tr>
    </w:tbl>
    <w:p>
      <w:pPr>
        <w:spacing w:before="0" w:after="200"/>
      </w:pPr>
    </w:p>
    <w:p>
      <w:pPr>
        <w:spacing w:before="280" w:after="120"/>
        <w:pBdr>
          <w:bottom w:val="single" w:sz="4" w:color="E2E8F0"/>
        </w:pBdr>
      </w:pPr>
      <w:r>
        <w:rPr>
          <w:rFonts w:ascii="Courier New" w:hAnsi="Courier New"/>
          <w:b/>
          <w:color w:val="94A3B8"/>
          <w:sz w:val="16"/>
        </w:rPr>
        <w:t>DIFERENCIADORES VS. HOJA DE CÁLCULO</w:t>
      </w:r>
    </w:p>
    <w:tbl>
      <w:tblPr>
        <w:tblW w:type="auto" w:w="0"/>
        <w:tblLook w:firstColumn="1" w:firstRow="1" w:lastColumn="0" w:lastRow="0" w:noHBand="0" w:noVBand="1" w:val="04A0"/>
        <w:tblW w:w="936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c>
          <w:tcPr>
            <w:tcW w:w="4680" w:type="dxa"/>
            <w:shd w:val="clear" w:color="auto" w:fill="F8F9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Segoe UI" w:hAnsi="Segoe UI"/>
                <w:b/>
                <w:color w:val="0F172A"/>
                <w:sz w:val="20"/>
              </w:rPr>
              <w:t>Benchmarks por municipio AMG</w:t>
            </w:r>
          </w:p>
          <w:p>
            <w:r>
              <w:rPr>
                <w:rFonts w:ascii="Segoe UI" w:hAnsi="Segoe UI"/>
                <w:b w:val="0"/>
                <w:color w:val="475569"/>
                <w:sz w:val="19"/>
              </w:rPr>
              <w:t>El módulo sugiere rangos de costo/m² por tipo de proyecto y municipio (GDL, ZPN, TLQ, TLA, TON) para que los estimados sean realistas desde el principio.</w:t>
            </w:r>
          </w:p>
        </w:tc>
        <w:tc>
          <w:tcPr>
            <w:tcW w:w="4680" w:type="dxa"/>
            <w:shd w:val="clear" w:color="auto" w:fill="F8F9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Segoe UI" w:hAnsi="Segoe UI"/>
                <w:b/>
                <w:color w:val="0F172A"/>
                <w:sz w:val="20"/>
              </w:rPr>
              <w:t>Conexión con M01 — Uso de suelo</w:t>
            </w:r>
          </w:p>
          <w:p>
            <w:r>
              <w:rPr>
                <w:rFonts w:ascii="Segoe UI" w:hAnsi="Segoe UI"/>
                <w:b w:val="0"/>
                <w:color w:val="475569"/>
                <w:sz w:val="19"/>
              </w:rPr>
              <w:t>Si ya consultaste el terreno en M01, el COS y CUS se importan automáticamente, calculando los m² construibles permitidos por el PDU.</w:t>
            </w:r>
          </w:p>
        </w:tc>
      </w:tr>
      <w:tr>
        <w:tc>
          <w:tcPr>
            <w:tcW w:w="4680" w:type="dxa"/>
            <w:shd w:val="clear" w:color="auto" w:fill="F8F9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Segoe UI" w:hAnsi="Segoe UI"/>
                <w:b/>
                <w:color w:val="0F172A"/>
                <w:sz w:val="20"/>
              </w:rPr>
              <w:t>Analisis de sensibilidad automatico</w:t>
            </w:r>
          </w:p>
          <w:p>
            <w:r>
              <w:rPr>
                <w:rFonts w:ascii="Segoe UI" w:hAnsi="Segoe UI"/>
                <w:b w:val="0"/>
                <w:color w:val="475569"/>
                <w:sz w:val="19"/>
              </w:rPr>
              <w:t>Muestra como cambia la TIR si el precio baja 10%, si la obra se retrasa 3 meses, o si la velocidad de ventas es menor a la esperada.</w:t>
            </w:r>
          </w:p>
        </w:tc>
        <w:tc>
          <w:tcPr>
            <w:tcW w:w="4680" w:type="dxa"/>
            <w:shd w:val="clear" w:color="auto" w:fill="F8F9FC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Segoe UI" w:hAnsi="Segoe UI"/>
                <w:b/>
                <w:color w:val="0F172A"/>
                <w:sz w:val="20"/>
              </w:rPr>
              <w:t>Sin formulas ni errores</w:t>
            </w:r>
          </w:p>
          <w:p>
            <w:r>
              <w:rPr>
                <w:rFonts w:ascii="Segoe UI" w:hAnsi="Segoe UI"/>
                <w:b w:val="0"/>
                <w:color w:val="475569"/>
                <w:sz w:val="19"/>
              </w:rPr>
              <w:t>Los resultados se calculan en tiempo real conforme el usuario llena los campos. No hay celdas rotas ni referencias circulares.</w:t>
            </w:r>
          </w:p>
        </w:tc>
      </w:tr>
    </w:tbl>
    <w:p>
      <w:pPr>
        <w:spacing w:before="0" w:after="240"/>
      </w:pPr>
    </w:p>
    <w:p>
      <w:pPr>
        <w:pBdr>
          <w:top w:val="single" w:sz="4" w:color="E2E8F0"/>
        </w:pBdr>
      </w:pPr>
      <w:r>
        <w:rPr>
          <w:rFonts w:ascii="Segoe UI" w:hAnsi="Segoe UI"/>
          <w:b/>
          <w:color w:val="475569"/>
          <w:sz w:val="20"/>
        </w:rPr>
        <w:t>TrazaUrbana</w:t>
      </w:r>
      <w:r>
        <w:rPr>
          <w:rFonts w:ascii="Segoe UI" w:hAnsi="Segoe UI"/>
          <w:b w:val="0"/>
          <w:color w:val="475569"/>
          <w:sz w:val="20"/>
        </w:rPr>
        <w:t xml:space="preserve">  ·  Jalisco AMG  ·  M11 Corrida Financiera</w:t>
      </w:r>
      <w:r>
        <w:rPr>
          <w:rFonts w:ascii="Courier New" w:hAnsi="Courier New"/>
          <w:b w:val="0"/>
          <w:color w:val="94A3B8"/>
          <w:sz w:val="18"/>
        </w:rPr>
        <w:t xml:space="preserve">          Propuesta · Julio 2026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