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2744"/>
          <w:sz w:val="40"/>
        </w:rPr>
        <w:t>GESTOR URBANO JALISCO AMG</w:t>
      </w:r>
    </w:p>
    <w:p>
      <w:pPr>
        <w:jc w:val="center"/>
      </w:pPr>
      <w:r>
        <w:rPr>
          <w:color w:val="444444"/>
          <w:sz w:val="28"/>
        </w:rPr>
        <w:t>Bitácora de Desarrollo v41.0</w:t>
      </w:r>
    </w:p>
    <w:p>
      <w:pPr>
        <w:jc w:val="center"/>
      </w:pPr>
      <w:r>
        <w:rPr>
          <w:i/>
          <w:color w:val="666666"/>
          <w:sz w:val="22"/>
        </w:rPr>
        <w:t>Período: 29-ago-2026 – 31-ago-2026</w:t>
      </w:r>
    </w:p>
    <w:p/>
    <w:p>
      <w:pPr>
        <w:spacing w:before="320" w:after="80"/>
      </w:pPr>
      <w:r>
        <w:rPr>
          <w:b/>
          <w:color w:val="1A2744"/>
          <w:sz w:val="32"/>
        </w:rPr>
        <w:t>Resumen Ejecutivo</w:t>
      </w:r>
    </w:p>
    <w:p>
      <w:pPr>
        <w:spacing w:before="40" w:after="80"/>
      </w:pPr>
      <w:r>
        <w:rPr>
          <w:i w:val="0"/>
          <w:color w:val="444444"/>
          <w:sz w:val="21"/>
        </w:rPr>
        <w:t>Sesión de mejoras transversales a los 11 módulos activos. El foco fue calidad: ocultamiento de fuentes internas (M07), orden alfabético y expansión del glosario, normalización de títulos, nav links entre módulos, loading states en botones de cálculo y responsive móvil vía design system compartido. Todos los cambios comprometidos y publicados en Vercel.</w:t>
      </w:r>
    </w:p>
    <w:p>
      <w:pPr>
        <w:spacing w:before="200" w:after="80"/>
      </w:pPr>
      <w:r>
        <w:rPr>
          <w:b/>
          <w:color w:val="1A2744"/>
          <w:sz w:val="26"/>
        </w:rPr>
        <w:t>Commits del Período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Hash</w:t>
            </w:r>
          </w:p>
        </w:tc>
        <w:tc>
          <w:tcPr>
            <w:tcW w:type="dxa" w:w="2976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2976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ff88c44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29-ago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feat M07: ocultar tab Fuentes; Fuente Maestra a Bitacoras/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fcf4735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29-ago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feat M07: Directorio (32) y Glosario (75) A-Z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315ba8f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29-ago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feat M07: glosario +22 términos (75 → 97)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0787604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30-ago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fix: títulos, nav links e img alt en M04–M11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9f22f46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31-ago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feat #4: loading state botones cálculo M06, M08, M11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4b6a6b2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31-ago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feat #1: responsive 480px — grids 1 col (design system)</w:t>
            </w:r>
          </w:p>
        </w:tc>
      </w:tr>
    </w:tbl>
    <w:p>
      <w:pPr>
        <w:spacing w:before="200" w:after="80"/>
      </w:pPr>
      <w:r>
        <w:rPr>
          <w:b/>
          <w:color w:val="2D6A4F"/>
          <w:sz w:val="26"/>
        </w:rPr>
        <w:t>1. M07 — Tab "Fuentes" Ocultada</w:t>
      </w:r>
    </w:p>
    <w:p>
      <w:pPr>
        <w:spacing w:before="40" w:after="80"/>
      </w:pPr>
      <w:r>
        <w:rPr>
          <w:i w:val="0"/>
          <w:color w:val="444444"/>
          <w:sz w:val="21"/>
        </w:rPr>
        <w:t>La lista de fuentes normativas (APIs GeoServer, PDUs, Reglamentos municipales) es información estratégica interna. Se eliminó el tab público "Fuentes" del módulo M07.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Eliminado: botón tab-fue, panel section-fue, reglas CSS de impresión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Creado: Bitacoras/GestorUrbano_FuenteMaestra.md — listado completo por grupo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Creado: Bitacoras/GestorUrbano_FuenteMaestra.pdf — versión marcada CONFIDENCIAL</w:t>
      </w:r>
    </w:p>
    <w:p>
      <w:pPr>
        <w:spacing w:before="200" w:after="80"/>
      </w:pPr>
      <w:r>
        <w:rPr>
          <w:b/>
          <w:color w:val="2D6A4F"/>
          <w:sz w:val="26"/>
        </w:rPr>
        <w:t>2. M07 — Orden Alfabético y Expansión de Glosario</w:t>
      </w:r>
    </w:p>
    <w:p>
      <w:pPr>
        <w:spacing w:before="40" w:after="80"/>
      </w:pPr>
      <w:r>
        <w:rPr>
          <w:i w:val="0"/>
          <w:color w:val="444444"/>
          <w:sz w:val="21"/>
        </w:rPr>
        <w:t>Script Python con brace-depth counter para parsear objetos JS multi-línea. Normalización Unicode (á→a) para orden correcto en español.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Directorio: 32 entradas ordenadas por campo nombre A-Z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Glosario: 75 términos ordenados por campo termino A-Z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22 nuevos términos agregados → total 97 términos</w:t>
      </w:r>
    </w:p>
    <w:p>
      <w:pPr>
        <w:spacing w:before="40" w:after="80"/>
      </w:pPr>
      <w:r>
        <w:rPr>
          <w:i/>
          <w:color w:val="444444"/>
          <w:sz w:val="21"/>
        </w:rPr>
        <w:t>Nuevos términos: Retranqueo, Frente mínimo, Lote mínimo, Habitacional unifamiliar/plurifamiliar, Vivienda bifamiliar, Equipamiento, Uso condicionado/compatible, CANO, Número oficial, DTUDE, Pre-dictamen, Licencia de edificación/Ocupación Vial, PAI Básica, DIV, EIA, Estudio Geohidrológico, Zona Monumentos Históricos, PDU, Valor catastral.</w:t>
      </w:r>
    </w:p>
    <w:p>
      <w:pPr>
        <w:spacing w:before="200" w:after="80"/>
      </w:pPr>
      <w:r>
        <w:rPr>
          <w:b/>
          <w:color w:val="2D6A4F"/>
          <w:sz w:val="26"/>
        </w:rPr>
        <w:t>3. Auditoría de los 11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Módulos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Resolución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#1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Responsive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M01,M02,M04,M10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Resuelto vía design system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#2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Títulos inconsistentes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M05–M10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Resuelto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#3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Dark mode M11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M11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Falso positivo — ya existía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#4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Loading states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M06,M08,M11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Resuelto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#5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Nav links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M07,M08,M11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Resuelto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#6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Freemium integration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9 módulos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STBY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#7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Alt en imágenes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M04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Resuelto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#8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TODOs M09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M09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Falso positivo — era "todos" en datos</w:t>
            </w:r>
          </w:p>
        </w:tc>
      </w:tr>
    </w:tbl>
    <w:p>
      <w:pPr>
        <w:spacing w:before="200" w:after="80"/>
      </w:pPr>
      <w:r>
        <w:rPr>
          <w:b/>
          <w:color w:val="2D6A4F"/>
          <w:sz w:val="26"/>
        </w:rPr>
        <w:t>4. Fix Integral: Títulos, Nav Links, Alt Images</w:t>
      </w:r>
    </w:p>
    <w:p>
      <w:pPr>
        <w:spacing w:before="40" w:after="80"/>
      </w:pPr>
      <w:r>
        <w:rPr>
          <w:i w:val="0"/>
          <w:color w:val="444444"/>
          <w:sz w:val="21"/>
        </w:rPr>
        <w:t>Formato unificado: TrazaUrbana — [Nombre módulo] (sin número de módulo en el título).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76"/>
        <w:gridCol w:w="2976"/>
        <w:gridCol w:w="2976"/>
      </w:tblGrid>
      <w:tr>
        <w:tc>
          <w:tcPr>
            <w:tcW w:type="dxa" w:w="2976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976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Título anterior</w:t>
            </w:r>
          </w:p>
        </w:tc>
        <w:tc>
          <w:tcPr>
            <w:tcW w:type="dxa" w:w="2976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Título nuevo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M05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M05 — Requisitos... · TrazaUrbana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TrazaUrbana — Requisitos de Licencia de Construcción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M06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M06 - Licencia de Funcionamiento - TrazaUrbana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TrazaUrbana — Licencia de Funcionamiento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M07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M07 - Directorio y Glosario - TrazaUrbana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TrazaUrbana — Directorio y Glosario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M08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M08 — Calculadora... · TrazaUrbana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TrazaUrbana — Calculadora de Derechos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M09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TrazaUrbana — Monitor Normativo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TrazaUrbana — Calculadora de Derechos iCUS</w:t>
            </w:r>
          </w:p>
        </w:tc>
      </w:tr>
      <w:tr>
        <w:tc>
          <w:tcPr>
            <w:tcW w:type="dxa" w:w="2976"/>
          </w:tcPr>
          <w:p>
            <w:r>
              <w:rPr>
                <w:sz w:val="19"/>
              </w:rPr>
              <w:t>M10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TrazaUrbana · M10 Pre-Dictamen IA</w:t>
            </w:r>
          </w:p>
        </w:tc>
        <w:tc>
          <w:tcPr>
            <w:tcW w:type="dxa" w:w="2976"/>
          </w:tcPr>
          <w:p>
            <w:r>
              <w:rPr>
                <w:sz w:val="19"/>
              </w:rPr>
              <w:t>TrazaUrbana — Pre-Dictamen IA</w:t>
            </w:r>
          </w:p>
        </w:tc>
      </w:tr>
    </w:tbl>
    <w:p/>
    <w:p>
      <w:pPr>
        <w:spacing w:before="40" w:after="80"/>
      </w:pPr>
      <w:r>
        <w:rPr>
          <w:i w:val="0"/>
          <w:color w:val="444444"/>
          <w:sz w:val="21"/>
        </w:rPr>
        <w:t>Nav links: M07 +M02 +M05 | M08 +M09 | M11 +M05 +M08</w:t>
      </w:r>
    </w:p>
    <w:p>
      <w:pPr>
        <w:spacing w:before="40" w:after="80"/>
      </w:pPr>
      <w:r>
        <w:rPr>
          <w:i w:val="0"/>
          <w:color w:val="444444"/>
          <w:sz w:val="21"/>
        </w:rPr>
        <w:t>Alt image: M04 — único &lt;img&gt; sin alt corregido a &lt;img alt=""&gt;</w:t>
      </w:r>
    </w:p>
    <w:p>
      <w:pPr>
        <w:spacing w:before="200" w:after="80"/>
      </w:pPr>
      <w:r>
        <w:rPr>
          <w:b/>
          <w:color w:val="2D6A4F"/>
          <w:sz w:val="26"/>
        </w:rPr>
        <w:t>5. Loading States en Botones de Cálculo (#4)</w:t>
      </w:r>
    </w:p>
    <w:p>
      <w:pPr>
        <w:spacing w:before="40" w:after="80"/>
      </w:pPr>
      <w:r>
        <w:rPr>
          <w:i w:val="0"/>
          <w:color w:val="444444"/>
          <w:sz w:val="21"/>
        </w:rPr>
        <w:t>Patrón: DOMContentLoaded + removeAttribute("onclick") + addEventListener + setTimeout(20ms) + try/finally.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Previene doble-clic durante el cálculo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Muestra "Calculando…" — garantiza repaint antes de ejecutar la función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finally restaura el botón incluso con early return por validación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M06: 3 botones (btn-calc-gdl / zpn / mun) — helper _wrapCalc() compartido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M08: btn-calcular — wrapper directo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M11: pro-calc-btn — actualiza &lt;span&gt; interior del botón</w:t>
      </w:r>
    </w:p>
    <w:p>
      <w:pPr>
        <w:spacing w:before="200" w:after="80"/>
      </w:pPr>
      <w:r>
        <w:rPr>
          <w:b/>
          <w:color w:val="2D6A4F"/>
          <w:sz w:val="26"/>
        </w:rPr>
        <w:t>6. Responsive Móvil — Design System (#1)</w:t>
      </w:r>
    </w:p>
    <w:p>
      <w:pPr>
        <w:spacing w:before="40" w:after="80"/>
      </w:pPr>
      <w:r>
        <w:rPr>
          <w:i w:val="0"/>
          <w:color w:val="444444"/>
          <w:sz w:val="21"/>
        </w:rPr>
        <w:t>El layout principal (.gu-layout 320px+1fr) ya era responsive desde 900px (commit previo). Solo faltaban los grids internos de resultados en pantallas muy pequeñas (≤480px).</w:t>
      </w:r>
    </w:p>
    <w:p>
      <w:pPr>
        <w:spacing w:before="40" w:after="80"/>
      </w:pPr>
      <w:r>
        <w:rPr>
          <w:i/>
          <w:color w:val="444444"/>
          <w:sz w:val="21"/>
        </w:rPr>
        <w:t>Agregado al final de gu-design-system.css:</w:t>
      </w:r>
    </w:p>
    <w:p>
      <w:pPr>
        <w:spacing w:before="40" w:after="80"/>
      </w:pPr>
      <w:r>
        <w:rPr>
          <w:i/>
          <w:color w:val="444444"/>
          <w:sz w:val="21"/>
        </w:rPr>
        <w:t>@media(max-width:480px){</w:t>
        <w:br/>
        <w:t xml:space="preserve">  .gu-fgrid-3  { grid-template-columns: 1fr }</w:t>
        <w:br/>
        <w:t xml:space="preserve">  .gu-fgrid    { grid-template-columns: 1fr }</w:t>
        <w:br/>
        <w:t xml:space="preserve">  .gu-rest-grid{ grid-template-columns: 1fr }</w:t>
        <w:br/>
        <w:t xml:space="preserve">  .gu-sim-grid { grid-template-columns: 1fr }</w:t>
        <w:br/>
        <w:t>}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1 archivo — impacta todos los módulos con design system externo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M06/M07 (CSS embebido propio) no afectados — aceptable, no son módulos de campo</w:t>
      </w:r>
    </w:p>
    <w:p>
      <w:pPr>
        <w:pStyle w:val="ListBullet"/>
        <w:spacing w:before="20" w:after="20"/>
      </w:pPr>
      <w:r>
        <w:rPr>
          <w:color w:val="444444"/>
          <w:sz w:val="20"/>
        </w:rPr>
        <w:t>Sin impacto en escritorio (&gt;480px)</w:t>
      </w:r>
    </w:p>
    <w:p>
      <w:pPr>
        <w:spacing w:before="200" w:after="80"/>
      </w:pPr>
      <w:r>
        <w:rPr>
          <w:b/>
          <w:color w:val="2D6A4F"/>
          <w:sz w:val="26"/>
        </w:rPr>
        <w:t>7. Verificación de los 11 Módulos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32"/>
        <w:gridCol w:w="2232"/>
        <w:gridCol w:w="2232"/>
        <w:gridCol w:w="2232"/>
      </w:tblGrid>
      <w:tr>
        <w:tc>
          <w:tcPr>
            <w:tcW w:type="dxa" w:w="2232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Módulo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Archivo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KB</w:t>
            </w:r>
          </w:p>
        </w:tc>
        <w:tc>
          <w:tcPr>
            <w:tcW w:type="dxa" w:w="2232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M01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GestorUrbano_M01_3.html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393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M02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GestorUrbano_M02_4.html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499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M04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GestorUrbano_M04_3.html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199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M05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GestorUrbano_M05_2.html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108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M06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GestorUrbano_M06_1.html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239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 (CSS embebido)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M07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GestorUrbano_M07_1.html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115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 (CSS embebido)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M08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GestorUrbano_M08_1.html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85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M09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GestorUrbano_M09_1.html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74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M10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GestorUrbano_M10_1.html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436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M11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GestorUrbano_M11_1.html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69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</w:t>
            </w:r>
          </w:p>
        </w:tc>
      </w:tr>
      <w:tr>
        <w:tc>
          <w:tcPr>
            <w:tcW w:type="dxa" w:w="2232"/>
          </w:tcPr>
          <w:p>
            <w:r>
              <w:rPr>
                <w:sz w:val="19"/>
              </w:rPr>
              <w:t>login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login.html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2232"/>
          </w:tcPr>
          <w:p>
            <w:r>
              <w:rPr>
                <w:sz w:val="19"/>
              </w:rPr>
              <w:t>✅</w:t>
            </w:r>
          </w:p>
        </w:tc>
      </w:tr>
    </w:tbl>
    <w:p>
      <w:pPr>
        <w:spacing w:before="200" w:after="80"/>
      </w:pPr>
      <w:r>
        <w:rPr>
          <w:b/>
          <w:color w:val="1A2744"/>
          <w:sz w:val="26"/>
        </w:rPr>
        <w:t>8.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64"/>
        <w:gridCol w:w="4464"/>
      </w:tblGrid>
      <w:tr>
        <w:tc>
          <w:tcPr>
            <w:tcW w:type="dxa" w:w="446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Tarea</w:t>
            </w:r>
          </w:p>
        </w:tc>
        <w:tc>
          <w:tcPr>
            <w:tcW w:type="dxa" w:w="4464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4464"/>
          </w:tcPr>
          <w:p>
            <w:r>
              <w:rPr>
                <w:sz w:val="19"/>
              </w:rPr>
              <w:t>Freemium.js integración (M01–M03, M05–M09, M11)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🔵 STBY</w:t>
            </w:r>
          </w:p>
        </w:tc>
      </w:tr>
      <w:tr>
        <w:tc>
          <w:tcPr>
            <w:tcW w:type="dxa" w:w="4464"/>
          </w:tcPr>
          <w:p>
            <w:r>
              <w:rPr>
                <w:sz w:val="19"/>
              </w:rPr>
              <w:t>Dominio personalizado trazaurbana.mx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4464"/>
          </w:tcPr>
          <w:p>
            <w:r>
              <w:rPr>
                <w:sz w:val="19"/>
              </w:rPr>
              <w:t>UptimeRobot monitoring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4464"/>
          </w:tcPr>
          <w:p>
            <w:r>
              <w:rPr>
                <w:sz w:val="19"/>
              </w:rPr>
              <w:t>Formspree ID propio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4464"/>
          </w:tcPr>
          <w:p>
            <w:r>
              <w:rPr>
                <w:sz w:val="19"/>
              </w:rPr>
              <w:t>Gasolineras/gaseras ZPN — códigos SCIAN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⏳ Pendiente</w:t>
            </w:r>
          </w:p>
        </w:tc>
      </w:tr>
      <w:tr>
        <w:tc>
          <w:tcPr>
            <w:tcW w:type="dxa" w:w="4464"/>
          </w:tcPr>
          <w:p>
            <w:r>
              <w:rPr>
                <w:sz w:val="19"/>
              </w:rPr>
              <w:t>Guard municipio M02/M03/M05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⏳ Pendiente</w:t>
            </w:r>
          </w:p>
        </w:tc>
      </w:tr>
    </w:tbl>
    <w:p/>
    <w:p>
      <w:r>
        <w:rPr>
          <w:i/>
          <w:color w:val="666666"/>
          <w:sz w:val="18"/>
        </w:rPr>
        <w:t>Próxima bitácora: v42.0  ·  Generada: 31-ago-2026</w:t>
      </w:r>
    </w:p>
    <w:sectPr w:rsidR="00FC693F" w:rsidRPr="0006063C" w:rsidSect="00034616">
      <w:pgSz w:w="12240" w:h="15840"/>
      <w:pgMar w:top="1440" w:right="1656" w:bottom="1440" w:left="165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