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i w:val="0"/>
          <w:color w:val="444444"/>
          <w:sz w:val="32"/>
        </w:rPr>
        <w:t>DUOC UC</w:t>
      </w:r>
    </w:p>
    <w:p>
      <w:pPr>
        <w:spacing w:after="40"/>
        <w:jc w:val="center"/>
      </w:pPr>
      <w:r>
        <w:rPr>
          <w:b w:val="0"/>
          <w:i w:val="0"/>
          <w:color w:val="444444"/>
          <w:sz w:val="26"/>
        </w:rPr>
        <w:t>SEDE PLAZA OESTE</w:t>
      </w:r>
    </w:p>
    <w:p>
      <w:pPr>
        <w:spacing w:after="40"/>
        <w:jc w:val="center"/>
      </w:pPr>
      <w:r>
        <w:rPr>
          <w:b w:val="0"/>
          <w:i w:val="0"/>
          <w:color w:val="444444"/>
          <w:sz w:val="26"/>
        </w:rPr>
        <w:t>INGENIERÍA EN INFORMÁTICA</w:t>
      </w:r>
    </w:p>
    <w:p/>
    <w:p/>
    <w:p/>
    <w:p>
      <w:pPr>
        <w:spacing w:after="80"/>
        <w:jc w:val="center"/>
      </w:pPr>
      <w:r>
        <w:rPr>
          <w:b/>
          <w:i w:val="0"/>
          <w:color w:val="0A7D69"/>
          <w:sz w:val="26"/>
        </w:rPr>
        <w:t>ALLOXENTRIC REAL TIME AGENT</w:t>
      </w:r>
    </w:p>
    <w:p>
      <w:pPr>
        <w:spacing w:after="120"/>
        <w:jc w:val="center"/>
      </w:pPr>
      <w:r>
        <w:rPr>
          <w:b/>
          <w:i w:val="0"/>
          <w:color w:val="444444"/>
          <w:sz w:val="52"/>
        </w:rPr>
        <w:t>Plan de gestión y respuesta a riesgos</w:t>
      </w:r>
    </w:p>
    <w:p>
      <w:pPr>
        <w:spacing w:after="40"/>
        <w:jc w:val="center"/>
      </w:pPr>
      <w:r>
        <w:rPr>
          <w:b w:val="0"/>
          <w:i w:val="0"/>
          <w:color w:val="6F7273"/>
          <w:sz w:val="26"/>
        </w:rPr>
        <w:t>Registro de riesgos, matriz, cómo reaccionar y protocolos de incidente</w:t>
      </w:r>
    </w:p>
    <w:p/>
    <w:p/>
    <w:p/>
    <w:p>
      <w:pPr>
        <w:spacing w:after="40"/>
        <w:jc w:val="center"/>
      </w:pPr>
      <w:r>
        <w:rPr>
          <w:b w:val="0"/>
          <w:i w:val="0"/>
        </w:rPr>
        <w:t>Asignatura: Capstone  ·  Sigla: PTY4614 / 001V</w:t>
      </w:r>
    </w:p>
    <w:p>
      <w:pPr>
        <w:spacing w:after="200"/>
        <w:jc w:val="center"/>
      </w:pPr>
      <w:r>
        <w:rPr>
          <w:b w:val="0"/>
          <w:i w:val="0"/>
        </w:rPr>
        <w:t>Docente guía: Luis Bravo Yáñez</w:t>
      </w:r>
    </w:p>
    <w:p>
      <w:pPr>
        <w:spacing w:after="40"/>
        <w:jc w:val="center"/>
      </w:pPr>
      <w:r>
        <w:rPr>
          <w:b/>
          <w:i w:val="0"/>
          <w:color w:val="0A7D69"/>
        </w:rPr>
        <w:t>Integrantes</w:t>
      </w:r>
    </w:p>
    <w:p>
      <w:pPr>
        <w:spacing w:after="20"/>
        <w:jc w:val="center"/>
      </w:pPr>
      <w:r>
        <w:rPr>
          <w:b w:val="0"/>
          <w:i w:val="0"/>
        </w:rPr>
        <w:t>Juan Díaz (Product Owner y desarrollador)</w:t>
      </w:r>
    </w:p>
    <w:p>
      <w:pPr>
        <w:spacing w:after="20"/>
        <w:jc w:val="center"/>
      </w:pPr>
      <w:r>
        <w:rPr>
          <w:b w:val="0"/>
          <w:i w:val="0"/>
        </w:rPr>
        <w:t>Fernando Patricio Olguea González (líder de proyecto y desarrollador)</w:t>
      </w:r>
    </w:p>
    <w:p>
      <w:pPr>
        <w:spacing w:after="20"/>
        <w:jc w:val="center"/>
      </w:pPr>
      <w:r>
        <w:rPr>
          <w:b w:val="0"/>
          <w:i w:val="0"/>
        </w:rPr>
        <w:t>David Alexis Sepúlveda Manque (Scrum Master y desarrollador)</w:t>
      </w:r>
    </w:p>
    <w:p/>
    <w:p/>
    <w:p>
      <w:pPr>
        <w:spacing w:after="40"/>
        <w:jc w:val="center"/>
      </w:pPr>
      <w:r>
        <w:rPr>
          <w:b w:val="0"/>
          <w:i w:val="0"/>
        </w:rPr>
        <w:t>30 de octubre de 2026 (semana 12)</w:t>
      </w:r>
    </w:p>
    <w:p>
      <w:pPr>
        <w:spacing w:after="40"/>
        <w:jc w:val="center"/>
      </w:pPr>
      <w:r>
        <w:rPr>
          <w:b w:val="0"/>
          <w:i w:val="0"/>
          <w:color w:val="6F7273"/>
          <w:sz w:val="19"/>
        </w:rPr>
        <w:t>Código del documento: D02  ·  Versión 1.0 (borrador)</w:t>
      </w:r>
    </w:p>
    <w:p>
      <w:pPr>
        <w:jc w:val="center"/>
      </w:pPr>
      <w:r>
        <w:rPr>
          <w:b w:val="0"/>
          <w:i w:val="0"/>
          <w:color w:val="6F7273"/>
          <w:sz w:val="19"/>
        </w:rPr>
        <w:t>Estado: Borrador para revisión del equipo</w:t>
      </w:r>
    </w:p>
    <w:p>
      <w:r>
        <w:br w:type="page"/>
      </w:r>
    </w:p>
    <w:p>
      <w:pPr>
        <w:pStyle w:val="Heading2"/>
      </w:pPr>
      <w:r>
        <w:t>Control del documento</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351"/>
        <w:gridCol w:w="2351"/>
        <w:gridCol w:w="2351"/>
        <w:gridCol w:w="2351"/>
      </w:tblGrid>
      <w:tr>
        <w:trPr>
          <w:tblHeader w:val="true"/>
        </w:trPr>
        <w:tc>
          <w:tcPr>
            <w:tcW w:type="dxa" w:w="1247"/>
            <w:shd w:val="clear" w:color="auto" w:fill="0A7D69"/>
          </w:tcPr>
          <w:p>
            <w:pPr>
              <w:spacing w:after="0"/>
            </w:pPr>
            <w:r>
              <w:rPr>
                <w:b/>
                <w:color w:val="FFFFFF"/>
                <w:sz w:val="18"/>
              </w:rPr>
              <w:t>Versión</w:t>
            </w:r>
          </w:p>
        </w:tc>
        <w:tc>
          <w:tcPr>
            <w:tcW w:type="dxa" w:w="1814"/>
            <w:shd w:val="clear" w:color="auto" w:fill="0A7D69"/>
          </w:tcPr>
          <w:p>
            <w:pPr>
              <w:spacing w:after="0"/>
            </w:pPr>
            <w:r>
              <w:rPr>
                <w:b/>
                <w:color w:val="FFFFFF"/>
                <w:sz w:val="18"/>
              </w:rPr>
              <w:t>Fecha</w:t>
            </w:r>
          </w:p>
        </w:tc>
        <w:tc>
          <w:tcPr>
            <w:tcW w:type="dxa" w:w="2041"/>
            <w:shd w:val="clear" w:color="auto" w:fill="0A7D69"/>
          </w:tcPr>
          <w:p>
            <w:pPr>
              <w:spacing w:after="0"/>
            </w:pPr>
            <w:r>
              <w:rPr>
                <w:b/>
                <w:color w:val="FFFFFF"/>
                <w:sz w:val="18"/>
              </w:rPr>
              <w:t>Autor</w:t>
            </w:r>
          </w:p>
        </w:tc>
        <w:tc>
          <w:tcPr>
            <w:tcW w:type="dxa" w:w="3969"/>
            <w:shd w:val="clear" w:color="auto" w:fill="0A7D69"/>
          </w:tcPr>
          <w:p>
            <w:pPr>
              <w:spacing w:after="0"/>
            </w:pPr>
            <w:r>
              <w:rPr>
                <w:b/>
                <w:color w:val="FFFFFF"/>
                <w:sz w:val="18"/>
              </w:rPr>
              <w:t>Cambios</w:t>
            </w:r>
          </w:p>
        </w:tc>
      </w:tr>
      <w:tr>
        <w:trPr>
          <w:cantSplit w:val="true"/>
        </w:trPr>
        <w:tc>
          <w:tcPr>
            <w:tcW w:type="dxa" w:w="1247"/>
          </w:tcPr>
          <w:p>
            <w:pPr>
              <w:spacing w:after="20" w:line="252" w:lineRule="auto"/>
            </w:pPr>
            <w:r>
              <w:rPr>
                <w:b w:val="0"/>
                <w:i w:val="0"/>
                <w:sz w:val="18"/>
              </w:rPr>
              <w:t>1.0 (borrador)</w:t>
            </w:r>
          </w:p>
        </w:tc>
        <w:tc>
          <w:tcPr>
            <w:tcW w:type="dxa" w:w="1814"/>
          </w:tcPr>
          <w:p>
            <w:pPr>
              <w:spacing w:after="20" w:line="252" w:lineRule="auto"/>
            </w:pPr>
            <w:r>
              <w:rPr>
                <w:b w:val="0"/>
                <w:i w:val="0"/>
                <w:sz w:val="18"/>
              </w:rPr>
              <w:t>30-oct-2026</w:t>
            </w:r>
          </w:p>
        </w:tc>
        <w:tc>
          <w:tcPr>
            <w:tcW w:type="dxa" w:w="2041"/>
          </w:tcPr>
          <w:p>
            <w:pPr>
              <w:spacing w:after="20" w:line="252" w:lineRule="auto"/>
            </w:pPr>
            <w:r>
              <w:rPr>
                <w:b w:val="0"/>
                <w:i w:val="0"/>
                <w:sz w:val="18"/>
              </w:rPr>
              <w:t>Juan Díaz</w:t>
            </w:r>
          </w:p>
        </w:tc>
        <w:tc>
          <w:tcPr>
            <w:tcW w:type="dxa" w:w="3969"/>
          </w:tcPr>
          <w:p>
            <w:pPr>
              <w:spacing w:after="20" w:line="252" w:lineRule="auto"/>
            </w:pPr>
            <w:r>
              <w:rPr>
                <w:b w:val="0"/>
                <w:i w:val="0"/>
                <w:sz w:val="18"/>
              </w:rPr>
              <w:t>Primera versión redactada a partir del repositorio técnico, los PR #1 a #16, el informe grupal 2.4 y las mediciones del 30-oct. Pendiente de revisión por Fernando y David.</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Pr>
      <w:tblGrid>
        <w:gridCol w:w="9406"/>
      </w:tblGrid>
      <w:tr>
        <w:tc>
          <w:tcPr>
            <w:tcW w:type="dxa" w:w="9406"/>
            <w:shd w:val="clear" w:color="auto" w:fill="E8FBF6"/>
          </w:tcPr>
          <w:p>
            <w:pPr>
              <w:spacing w:after="0"/>
            </w:pPr>
            <w:r>
              <w:rPr>
                <w:b/>
                <w:i w:val="0"/>
                <w:sz w:val="20"/>
              </w:rPr>
              <w:t>Leyenda de clasificación (CLAUDE.md del repositorio técnico).</w:t>
            </w:r>
            <w:r>
              <w:rPr>
                <w:b w:val="0"/>
                <w:i w:val="0"/>
                <w:sz w:val="20"/>
              </w:rPr>
              <w:t xml:space="preserve"> </w:t>
            </w:r>
            <w:r>
              <w:rPr>
                <w:b/>
                <w:i w:val="0"/>
                <w:color w:val="1B7F4C"/>
                <w:sz w:val="20"/>
              </w:rPr>
              <w:t>[CONFIRMADO]</w:t>
            </w:r>
            <w:r>
              <w:rPr>
                <w:b w:val="0"/>
                <w:i w:val="0"/>
                <w:sz w:val="20"/>
              </w:rPr>
              <w:t xml:space="preserve"> respaldado explícitamente por el equipo, el cliente o el repositorio · </w:t>
            </w:r>
            <w:r>
              <w:rPr>
                <w:b/>
                <w:i w:val="0"/>
                <w:color w:val="1F5FA8"/>
                <w:sz w:val="20"/>
              </w:rPr>
              <w:t>[PROPUESTA]</w:t>
            </w:r>
            <w:r>
              <w:rPr>
                <w:b w:val="0"/>
                <w:i w:val="0"/>
                <w:sz w:val="20"/>
              </w:rPr>
              <w:t xml:space="preserve"> sugerida, aún no aprobada · </w:t>
            </w:r>
            <w:r>
              <w:rPr>
                <w:b/>
                <w:i w:val="0"/>
                <w:color w:val="9A6700"/>
                <w:sz w:val="20"/>
              </w:rPr>
              <w:t>[INFERENCIA]</w:t>
            </w:r>
            <w:r>
              <w:rPr>
                <w:b w:val="0"/>
                <w:i w:val="0"/>
                <w:sz w:val="20"/>
              </w:rPr>
              <w:t xml:space="preserve"> deducida de información confirmada; requiere validación · </w:t>
            </w:r>
            <w:r>
              <w:rPr>
                <w:b/>
                <w:i w:val="0"/>
                <w:color w:val="B3261E"/>
                <w:sz w:val="20"/>
              </w:rPr>
              <w:t>[PENDIENTE]</w:t>
            </w:r>
            <w:r>
              <w:rPr>
                <w:b w:val="0"/>
                <w:i w:val="0"/>
                <w:sz w:val="20"/>
              </w:rPr>
              <w:t xml:space="preserve"> falta información; no se asume · </w:t>
            </w:r>
            <w:r>
              <w:rPr>
                <w:b/>
                <w:i w:val="0"/>
                <w:color w:val="555555"/>
                <w:sz w:val="20"/>
              </w:rPr>
              <w:t>[REPORTADO POR EL EQUIPO]</w:t>
            </w:r>
            <w:r>
              <w:rPr>
                <w:b w:val="0"/>
                <w:i w:val="0"/>
                <w:sz w:val="20"/>
              </w:rPr>
              <w:t xml:space="preserve"> informado por el equipo sin archivo de respaldo.</w:t>
            </w:r>
          </w:p>
        </w:tc>
      </w:tr>
    </w:tbl>
    <w:p>
      <w:pPr>
        <w:spacing w:after="40"/>
      </w:pPr>
    </w:p>
    <w:p>
      <w:pPr>
        <w:pStyle w:val="Heading1"/>
      </w:pPr>
      <w:r>
        <w:t>Índice</w:t>
      </w:r>
    </w:p>
    <w:p>
      <w:r>
        <w:fldChar w:fldCharType="begin"/>
        <w:instrText xml:space="preserve">TOC \o "1-2" \h \z \u</w:instrText>
        <w:fldChar w:fldCharType="separate"/>
        <w:t>Haz clic derecho y elige «Actualizar campo» para ver el índice con números de página.</w:t>
        <w:fldChar w:fldCharType="end"/>
      </w:r>
    </w:p>
    <w:p>
      <w:r>
        <w:br w:type="page"/>
      </w:r>
    </w:p>
    <w:p>
      <w:pPr>
        <w:pStyle w:val="Heading1"/>
      </w:pPr>
      <w:r>
        <w:t>1. Propósito y método</w:t>
      </w:r>
    </w:p>
    <w:p>
      <w:pPr>
        <w:jc w:val="both"/>
      </w:pPr>
      <w:r>
        <w:rPr>
          <w:b w:val="0"/>
          <w:i w:val="0"/>
        </w:rPr>
        <w:t xml:space="preserve">Este documento identifica los riesgos del proyecto, los valora y define </w:t>
      </w:r>
      <w:r>
        <w:rPr>
          <w:b/>
          <w:i w:val="0"/>
        </w:rPr>
        <w:t>qué hacer cuando ocurren</w:t>
      </w:r>
      <w:r>
        <w:rPr>
          <w:b w:val="0"/>
          <w:i w:val="0"/>
        </w:rPr>
        <w:t>. Se construyó a partir de los riesgos declarados en las Fases 1 y 2 (informe de definición e informe grupal 2.4), de los incidentes reales ocurridos entre el 23 y el 30 de octubre de 2026 y de las pruebas realizadas. Complementa la sección de riesgos de la Fase 1, que identificaba cuatro riesgos de alto nivel.</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8"/>
              </w:rPr>
              <w:t>Elemento</w:t>
            </w:r>
          </w:p>
        </w:tc>
        <w:tc>
          <w:tcPr>
            <w:tcW w:type="dxa" w:w="7257"/>
            <w:shd w:val="clear" w:color="auto" w:fill="0A7D69"/>
          </w:tcPr>
          <w:p>
            <w:pPr>
              <w:spacing w:after="0"/>
            </w:pPr>
            <w:r>
              <w:rPr>
                <w:b/>
                <w:color w:val="FFFFFF"/>
                <w:sz w:val="18"/>
              </w:rPr>
              <w:t>Definición</w:t>
            </w:r>
          </w:p>
        </w:tc>
      </w:tr>
      <w:tr>
        <w:trPr>
          <w:cantSplit w:val="true"/>
        </w:trPr>
        <w:tc>
          <w:tcPr>
            <w:tcW w:type="dxa" w:w="1814"/>
          </w:tcPr>
          <w:p>
            <w:pPr>
              <w:spacing w:after="20" w:line="252" w:lineRule="auto"/>
            </w:pPr>
            <w:r>
              <w:rPr>
                <w:b w:val="0"/>
                <w:i w:val="0"/>
                <w:sz w:val="18"/>
              </w:rPr>
              <w:t>Probabilidad</w:t>
            </w:r>
          </w:p>
        </w:tc>
        <w:tc>
          <w:tcPr>
            <w:tcW w:type="dxa" w:w="7257"/>
          </w:tcPr>
          <w:p>
            <w:pPr>
              <w:spacing w:after="20" w:line="252" w:lineRule="auto"/>
            </w:pPr>
            <w:r>
              <w:rPr>
                <w:b w:val="0"/>
                <w:i w:val="0"/>
                <w:sz w:val="18"/>
              </w:rPr>
              <w:t>1 Baja · 2 Media · 3 Alta (juicio del equipo; no hay datos históricos suficientes).</w:t>
            </w:r>
          </w:p>
        </w:tc>
      </w:tr>
      <w:tr>
        <w:trPr>
          <w:cantSplit w:val="true"/>
        </w:trPr>
        <w:tc>
          <w:tcPr>
            <w:tcW w:type="dxa" w:w="1814"/>
            <w:shd w:val="clear" w:color="auto" w:fill="F5F7F7"/>
          </w:tcPr>
          <w:p>
            <w:pPr>
              <w:spacing w:after="20" w:line="252" w:lineRule="auto"/>
            </w:pPr>
            <w:r>
              <w:rPr>
                <w:b w:val="0"/>
                <w:i w:val="0"/>
                <w:sz w:val="18"/>
              </w:rPr>
              <w:t>Impacto</w:t>
            </w:r>
          </w:p>
        </w:tc>
        <w:tc>
          <w:tcPr>
            <w:tcW w:type="dxa" w:w="7257"/>
            <w:shd w:val="clear" w:color="auto" w:fill="F5F7F7"/>
          </w:tcPr>
          <w:p>
            <w:pPr>
              <w:spacing w:after="20" w:line="252" w:lineRule="auto"/>
            </w:pPr>
            <w:r>
              <w:rPr>
                <w:b w:val="0"/>
                <w:i w:val="0"/>
                <w:sz w:val="18"/>
              </w:rPr>
              <w:t>1 Bajo · 2 Medio · 3 Alto, medido sobre los objetivos del proyecto: requisito de latencia, alcance, plazo, costo, seguridad o calidad.</w:t>
            </w:r>
          </w:p>
        </w:tc>
      </w:tr>
      <w:tr>
        <w:trPr>
          <w:cantSplit w:val="true"/>
        </w:trPr>
        <w:tc>
          <w:tcPr>
            <w:tcW w:type="dxa" w:w="1814"/>
          </w:tcPr>
          <w:p>
            <w:pPr>
              <w:spacing w:after="20" w:line="252" w:lineRule="auto"/>
            </w:pPr>
            <w:r>
              <w:rPr>
                <w:b w:val="0"/>
                <w:i w:val="0"/>
                <w:sz w:val="18"/>
              </w:rPr>
              <w:t>Nivel</w:t>
            </w:r>
          </w:p>
        </w:tc>
        <w:tc>
          <w:tcPr>
            <w:tcW w:type="dxa" w:w="7257"/>
          </w:tcPr>
          <w:p>
            <w:pPr>
              <w:spacing w:after="20" w:line="252" w:lineRule="auto"/>
            </w:pPr>
            <w:r>
              <w:rPr>
                <w:b w:val="0"/>
                <w:i w:val="0"/>
                <w:sz w:val="18"/>
              </w:rPr>
              <w:t>Probabilidad × Impacto: 1–2 Bajo · 3–4 Medio · 6 Alto · 9 Crítico.</w:t>
            </w:r>
          </w:p>
        </w:tc>
      </w:tr>
      <w:tr>
        <w:trPr>
          <w:cantSplit w:val="true"/>
        </w:trPr>
        <w:tc>
          <w:tcPr>
            <w:tcW w:type="dxa" w:w="1814"/>
            <w:shd w:val="clear" w:color="auto" w:fill="F5F7F7"/>
          </w:tcPr>
          <w:p>
            <w:pPr>
              <w:spacing w:after="20" w:line="252" w:lineRule="auto"/>
            </w:pPr>
            <w:r>
              <w:rPr>
                <w:b w:val="0"/>
                <w:i w:val="0"/>
                <w:sz w:val="18"/>
              </w:rPr>
              <w:t>Estado</w:t>
            </w:r>
          </w:p>
        </w:tc>
        <w:tc>
          <w:tcPr>
            <w:tcW w:type="dxa" w:w="7257"/>
            <w:shd w:val="clear" w:color="auto" w:fill="F5F7F7"/>
          </w:tcPr>
          <w:p>
            <w:pPr>
              <w:spacing w:after="20" w:line="252" w:lineRule="auto"/>
            </w:pPr>
            <w:r>
              <w:rPr>
                <w:b/>
                <w:i w:val="0"/>
                <w:sz w:val="18"/>
              </w:rPr>
              <w:t>Materializado</w:t>
            </w:r>
            <w:r>
              <w:rPr>
                <w:b w:val="0"/>
                <w:i w:val="0"/>
                <w:sz w:val="18"/>
              </w:rPr>
              <w:t xml:space="preserve"> (ya ocurrió) · </w:t>
            </w:r>
            <w:r>
              <w:rPr>
                <w:b/>
                <w:i w:val="0"/>
                <w:sz w:val="18"/>
              </w:rPr>
              <w:t>Activo</w:t>
            </w:r>
            <w:r>
              <w:rPr>
                <w:b w:val="0"/>
                <w:i w:val="0"/>
                <w:sz w:val="18"/>
              </w:rPr>
              <w:t xml:space="preserve"> (puede ocurrir en cualquier momento) · </w:t>
            </w:r>
            <w:r>
              <w:rPr>
                <w:b/>
                <w:i w:val="0"/>
                <w:sz w:val="18"/>
              </w:rPr>
              <w:t>Vigilancia</w:t>
            </w:r>
            <w:r>
              <w:rPr>
                <w:b w:val="0"/>
                <w:i w:val="0"/>
                <w:sz w:val="18"/>
              </w:rPr>
              <w:t xml:space="preserve"> (sin disparador visible) · </w:t>
            </w:r>
            <w:r>
              <w:rPr>
                <w:b/>
                <w:i w:val="0"/>
                <w:sz w:val="18"/>
              </w:rPr>
              <w:t>Mitigado</w:t>
            </w:r>
            <w:r>
              <w:rPr>
                <w:b w:val="0"/>
                <w:i w:val="0"/>
                <w:sz w:val="18"/>
              </w:rPr>
              <w:t xml:space="preserve"> (la causa se atendió).</w:t>
            </w:r>
          </w:p>
        </w:tc>
      </w:tr>
      <w:tr>
        <w:trPr>
          <w:cantSplit w:val="true"/>
        </w:trPr>
        <w:tc>
          <w:tcPr>
            <w:tcW w:type="dxa" w:w="1814"/>
          </w:tcPr>
          <w:p>
            <w:pPr>
              <w:spacing w:after="20" w:line="252" w:lineRule="auto"/>
            </w:pPr>
            <w:r>
              <w:rPr>
                <w:b w:val="0"/>
                <w:i w:val="0"/>
                <w:sz w:val="18"/>
              </w:rPr>
              <w:t>Responsable</w:t>
            </w:r>
          </w:p>
        </w:tc>
        <w:tc>
          <w:tcPr>
            <w:tcW w:type="dxa" w:w="7257"/>
          </w:tcPr>
          <w:p>
            <w:pPr>
              <w:spacing w:after="20" w:line="252" w:lineRule="auto"/>
            </w:pPr>
            <w:r>
              <w:rPr>
                <w:b/>
                <w:i w:val="0"/>
                <w:color w:val="1F5FA8"/>
                <w:sz w:val="18"/>
              </w:rPr>
              <w:t>[PROPUESTA]</w:t>
            </w:r>
            <w:r>
              <w:rPr>
                <w:b w:val="0"/>
                <w:i w:val="0"/>
                <w:sz w:val="18"/>
              </w:rPr>
              <w:t xml:space="preserve"> Persona que lidera la reacción. No está aprobado por el equipo; se somete a revisión en la reunión de seguimiento.</w:t>
            </w:r>
          </w:p>
        </w:tc>
      </w:tr>
      <w:tr>
        <w:trPr>
          <w:cantSplit w:val="true"/>
        </w:trPr>
        <w:tc>
          <w:tcPr>
            <w:tcW w:type="dxa" w:w="1814"/>
            <w:shd w:val="clear" w:color="auto" w:fill="F5F7F7"/>
          </w:tcPr>
          <w:p>
            <w:pPr>
              <w:spacing w:after="20" w:line="252" w:lineRule="auto"/>
            </w:pPr>
            <w:r>
              <w:rPr>
                <w:b w:val="0"/>
                <w:i w:val="0"/>
                <w:sz w:val="18"/>
              </w:rPr>
              <w:t>Indicador</w:t>
            </w:r>
          </w:p>
        </w:tc>
        <w:tc>
          <w:tcPr>
            <w:tcW w:type="dxa" w:w="7257"/>
            <w:shd w:val="clear" w:color="auto" w:fill="F5F7F7"/>
          </w:tcPr>
          <w:p>
            <w:pPr>
              <w:spacing w:after="20" w:line="252" w:lineRule="auto"/>
            </w:pPr>
            <w:r>
              <w:rPr>
                <w:b w:val="0"/>
                <w:i w:val="0"/>
                <w:sz w:val="18"/>
              </w:rPr>
              <w:t>Señal temprana observable (log, métrica, mensaje) que activa la reacción.</w:t>
            </w:r>
          </w:p>
        </w:tc>
      </w:tr>
    </w:tbl>
    <w:p>
      <w:pPr>
        <w:spacing w:after="40"/>
      </w:pPr>
    </w:p>
    <w:p>
      <w:pPr>
        <w:pStyle w:val="Heading1"/>
      </w:pPr>
      <w:r>
        <w:t>2. Resumen</w:t>
      </w:r>
    </w:p>
    <w:p>
      <w:pPr>
        <w:jc w:val="both"/>
      </w:pPr>
      <w:r>
        <w:rPr>
          <w:b w:val="0"/>
          <w:i w:val="0"/>
        </w:rPr>
        <w:t xml:space="preserve">Se registran </w:t>
      </w:r>
      <w:r>
        <w:rPr>
          <w:b/>
          <w:i w:val="0"/>
        </w:rPr>
        <w:t>20 riesgos</w:t>
      </w:r>
      <w:r>
        <w:rPr>
          <w:b w:val="0"/>
          <w:i w:val="0"/>
        </w:rPr>
        <w:t>: 4 críticos, 8 altos, 8 medios y 0 bajos. Por estado: 5 ya materializados, 11 activos, 3 en vigilancia y 1 mitigado.</w:t>
      </w:r>
    </w:p>
    <w:p>
      <w:pPr>
        <w:spacing w:after="40"/>
      </w:pPr>
      <w:r>
        <w:rPr>
          <w:b/>
          <w:i w:val="0"/>
        </w:rPr>
        <w:t>Los cinco que más condicionan el cierre del proyecto:</w:t>
      </w:r>
    </w:p>
    <w:p>
      <w:pPr>
        <w:spacing w:after="40"/>
        <w:ind w:left="510" w:hanging="340"/>
      </w:pPr>
      <w:r>
        <w:rPr>
          <w:b/>
          <w:color w:val="0A7D69"/>
        </w:rPr>
        <w:t xml:space="preserve">1. </w:t>
      </w:r>
      <w:r>
        <w:rPr>
          <w:b/>
          <w:i w:val="0"/>
        </w:rPr>
        <w:t>R-01 Latencia de voz a voz.</w:t>
      </w:r>
      <w:r>
        <w:rPr>
          <w:b w:val="0"/>
          <w:i w:val="0"/>
        </w:rPr>
        <w:t xml:space="preserve"> Ya ocurre: mediana de 2,59 s frente al máximo de 1 s exigido.</w:t>
      </w:r>
    </w:p>
    <w:p>
      <w:pPr>
        <w:spacing w:after="40"/>
        <w:ind w:left="510" w:hanging="340"/>
      </w:pPr>
      <w:r>
        <w:rPr>
          <w:b/>
          <w:color w:val="0A7D69"/>
        </w:rPr>
        <w:t xml:space="preserve">2. </w:t>
      </w:r>
      <w:r>
        <w:rPr>
          <w:b/>
          <w:i w:val="0"/>
        </w:rPr>
        <w:t>R-04 Falta de guion oficial, flujo de Hites y accesos de Alloxentric.</w:t>
      </w:r>
      <w:r>
        <w:rPr>
          <w:b w:val="0"/>
          <w:i w:val="0"/>
        </w:rPr>
        <w:t xml:space="preserve"> Sin ellos no se puede validar el caso de cobranza real ni hacer la comparación.</w:t>
      </w:r>
    </w:p>
    <w:p>
      <w:pPr>
        <w:spacing w:after="40"/>
        <w:ind w:left="510" w:hanging="340"/>
      </w:pPr>
      <w:r>
        <w:rPr>
          <w:b/>
          <w:color w:val="0A7D69"/>
        </w:rPr>
        <w:t xml:space="preserve">3. </w:t>
      </w:r>
      <w:r>
        <w:rPr>
          <w:b/>
          <w:i w:val="0"/>
        </w:rPr>
        <w:t>R-05 Telefonía con Asterisk sin validar.</w:t>
      </w:r>
      <w:r>
        <w:rPr>
          <w:b w:val="0"/>
          <w:i w:val="0"/>
        </w:rPr>
        <w:t xml:space="preserve"> Es parte del alcance confirmado y hoy no hay ninguna llamada telefónica.</w:t>
      </w:r>
    </w:p>
    <w:p>
      <w:pPr>
        <w:spacing w:after="40"/>
        <w:ind w:left="510" w:hanging="340"/>
      </w:pPr>
      <w:r>
        <w:rPr>
          <w:b/>
          <w:color w:val="0A7D69"/>
        </w:rPr>
        <w:t xml:space="preserve">4. </w:t>
      </w:r>
      <w:r>
        <w:rPr>
          <w:b/>
          <w:i w:val="0"/>
        </w:rPr>
        <w:t>R-19 Tiempo insuficiente</w:t>
      </w:r>
      <w:r>
        <w:rPr>
          <w:b w:val="0"/>
          <w:i w:val="0"/>
        </w:rPr>
        <w:t xml:space="preserve"> para integración, pruebas y comparación de costos con las semanas restantes.</w:t>
      </w:r>
    </w:p>
    <w:p>
      <w:pPr>
        <w:spacing w:after="40"/>
        <w:ind w:left="510" w:hanging="340"/>
      </w:pPr>
      <w:r>
        <w:rPr>
          <w:b/>
          <w:color w:val="0A7D69"/>
        </w:rPr>
        <w:t xml:space="preserve">5. </w:t>
      </w:r>
      <w:r>
        <w:rPr>
          <w:b/>
          <w:i w:val="0"/>
        </w:rPr>
        <w:t>R-06 y R-07 Gasto descontrolado y exposición de credenciales</w:t>
      </w:r>
      <w:r>
        <w:rPr>
          <w:b w:val="0"/>
          <w:i w:val="0"/>
        </w:rPr>
        <w:t>, que crecen apenas la demo es pública.</w:t>
      </w:r>
    </w:p>
    <w:p>
      <w:pPr>
        <w:keepNext/>
        <w:jc w:val="center"/>
      </w:pPr>
      <w:r>
        <w:drawing>
          <wp:inline xmlns:a="http://schemas.openxmlformats.org/drawingml/2006/main" xmlns:pic="http://schemas.openxmlformats.org/drawingml/2006/picture">
            <wp:extent cx="4500000" cy="3552632"/>
            <wp:docPr id="1" name="Picture 1"/>
            <wp:cNvGraphicFramePr>
              <a:graphicFrameLocks noChangeAspect="1"/>
            </wp:cNvGraphicFramePr>
            <a:graphic>
              <a:graphicData uri="http://schemas.openxmlformats.org/drawingml/2006/picture">
                <pic:pic>
                  <pic:nvPicPr>
                    <pic:cNvPr id="0" name="matriz_riesgos.png"/>
                    <pic:cNvPicPr/>
                  </pic:nvPicPr>
                  <pic:blipFill>
                    <a:blip r:embed="rId10"/>
                    <a:stretch>
                      <a:fillRect/>
                    </a:stretch>
                  </pic:blipFill>
                  <pic:spPr>
                    <a:xfrm>
                      <a:off x="0" y="0"/>
                      <a:ext cx="4500000" cy="3552632"/>
                    </a:xfrm>
                    <a:prstGeom prst="rect"/>
                  </pic:spPr>
                </pic:pic>
              </a:graphicData>
            </a:graphic>
          </wp:inline>
        </w:drawing>
      </w:r>
    </w:p>
    <w:p>
      <w:pPr>
        <w:jc w:val="center"/>
      </w:pPr>
      <w:r>
        <w:rPr>
          <w:b w:val="0"/>
          <w:i/>
          <w:color w:val="6F7273"/>
          <w:sz w:val="18"/>
        </w:rPr>
        <w:t>Figura 1. Matriz de riesgos. Los identificadores corresponden al registro de la sección 3.</w:t>
      </w:r>
    </w:p>
    <w:p>
      <w:pPr>
        <w:pStyle w:val="Heading1"/>
      </w:pPr>
      <w:r>
        <w:t>3. Registro de riesgos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344"/>
        <w:gridCol w:w="1344"/>
        <w:gridCol w:w="1344"/>
        <w:gridCol w:w="1344"/>
        <w:gridCol w:w="1344"/>
        <w:gridCol w:w="1344"/>
        <w:gridCol w:w="1344"/>
      </w:tblGrid>
      <w:tr>
        <w:trPr>
          <w:tblHeader w:val="true"/>
        </w:trPr>
        <w:tc>
          <w:tcPr>
            <w:tcW w:type="dxa" w:w="737"/>
            <w:shd w:val="clear" w:color="auto" w:fill="0A7D69"/>
          </w:tcPr>
          <w:p>
            <w:pPr>
              <w:spacing w:after="0"/>
            </w:pPr>
            <w:r>
              <w:rPr>
                <w:b/>
                <w:color w:val="FFFFFF"/>
                <w:sz w:val="17"/>
              </w:rPr>
              <w:t>ID</w:t>
            </w:r>
          </w:p>
        </w:tc>
        <w:tc>
          <w:tcPr>
            <w:tcW w:type="dxa" w:w="3515"/>
            <w:shd w:val="clear" w:color="auto" w:fill="0A7D69"/>
          </w:tcPr>
          <w:p>
            <w:pPr>
              <w:spacing w:after="0"/>
            </w:pPr>
            <w:r>
              <w:rPr>
                <w:b/>
                <w:color w:val="FFFFFF"/>
                <w:sz w:val="17"/>
              </w:rPr>
              <w:t>Riesgo</w:t>
            </w:r>
          </w:p>
        </w:tc>
        <w:tc>
          <w:tcPr>
            <w:tcW w:type="dxa" w:w="1474"/>
            <w:shd w:val="clear" w:color="auto" w:fill="0A7D69"/>
          </w:tcPr>
          <w:p>
            <w:pPr>
              <w:spacing w:after="0"/>
            </w:pPr>
            <w:r>
              <w:rPr>
                <w:b/>
                <w:color w:val="FFFFFF"/>
                <w:sz w:val="17"/>
              </w:rPr>
              <w:t>Categoría</w:t>
            </w:r>
          </w:p>
        </w:tc>
        <w:tc>
          <w:tcPr>
            <w:tcW w:type="dxa" w:w="737"/>
            <w:shd w:val="clear" w:color="auto" w:fill="0A7D69"/>
          </w:tcPr>
          <w:p>
            <w:pPr>
              <w:spacing w:after="0"/>
            </w:pPr>
            <w:r>
              <w:rPr>
                <w:b/>
                <w:color w:val="FFFFFF"/>
                <w:sz w:val="17"/>
              </w:rPr>
              <w:t>Prob.</w:t>
            </w:r>
          </w:p>
        </w:tc>
        <w:tc>
          <w:tcPr>
            <w:tcW w:type="dxa" w:w="907"/>
            <w:shd w:val="clear" w:color="auto" w:fill="0A7D69"/>
          </w:tcPr>
          <w:p>
            <w:pPr>
              <w:spacing w:after="0"/>
            </w:pPr>
            <w:r>
              <w:rPr>
                <w:b/>
                <w:color w:val="FFFFFF"/>
                <w:sz w:val="17"/>
              </w:rPr>
              <w:t>Impacto</w:t>
            </w:r>
          </w:p>
        </w:tc>
        <w:tc>
          <w:tcPr>
            <w:tcW w:type="dxa" w:w="850"/>
            <w:shd w:val="clear" w:color="auto" w:fill="0A7D69"/>
          </w:tcPr>
          <w:p>
            <w:pPr>
              <w:spacing w:after="0"/>
            </w:pPr>
            <w:r>
              <w:rPr>
                <w:b/>
                <w:color w:val="FFFFFF"/>
                <w:sz w:val="17"/>
              </w:rPr>
              <w:t>Nivel</w:t>
            </w:r>
          </w:p>
        </w:tc>
        <w:tc>
          <w:tcPr>
            <w:tcW w:type="dxa" w:w="1077"/>
            <w:shd w:val="clear" w:color="auto" w:fill="0A7D69"/>
          </w:tcPr>
          <w:p>
            <w:pPr>
              <w:spacing w:after="0"/>
            </w:pPr>
            <w:r>
              <w:rPr>
                <w:b/>
                <w:color w:val="FFFFFF"/>
                <w:sz w:val="17"/>
              </w:rPr>
              <w:t>Estado</w:t>
            </w:r>
          </w:p>
        </w:tc>
      </w:tr>
      <w:tr>
        <w:trPr>
          <w:cantSplit w:val="true"/>
        </w:trPr>
        <w:tc>
          <w:tcPr>
            <w:tcW w:type="dxa" w:w="737"/>
          </w:tcPr>
          <w:p>
            <w:pPr>
              <w:spacing w:after="20" w:line="252" w:lineRule="auto"/>
            </w:pPr>
            <w:r>
              <w:rPr>
                <w:b w:val="0"/>
                <w:i w:val="0"/>
                <w:sz w:val="17"/>
              </w:rPr>
              <w:t>R-01</w:t>
            </w:r>
          </w:p>
        </w:tc>
        <w:tc>
          <w:tcPr>
            <w:tcW w:type="dxa" w:w="3515"/>
          </w:tcPr>
          <w:p>
            <w:pPr>
              <w:spacing w:after="20" w:line="252" w:lineRule="auto"/>
            </w:pPr>
            <w:r>
              <w:rPr>
                <w:b w:val="0"/>
                <w:i w:val="0"/>
                <w:sz w:val="17"/>
              </w:rPr>
              <w:t>Latencia de voz a voz superior a 1 s</w:t>
            </w:r>
          </w:p>
        </w:tc>
        <w:tc>
          <w:tcPr>
            <w:tcW w:type="dxa" w:w="1474"/>
          </w:tcPr>
          <w:p>
            <w:pPr>
              <w:spacing w:after="20" w:line="252" w:lineRule="auto"/>
            </w:pPr>
            <w:r>
              <w:rPr>
                <w:b w:val="0"/>
                <w:i w:val="0"/>
                <w:sz w:val="17"/>
              </w:rPr>
              <w:t>Rendimiento</w:t>
            </w:r>
          </w:p>
        </w:tc>
        <w:tc>
          <w:tcPr>
            <w:tcW w:type="dxa" w:w="737"/>
          </w:tcPr>
          <w:p>
            <w:pPr>
              <w:spacing w:after="20" w:line="252" w:lineRule="auto"/>
            </w:pPr>
            <w:r>
              <w:rPr>
                <w:b w:val="0"/>
                <w:i w:val="0"/>
                <w:sz w:val="17"/>
              </w:rPr>
              <w:t>Alta</w:t>
            </w:r>
          </w:p>
        </w:tc>
        <w:tc>
          <w:tcPr>
            <w:tcW w:type="dxa" w:w="907"/>
          </w:tcPr>
          <w:p>
            <w:pPr>
              <w:spacing w:after="20" w:line="252" w:lineRule="auto"/>
            </w:pPr>
            <w:r>
              <w:rPr>
                <w:b w:val="0"/>
                <w:i w:val="0"/>
                <w:sz w:val="17"/>
              </w:rPr>
              <w:t>Alto</w:t>
            </w:r>
          </w:p>
        </w:tc>
        <w:tc>
          <w:tcPr>
            <w:tcW w:type="dxa" w:w="850"/>
          </w:tcPr>
          <w:p>
            <w:pPr>
              <w:spacing w:after="20" w:line="252" w:lineRule="auto"/>
            </w:pPr>
            <w:r>
              <w:rPr>
                <w:b w:val="0"/>
                <w:i w:val="0"/>
                <w:sz w:val="17"/>
              </w:rPr>
              <w:t>Crítico</w:t>
            </w:r>
          </w:p>
        </w:tc>
        <w:tc>
          <w:tcPr>
            <w:tcW w:type="dxa" w:w="1077"/>
          </w:tcPr>
          <w:p>
            <w:pPr>
              <w:spacing w:after="20" w:line="252" w:lineRule="auto"/>
            </w:pPr>
            <w:r>
              <w:rPr>
                <w:b w:val="0"/>
                <w:i w:val="0"/>
                <w:sz w:val="17"/>
              </w:rPr>
              <w:t>Materializado</w:t>
            </w:r>
          </w:p>
        </w:tc>
      </w:tr>
      <w:tr>
        <w:trPr>
          <w:cantSplit w:val="true"/>
        </w:trPr>
        <w:tc>
          <w:tcPr>
            <w:tcW w:type="dxa" w:w="737"/>
            <w:shd w:val="clear" w:color="auto" w:fill="F5F7F7"/>
          </w:tcPr>
          <w:p>
            <w:pPr>
              <w:spacing w:after="20" w:line="252" w:lineRule="auto"/>
            </w:pPr>
            <w:r>
              <w:rPr>
                <w:b w:val="0"/>
                <w:i w:val="0"/>
                <w:sz w:val="17"/>
              </w:rPr>
              <w:t>R-04</w:t>
            </w:r>
          </w:p>
        </w:tc>
        <w:tc>
          <w:tcPr>
            <w:tcW w:type="dxa" w:w="3515"/>
            <w:shd w:val="clear" w:color="auto" w:fill="F5F7F7"/>
          </w:tcPr>
          <w:p>
            <w:pPr>
              <w:spacing w:after="20" w:line="252" w:lineRule="auto"/>
            </w:pPr>
            <w:r>
              <w:rPr>
                <w:b w:val="0"/>
                <w:i w:val="0"/>
                <w:sz w:val="17"/>
              </w:rPr>
              <w:t>Falta de guion oficial, flujo de Hites y accesos de Alloxentric</w:t>
            </w:r>
          </w:p>
        </w:tc>
        <w:tc>
          <w:tcPr>
            <w:tcW w:type="dxa" w:w="1474"/>
            <w:shd w:val="clear" w:color="auto" w:fill="F5F7F7"/>
          </w:tcPr>
          <w:p>
            <w:pPr>
              <w:spacing w:after="20" w:line="252" w:lineRule="auto"/>
            </w:pPr>
            <w:r>
              <w:rPr>
                <w:b w:val="0"/>
                <w:i w:val="0"/>
                <w:sz w:val="17"/>
              </w:rPr>
              <w:t>Dependencia externa</w:t>
            </w:r>
          </w:p>
        </w:tc>
        <w:tc>
          <w:tcPr>
            <w:tcW w:type="dxa" w:w="737"/>
            <w:shd w:val="clear" w:color="auto" w:fill="F5F7F7"/>
          </w:tcPr>
          <w:p>
            <w:pPr>
              <w:spacing w:after="20" w:line="252" w:lineRule="auto"/>
            </w:pPr>
            <w:r>
              <w:rPr>
                <w:b w:val="0"/>
                <w:i w:val="0"/>
                <w:sz w:val="17"/>
              </w:rPr>
              <w:t>Alta</w:t>
            </w:r>
          </w:p>
        </w:tc>
        <w:tc>
          <w:tcPr>
            <w:tcW w:type="dxa" w:w="907"/>
            <w:shd w:val="clear" w:color="auto" w:fill="F5F7F7"/>
          </w:tcPr>
          <w:p>
            <w:pPr>
              <w:spacing w:after="20" w:line="252" w:lineRule="auto"/>
            </w:pPr>
            <w:r>
              <w:rPr>
                <w:b w:val="0"/>
                <w:i w:val="0"/>
                <w:sz w:val="17"/>
              </w:rPr>
              <w:t>Alto</w:t>
            </w:r>
          </w:p>
        </w:tc>
        <w:tc>
          <w:tcPr>
            <w:tcW w:type="dxa" w:w="850"/>
            <w:shd w:val="clear" w:color="auto" w:fill="F5F7F7"/>
          </w:tcPr>
          <w:p>
            <w:pPr>
              <w:spacing w:after="20" w:line="252" w:lineRule="auto"/>
            </w:pPr>
            <w:r>
              <w:rPr>
                <w:b w:val="0"/>
                <w:i w:val="0"/>
                <w:sz w:val="17"/>
              </w:rPr>
              <w:t>Crítico</w:t>
            </w:r>
          </w:p>
        </w:tc>
        <w:tc>
          <w:tcPr>
            <w:tcW w:type="dxa" w:w="1077"/>
            <w:shd w:val="clear" w:color="auto" w:fill="F5F7F7"/>
          </w:tcPr>
          <w:p>
            <w:pPr>
              <w:spacing w:after="20" w:line="252" w:lineRule="auto"/>
            </w:pPr>
            <w:r>
              <w:rPr>
                <w:b w:val="0"/>
                <w:i w:val="0"/>
                <w:sz w:val="17"/>
              </w:rPr>
              <w:t>Activo</w:t>
            </w:r>
          </w:p>
        </w:tc>
      </w:tr>
      <w:tr>
        <w:trPr>
          <w:cantSplit w:val="true"/>
        </w:trPr>
        <w:tc>
          <w:tcPr>
            <w:tcW w:type="dxa" w:w="737"/>
          </w:tcPr>
          <w:p>
            <w:pPr>
              <w:spacing w:after="20" w:line="252" w:lineRule="auto"/>
            </w:pPr>
            <w:r>
              <w:rPr>
                <w:b w:val="0"/>
                <w:i w:val="0"/>
                <w:sz w:val="17"/>
              </w:rPr>
              <w:t>R-05</w:t>
            </w:r>
          </w:p>
        </w:tc>
        <w:tc>
          <w:tcPr>
            <w:tcW w:type="dxa" w:w="3515"/>
          </w:tcPr>
          <w:p>
            <w:pPr>
              <w:spacing w:after="20" w:line="252" w:lineRule="auto"/>
            </w:pPr>
            <w:r>
              <w:rPr>
                <w:b w:val="0"/>
                <w:i w:val="0"/>
                <w:sz w:val="17"/>
              </w:rPr>
              <w:t>Integración con Asterisk no validada</w:t>
            </w:r>
          </w:p>
        </w:tc>
        <w:tc>
          <w:tcPr>
            <w:tcW w:type="dxa" w:w="1474"/>
          </w:tcPr>
          <w:p>
            <w:pPr>
              <w:spacing w:after="20" w:line="252" w:lineRule="auto"/>
            </w:pPr>
            <w:r>
              <w:rPr>
                <w:b w:val="0"/>
                <w:i w:val="0"/>
                <w:sz w:val="17"/>
              </w:rPr>
              <w:t>Integración</w:t>
            </w:r>
          </w:p>
        </w:tc>
        <w:tc>
          <w:tcPr>
            <w:tcW w:type="dxa" w:w="737"/>
          </w:tcPr>
          <w:p>
            <w:pPr>
              <w:spacing w:after="20" w:line="252" w:lineRule="auto"/>
            </w:pPr>
            <w:r>
              <w:rPr>
                <w:b w:val="0"/>
                <w:i w:val="0"/>
                <w:sz w:val="17"/>
              </w:rPr>
              <w:t>Alta</w:t>
            </w:r>
          </w:p>
        </w:tc>
        <w:tc>
          <w:tcPr>
            <w:tcW w:type="dxa" w:w="907"/>
          </w:tcPr>
          <w:p>
            <w:pPr>
              <w:spacing w:after="20" w:line="252" w:lineRule="auto"/>
            </w:pPr>
            <w:r>
              <w:rPr>
                <w:b w:val="0"/>
                <w:i w:val="0"/>
                <w:sz w:val="17"/>
              </w:rPr>
              <w:t>Alto</w:t>
            </w:r>
          </w:p>
        </w:tc>
        <w:tc>
          <w:tcPr>
            <w:tcW w:type="dxa" w:w="850"/>
          </w:tcPr>
          <w:p>
            <w:pPr>
              <w:spacing w:after="20" w:line="252" w:lineRule="auto"/>
            </w:pPr>
            <w:r>
              <w:rPr>
                <w:b w:val="0"/>
                <w:i w:val="0"/>
                <w:sz w:val="17"/>
              </w:rPr>
              <w:t>Crítico</w:t>
            </w:r>
          </w:p>
        </w:tc>
        <w:tc>
          <w:tcPr>
            <w:tcW w:type="dxa" w:w="1077"/>
          </w:tcPr>
          <w:p>
            <w:pPr>
              <w:spacing w:after="20" w:line="252" w:lineRule="auto"/>
            </w:pPr>
            <w:r>
              <w:rPr>
                <w:b w:val="0"/>
                <w:i w:val="0"/>
                <w:sz w:val="17"/>
              </w:rPr>
              <w:t>Activo</w:t>
            </w:r>
          </w:p>
        </w:tc>
      </w:tr>
      <w:tr>
        <w:trPr>
          <w:cantSplit w:val="true"/>
        </w:trPr>
        <w:tc>
          <w:tcPr>
            <w:tcW w:type="dxa" w:w="737"/>
            <w:shd w:val="clear" w:color="auto" w:fill="F5F7F7"/>
          </w:tcPr>
          <w:p>
            <w:pPr>
              <w:spacing w:after="20" w:line="252" w:lineRule="auto"/>
            </w:pPr>
            <w:r>
              <w:rPr>
                <w:b w:val="0"/>
                <w:i w:val="0"/>
                <w:sz w:val="17"/>
              </w:rPr>
              <w:t>R-19</w:t>
            </w:r>
          </w:p>
        </w:tc>
        <w:tc>
          <w:tcPr>
            <w:tcW w:type="dxa" w:w="3515"/>
            <w:shd w:val="clear" w:color="auto" w:fill="F5F7F7"/>
          </w:tcPr>
          <w:p>
            <w:pPr>
              <w:spacing w:after="20" w:line="252" w:lineRule="auto"/>
            </w:pPr>
            <w:r>
              <w:rPr>
                <w:b w:val="0"/>
                <w:i w:val="0"/>
                <w:sz w:val="17"/>
              </w:rPr>
              <w:t>Tiempo insuficiente para integración, pruebas y comparación de costos</w:t>
            </w:r>
          </w:p>
        </w:tc>
        <w:tc>
          <w:tcPr>
            <w:tcW w:type="dxa" w:w="1474"/>
            <w:shd w:val="clear" w:color="auto" w:fill="F5F7F7"/>
          </w:tcPr>
          <w:p>
            <w:pPr>
              <w:spacing w:after="20" w:line="252" w:lineRule="auto"/>
            </w:pPr>
            <w:r>
              <w:rPr>
                <w:b w:val="0"/>
                <w:i w:val="0"/>
                <w:sz w:val="17"/>
              </w:rPr>
              <w:t>Planificación</w:t>
            </w:r>
          </w:p>
        </w:tc>
        <w:tc>
          <w:tcPr>
            <w:tcW w:type="dxa" w:w="737"/>
            <w:shd w:val="clear" w:color="auto" w:fill="F5F7F7"/>
          </w:tcPr>
          <w:p>
            <w:pPr>
              <w:spacing w:after="20" w:line="252" w:lineRule="auto"/>
            </w:pPr>
            <w:r>
              <w:rPr>
                <w:b w:val="0"/>
                <w:i w:val="0"/>
                <w:sz w:val="17"/>
              </w:rPr>
              <w:t>Alta</w:t>
            </w:r>
          </w:p>
        </w:tc>
        <w:tc>
          <w:tcPr>
            <w:tcW w:type="dxa" w:w="907"/>
            <w:shd w:val="clear" w:color="auto" w:fill="F5F7F7"/>
          </w:tcPr>
          <w:p>
            <w:pPr>
              <w:spacing w:after="20" w:line="252" w:lineRule="auto"/>
            </w:pPr>
            <w:r>
              <w:rPr>
                <w:b w:val="0"/>
                <w:i w:val="0"/>
                <w:sz w:val="17"/>
              </w:rPr>
              <w:t>Alto</w:t>
            </w:r>
          </w:p>
        </w:tc>
        <w:tc>
          <w:tcPr>
            <w:tcW w:type="dxa" w:w="850"/>
            <w:shd w:val="clear" w:color="auto" w:fill="F5F7F7"/>
          </w:tcPr>
          <w:p>
            <w:pPr>
              <w:spacing w:after="20" w:line="252" w:lineRule="auto"/>
            </w:pPr>
            <w:r>
              <w:rPr>
                <w:b w:val="0"/>
                <w:i w:val="0"/>
                <w:sz w:val="17"/>
              </w:rPr>
              <w:t>Crítico</w:t>
            </w:r>
          </w:p>
        </w:tc>
        <w:tc>
          <w:tcPr>
            <w:tcW w:type="dxa" w:w="1077"/>
            <w:shd w:val="clear" w:color="auto" w:fill="F5F7F7"/>
          </w:tcPr>
          <w:p>
            <w:pPr>
              <w:spacing w:after="20" w:line="252" w:lineRule="auto"/>
            </w:pPr>
            <w:r>
              <w:rPr>
                <w:b w:val="0"/>
                <w:i w:val="0"/>
                <w:sz w:val="17"/>
              </w:rPr>
              <w:t>Activo</w:t>
            </w:r>
          </w:p>
        </w:tc>
      </w:tr>
      <w:tr>
        <w:trPr>
          <w:cantSplit w:val="true"/>
        </w:trPr>
        <w:tc>
          <w:tcPr>
            <w:tcW w:type="dxa" w:w="737"/>
          </w:tcPr>
          <w:p>
            <w:pPr>
              <w:spacing w:after="20" w:line="252" w:lineRule="auto"/>
            </w:pPr>
            <w:r>
              <w:rPr>
                <w:b w:val="0"/>
                <w:i w:val="0"/>
                <w:sz w:val="17"/>
              </w:rPr>
              <w:t>R-03</w:t>
            </w:r>
          </w:p>
        </w:tc>
        <w:tc>
          <w:tcPr>
            <w:tcW w:type="dxa" w:w="3515"/>
          </w:tcPr>
          <w:p>
            <w:pPr>
              <w:spacing w:after="20" w:line="252" w:lineRule="auto"/>
            </w:pPr>
            <w:r>
              <w:rPr>
                <w:b w:val="0"/>
                <w:i w:val="0"/>
                <w:sz w:val="17"/>
              </w:rPr>
              <w:t>Retraso de un componente que bloquea al resto</w:t>
            </w:r>
          </w:p>
        </w:tc>
        <w:tc>
          <w:tcPr>
            <w:tcW w:type="dxa" w:w="1474"/>
          </w:tcPr>
          <w:p>
            <w:pPr>
              <w:spacing w:after="20" w:line="252" w:lineRule="auto"/>
            </w:pPr>
            <w:r>
              <w:rPr>
                <w:b w:val="0"/>
                <w:i w:val="0"/>
                <w:sz w:val="17"/>
              </w:rPr>
              <w:t>Planificación</w:t>
            </w:r>
          </w:p>
        </w:tc>
        <w:tc>
          <w:tcPr>
            <w:tcW w:type="dxa" w:w="737"/>
          </w:tcPr>
          <w:p>
            <w:pPr>
              <w:spacing w:after="20" w:line="252" w:lineRule="auto"/>
            </w:pPr>
            <w:r>
              <w:rPr>
                <w:b w:val="0"/>
                <w:i w:val="0"/>
                <w:sz w:val="17"/>
              </w:rPr>
              <w:t>Media</w:t>
            </w:r>
          </w:p>
        </w:tc>
        <w:tc>
          <w:tcPr>
            <w:tcW w:type="dxa" w:w="907"/>
          </w:tcPr>
          <w:p>
            <w:pPr>
              <w:spacing w:after="20" w:line="252" w:lineRule="auto"/>
            </w:pPr>
            <w:r>
              <w:rPr>
                <w:b w:val="0"/>
                <w:i w:val="0"/>
                <w:sz w:val="17"/>
              </w:rPr>
              <w:t>Alto</w:t>
            </w:r>
          </w:p>
        </w:tc>
        <w:tc>
          <w:tcPr>
            <w:tcW w:type="dxa" w:w="850"/>
          </w:tcPr>
          <w:p>
            <w:pPr>
              <w:spacing w:after="20" w:line="252" w:lineRule="auto"/>
            </w:pPr>
            <w:r>
              <w:rPr>
                <w:b w:val="0"/>
                <w:i w:val="0"/>
                <w:sz w:val="17"/>
              </w:rPr>
              <w:t>Alto</w:t>
            </w:r>
          </w:p>
        </w:tc>
        <w:tc>
          <w:tcPr>
            <w:tcW w:type="dxa" w:w="1077"/>
          </w:tcPr>
          <w:p>
            <w:pPr>
              <w:spacing w:after="20" w:line="252" w:lineRule="auto"/>
            </w:pPr>
            <w:r>
              <w:rPr>
                <w:b w:val="0"/>
                <w:i w:val="0"/>
                <w:sz w:val="17"/>
              </w:rPr>
              <w:t>Mitigado</w:t>
            </w:r>
          </w:p>
        </w:tc>
      </w:tr>
      <w:tr>
        <w:trPr>
          <w:cantSplit w:val="true"/>
        </w:trPr>
        <w:tc>
          <w:tcPr>
            <w:tcW w:type="dxa" w:w="737"/>
            <w:shd w:val="clear" w:color="auto" w:fill="F5F7F7"/>
          </w:tcPr>
          <w:p>
            <w:pPr>
              <w:spacing w:after="20" w:line="252" w:lineRule="auto"/>
            </w:pPr>
            <w:r>
              <w:rPr>
                <w:b w:val="0"/>
                <w:i w:val="0"/>
                <w:sz w:val="17"/>
              </w:rPr>
              <w:t>R-06</w:t>
            </w:r>
          </w:p>
        </w:tc>
        <w:tc>
          <w:tcPr>
            <w:tcW w:type="dxa" w:w="3515"/>
            <w:shd w:val="clear" w:color="auto" w:fill="F5F7F7"/>
          </w:tcPr>
          <w:p>
            <w:pPr>
              <w:spacing w:after="20" w:line="252" w:lineRule="auto"/>
            </w:pPr>
            <w:r>
              <w:rPr>
                <w:b w:val="0"/>
                <w:i w:val="0"/>
                <w:sz w:val="17"/>
              </w:rPr>
              <w:t>Gasto descontrolado en APIs (ElevenLabs, Gemini, Google STT)</w:t>
            </w:r>
          </w:p>
        </w:tc>
        <w:tc>
          <w:tcPr>
            <w:tcW w:type="dxa" w:w="1474"/>
            <w:shd w:val="clear" w:color="auto" w:fill="F5F7F7"/>
          </w:tcPr>
          <w:p>
            <w:pPr>
              <w:spacing w:after="20" w:line="252" w:lineRule="auto"/>
            </w:pPr>
            <w:r>
              <w:rPr>
                <w:b w:val="0"/>
                <w:i w:val="0"/>
                <w:sz w:val="17"/>
              </w:rPr>
              <w:t>Costos</w:t>
            </w:r>
          </w:p>
        </w:tc>
        <w:tc>
          <w:tcPr>
            <w:tcW w:type="dxa" w:w="737"/>
            <w:shd w:val="clear" w:color="auto" w:fill="F5F7F7"/>
          </w:tcPr>
          <w:p>
            <w:pPr>
              <w:spacing w:after="20" w:line="252" w:lineRule="auto"/>
            </w:pPr>
            <w:r>
              <w:rPr>
                <w:b w:val="0"/>
                <w:i w:val="0"/>
                <w:sz w:val="17"/>
              </w:rPr>
              <w:t>Media</w:t>
            </w:r>
          </w:p>
        </w:tc>
        <w:tc>
          <w:tcPr>
            <w:tcW w:type="dxa" w:w="907"/>
            <w:shd w:val="clear" w:color="auto" w:fill="F5F7F7"/>
          </w:tcPr>
          <w:p>
            <w:pPr>
              <w:spacing w:after="20" w:line="252" w:lineRule="auto"/>
            </w:pPr>
            <w:r>
              <w:rPr>
                <w:b w:val="0"/>
                <w:i w:val="0"/>
                <w:sz w:val="17"/>
              </w:rPr>
              <w:t>Alto</w:t>
            </w:r>
          </w:p>
        </w:tc>
        <w:tc>
          <w:tcPr>
            <w:tcW w:type="dxa" w:w="850"/>
            <w:shd w:val="clear" w:color="auto" w:fill="F5F7F7"/>
          </w:tcPr>
          <w:p>
            <w:pPr>
              <w:spacing w:after="20" w:line="252" w:lineRule="auto"/>
            </w:pPr>
            <w:r>
              <w:rPr>
                <w:b w:val="0"/>
                <w:i w:val="0"/>
                <w:sz w:val="17"/>
              </w:rPr>
              <w:t>Alto</w:t>
            </w:r>
          </w:p>
        </w:tc>
        <w:tc>
          <w:tcPr>
            <w:tcW w:type="dxa" w:w="1077"/>
            <w:shd w:val="clear" w:color="auto" w:fill="F5F7F7"/>
          </w:tcPr>
          <w:p>
            <w:pPr>
              <w:spacing w:after="20" w:line="252" w:lineRule="auto"/>
            </w:pPr>
            <w:r>
              <w:rPr>
                <w:b w:val="0"/>
                <w:i w:val="0"/>
                <w:sz w:val="17"/>
              </w:rPr>
              <w:t>Activo</w:t>
            </w:r>
          </w:p>
        </w:tc>
      </w:tr>
      <w:tr>
        <w:trPr>
          <w:cantSplit w:val="true"/>
        </w:trPr>
        <w:tc>
          <w:tcPr>
            <w:tcW w:type="dxa" w:w="737"/>
          </w:tcPr>
          <w:p>
            <w:pPr>
              <w:spacing w:after="20" w:line="252" w:lineRule="auto"/>
            </w:pPr>
            <w:r>
              <w:rPr>
                <w:b w:val="0"/>
                <w:i w:val="0"/>
                <w:sz w:val="17"/>
              </w:rPr>
              <w:t>R-07</w:t>
            </w:r>
          </w:p>
        </w:tc>
        <w:tc>
          <w:tcPr>
            <w:tcW w:type="dxa" w:w="3515"/>
          </w:tcPr>
          <w:p>
            <w:pPr>
              <w:spacing w:after="20" w:line="252" w:lineRule="auto"/>
            </w:pPr>
            <w:r>
              <w:rPr>
                <w:b w:val="0"/>
                <w:i w:val="0"/>
                <w:sz w:val="17"/>
              </w:rPr>
              <w:t>Exposición de credenciales</w:t>
            </w:r>
          </w:p>
        </w:tc>
        <w:tc>
          <w:tcPr>
            <w:tcW w:type="dxa" w:w="1474"/>
          </w:tcPr>
          <w:p>
            <w:pPr>
              <w:spacing w:after="20" w:line="252" w:lineRule="auto"/>
            </w:pPr>
            <w:r>
              <w:rPr>
                <w:b w:val="0"/>
                <w:i w:val="0"/>
                <w:sz w:val="17"/>
              </w:rPr>
              <w:t>Seguridad</w:t>
            </w:r>
          </w:p>
        </w:tc>
        <w:tc>
          <w:tcPr>
            <w:tcW w:type="dxa" w:w="737"/>
          </w:tcPr>
          <w:p>
            <w:pPr>
              <w:spacing w:after="20" w:line="252" w:lineRule="auto"/>
            </w:pPr>
            <w:r>
              <w:rPr>
                <w:b w:val="0"/>
                <w:i w:val="0"/>
                <w:sz w:val="17"/>
              </w:rPr>
              <w:t>Media</w:t>
            </w:r>
          </w:p>
        </w:tc>
        <w:tc>
          <w:tcPr>
            <w:tcW w:type="dxa" w:w="907"/>
          </w:tcPr>
          <w:p>
            <w:pPr>
              <w:spacing w:after="20" w:line="252" w:lineRule="auto"/>
            </w:pPr>
            <w:r>
              <w:rPr>
                <w:b w:val="0"/>
                <w:i w:val="0"/>
                <w:sz w:val="17"/>
              </w:rPr>
              <w:t>Alto</w:t>
            </w:r>
          </w:p>
        </w:tc>
        <w:tc>
          <w:tcPr>
            <w:tcW w:type="dxa" w:w="850"/>
          </w:tcPr>
          <w:p>
            <w:pPr>
              <w:spacing w:after="20" w:line="252" w:lineRule="auto"/>
            </w:pPr>
            <w:r>
              <w:rPr>
                <w:b w:val="0"/>
                <w:i w:val="0"/>
                <w:sz w:val="17"/>
              </w:rPr>
              <w:t>Alto</w:t>
            </w:r>
          </w:p>
        </w:tc>
        <w:tc>
          <w:tcPr>
            <w:tcW w:type="dxa" w:w="1077"/>
          </w:tcPr>
          <w:p>
            <w:pPr>
              <w:spacing w:after="20" w:line="252" w:lineRule="auto"/>
            </w:pPr>
            <w:r>
              <w:rPr>
                <w:b w:val="0"/>
                <w:i w:val="0"/>
                <w:sz w:val="17"/>
              </w:rPr>
              <w:t>Materializado</w:t>
            </w:r>
          </w:p>
        </w:tc>
      </w:tr>
      <w:tr>
        <w:trPr>
          <w:cantSplit w:val="true"/>
        </w:trPr>
        <w:tc>
          <w:tcPr>
            <w:tcW w:type="dxa" w:w="737"/>
            <w:shd w:val="clear" w:color="auto" w:fill="F5F7F7"/>
          </w:tcPr>
          <w:p>
            <w:pPr>
              <w:spacing w:after="20" w:line="252" w:lineRule="auto"/>
            </w:pPr>
            <w:r>
              <w:rPr>
                <w:b w:val="0"/>
                <w:i w:val="0"/>
                <w:sz w:val="17"/>
              </w:rPr>
              <w:t>R-08</w:t>
            </w:r>
          </w:p>
        </w:tc>
        <w:tc>
          <w:tcPr>
            <w:tcW w:type="dxa" w:w="3515"/>
            <w:shd w:val="clear" w:color="auto" w:fill="F5F7F7"/>
          </w:tcPr>
          <w:p>
            <w:pPr>
              <w:spacing w:after="20" w:line="252" w:lineRule="auto"/>
            </w:pPr>
            <w:r>
              <w:rPr>
                <w:b w:val="0"/>
                <w:i w:val="0"/>
                <w:sz w:val="17"/>
              </w:rPr>
              <w:t>Dependencia de credenciales personales de Google (ADC de usuario)</w:t>
            </w:r>
          </w:p>
        </w:tc>
        <w:tc>
          <w:tcPr>
            <w:tcW w:type="dxa" w:w="1474"/>
            <w:shd w:val="clear" w:color="auto" w:fill="F5F7F7"/>
          </w:tcPr>
          <w:p>
            <w:pPr>
              <w:spacing w:after="20" w:line="252" w:lineRule="auto"/>
            </w:pPr>
            <w:r>
              <w:rPr>
                <w:b w:val="0"/>
                <w:i w:val="0"/>
                <w:sz w:val="17"/>
              </w:rPr>
              <w:t>Seguridad</w:t>
            </w:r>
          </w:p>
        </w:tc>
        <w:tc>
          <w:tcPr>
            <w:tcW w:type="dxa" w:w="737"/>
            <w:shd w:val="clear" w:color="auto" w:fill="F5F7F7"/>
          </w:tcPr>
          <w:p>
            <w:pPr>
              <w:spacing w:after="20" w:line="252" w:lineRule="auto"/>
            </w:pPr>
            <w:r>
              <w:rPr>
                <w:b w:val="0"/>
                <w:i w:val="0"/>
                <w:sz w:val="17"/>
              </w:rPr>
              <w:t>Alta</w:t>
            </w:r>
          </w:p>
        </w:tc>
        <w:tc>
          <w:tcPr>
            <w:tcW w:type="dxa" w:w="907"/>
            <w:shd w:val="clear" w:color="auto" w:fill="F5F7F7"/>
          </w:tcPr>
          <w:p>
            <w:pPr>
              <w:spacing w:after="20" w:line="252" w:lineRule="auto"/>
            </w:pPr>
            <w:r>
              <w:rPr>
                <w:b w:val="0"/>
                <w:i w:val="0"/>
                <w:sz w:val="17"/>
              </w:rPr>
              <w:t>Medio</w:t>
            </w:r>
          </w:p>
        </w:tc>
        <w:tc>
          <w:tcPr>
            <w:tcW w:type="dxa" w:w="850"/>
            <w:shd w:val="clear" w:color="auto" w:fill="F5F7F7"/>
          </w:tcPr>
          <w:p>
            <w:pPr>
              <w:spacing w:after="20" w:line="252" w:lineRule="auto"/>
            </w:pPr>
            <w:r>
              <w:rPr>
                <w:b w:val="0"/>
                <w:i w:val="0"/>
                <w:sz w:val="17"/>
              </w:rPr>
              <w:t>Alto</w:t>
            </w:r>
          </w:p>
        </w:tc>
        <w:tc>
          <w:tcPr>
            <w:tcW w:type="dxa" w:w="1077"/>
            <w:shd w:val="clear" w:color="auto" w:fill="F5F7F7"/>
          </w:tcPr>
          <w:p>
            <w:pPr>
              <w:spacing w:after="20" w:line="252" w:lineRule="auto"/>
            </w:pPr>
            <w:r>
              <w:rPr>
                <w:b w:val="0"/>
                <w:i w:val="0"/>
                <w:sz w:val="17"/>
              </w:rPr>
              <w:t>Activo</w:t>
            </w:r>
          </w:p>
        </w:tc>
      </w:tr>
      <w:tr>
        <w:trPr>
          <w:cantSplit w:val="true"/>
        </w:trPr>
        <w:tc>
          <w:tcPr>
            <w:tcW w:type="dxa" w:w="737"/>
          </w:tcPr>
          <w:p>
            <w:pPr>
              <w:spacing w:after="20" w:line="252" w:lineRule="auto"/>
            </w:pPr>
            <w:r>
              <w:rPr>
                <w:b w:val="0"/>
                <w:i w:val="0"/>
                <w:sz w:val="17"/>
              </w:rPr>
              <w:t>R-09</w:t>
            </w:r>
          </w:p>
        </w:tc>
        <w:tc>
          <w:tcPr>
            <w:tcW w:type="dxa" w:w="3515"/>
          </w:tcPr>
          <w:p>
            <w:pPr>
              <w:spacing w:after="20" w:line="252" w:lineRule="auto"/>
            </w:pPr>
            <w:r>
              <w:rPr>
                <w:b w:val="0"/>
                <w:i w:val="0"/>
                <w:sz w:val="17"/>
              </w:rPr>
              <w:t>Licencia y titularidad de las voces y de la cuenta de ElevenLabs</w:t>
            </w:r>
          </w:p>
        </w:tc>
        <w:tc>
          <w:tcPr>
            <w:tcW w:type="dxa" w:w="1474"/>
          </w:tcPr>
          <w:p>
            <w:pPr>
              <w:spacing w:after="20" w:line="252" w:lineRule="auto"/>
            </w:pPr>
            <w:r>
              <w:rPr>
                <w:b w:val="0"/>
                <w:i w:val="0"/>
                <w:sz w:val="17"/>
              </w:rPr>
              <w:t>Legal / licencias</w:t>
            </w:r>
          </w:p>
        </w:tc>
        <w:tc>
          <w:tcPr>
            <w:tcW w:type="dxa" w:w="737"/>
          </w:tcPr>
          <w:p>
            <w:pPr>
              <w:spacing w:after="20" w:line="252" w:lineRule="auto"/>
            </w:pPr>
            <w:r>
              <w:rPr>
                <w:b w:val="0"/>
                <w:i w:val="0"/>
                <w:sz w:val="17"/>
              </w:rPr>
              <w:t>Media</w:t>
            </w:r>
          </w:p>
        </w:tc>
        <w:tc>
          <w:tcPr>
            <w:tcW w:type="dxa" w:w="907"/>
          </w:tcPr>
          <w:p>
            <w:pPr>
              <w:spacing w:after="20" w:line="252" w:lineRule="auto"/>
            </w:pPr>
            <w:r>
              <w:rPr>
                <w:b w:val="0"/>
                <w:i w:val="0"/>
                <w:sz w:val="17"/>
              </w:rPr>
              <w:t>Alto</w:t>
            </w:r>
          </w:p>
        </w:tc>
        <w:tc>
          <w:tcPr>
            <w:tcW w:type="dxa" w:w="850"/>
          </w:tcPr>
          <w:p>
            <w:pPr>
              <w:spacing w:after="20" w:line="252" w:lineRule="auto"/>
            </w:pPr>
            <w:r>
              <w:rPr>
                <w:b w:val="0"/>
                <w:i w:val="0"/>
                <w:sz w:val="17"/>
              </w:rPr>
              <w:t>Alto</w:t>
            </w:r>
          </w:p>
        </w:tc>
        <w:tc>
          <w:tcPr>
            <w:tcW w:type="dxa" w:w="1077"/>
          </w:tcPr>
          <w:p>
            <w:pPr>
              <w:spacing w:after="20" w:line="252" w:lineRule="auto"/>
            </w:pPr>
            <w:r>
              <w:rPr>
                <w:b w:val="0"/>
                <w:i w:val="0"/>
                <w:sz w:val="17"/>
              </w:rPr>
              <w:t>Activo</w:t>
            </w:r>
          </w:p>
        </w:tc>
      </w:tr>
      <w:tr>
        <w:trPr>
          <w:cantSplit w:val="true"/>
        </w:trPr>
        <w:tc>
          <w:tcPr>
            <w:tcW w:type="dxa" w:w="737"/>
            <w:shd w:val="clear" w:color="auto" w:fill="F5F7F7"/>
          </w:tcPr>
          <w:p>
            <w:pPr>
              <w:spacing w:after="20" w:line="252" w:lineRule="auto"/>
            </w:pPr>
            <w:r>
              <w:rPr>
                <w:b w:val="0"/>
                <w:i w:val="0"/>
                <w:sz w:val="17"/>
              </w:rPr>
              <w:t>R-12</w:t>
            </w:r>
          </w:p>
        </w:tc>
        <w:tc>
          <w:tcPr>
            <w:tcW w:type="dxa" w:w="3515"/>
            <w:shd w:val="clear" w:color="auto" w:fill="F5F7F7"/>
          </w:tcPr>
          <w:p>
            <w:pPr>
              <w:spacing w:after="20" w:line="252" w:lineRule="auto"/>
            </w:pPr>
            <w:r>
              <w:rPr>
                <w:b w:val="0"/>
                <w:i w:val="0"/>
                <w:sz w:val="17"/>
              </w:rPr>
              <w:t>Worker del agente no disponible</w:t>
            </w:r>
          </w:p>
        </w:tc>
        <w:tc>
          <w:tcPr>
            <w:tcW w:type="dxa" w:w="1474"/>
            <w:shd w:val="clear" w:color="auto" w:fill="F5F7F7"/>
          </w:tcPr>
          <w:p>
            <w:pPr>
              <w:spacing w:after="20" w:line="252" w:lineRule="auto"/>
            </w:pPr>
            <w:r>
              <w:rPr>
                <w:b w:val="0"/>
                <w:i w:val="0"/>
                <w:sz w:val="17"/>
              </w:rPr>
              <w:t>Operación</w:t>
            </w:r>
          </w:p>
        </w:tc>
        <w:tc>
          <w:tcPr>
            <w:tcW w:type="dxa" w:w="737"/>
            <w:shd w:val="clear" w:color="auto" w:fill="F5F7F7"/>
          </w:tcPr>
          <w:p>
            <w:pPr>
              <w:spacing w:after="20" w:line="252" w:lineRule="auto"/>
            </w:pPr>
            <w:r>
              <w:rPr>
                <w:b w:val="0"/>
                <w:i w:val="0"/>
                <w:sz w:val="17"/>
              </w:rPr>
              <w:t>Alta</w:t>
            </w:r>
          </w:p>
        </w:tc>
        <w:tc>
          <w:tcPr>
            <w:tcW w:type="dxa" w:w="907"/>
            <w:shd w:val="clear" w:color="auto" w:fill="F5F7F7"/>
          </w:tcPr>
          <w:p>
            <w:pPr>
              <w:spacing w:after="20" w:line="252" w:lineRule="auto"/>
            </w:pPr>
            <w:r>
              <w:rPr>
                <w:b w:val="0"/>
                <w:i w:val="0"/>
                <w:sz w:val="17"/>
              </w:rPr>
              <w:t>Medio</w:t>
            </w:r>
          </w:p>
        </w:tc>
        <w:tc>
          <w:tcPr>
            <w:tcW w:type="dxa" w:w="850"/>
            <w:shd w:val="clear" w:color="auto" w:fill="F5F7F7"/>
          </w:tcPr>
          <w:p>
            <w:pPr>
              <w:spacing w:after="20" w:line="252" w:lineRule="auto"/>
            </w:pPr>
            <w:r>
              <w:rPr>
                <w:b w:val="0"/>
                <w:i w:val="0"/>
                <w:sz w:val="17"/>
              </w:rPr>
              <w:t>Alto</w:t>
            </w:r>
          </w:p>
        </w:tc>
        <w:tc>
          <w:tcPr>
            <w:tcW w:type="dxa" w:w="1077"/>
            <w:shd w:val="clear" w:color="auto" w:fill="F5F7F7"/>
          </w:tcPr>
          <w:p>
            <w:pPr>
              <w:spacing w:after="20" w:line="252" w:lineRule="auto"/>
            </w:pPr>
            <w:r>
              <w:rPr>
                <w:b w:val="0"/>
                <w:i w:val="0"/>
                <w:sz w:val="17"/>
              </w:rPr>
              <w:t>Activo</w:t>
            </w:r>
          </w:p>
        </w:tc>
      </w:tr>
      <w:tr>
        <w:trPr>
          <w:cantSplit w:val="true"/>
        </w:trPr>
        <w:tc>
          <w:tcPr>
            <w:tcW w:type="dxa" w:w="737"/>
          </w:tcPr>
          <w:p>
            <w:pPr>
              <w:spacing w:after="20" w:line="252" w:lineRule="auto"/>
            </w:pPr>
            <w:r>
              <w:rPr>
                <w:b w:val="0"/>
                <w:i w:val="0"/>
                <w:sz w:val="17"/>
              </w:rPr>
              <w:t>R-15</w:t>
            </w:r>
          </w:p>
        </w:tc>
        <w:tc>
          <w:tcPr>
            <w:tcW w:type="dxa" w:w="3515"/>
          </w:tcPr>
          <w:p>
            <w:pPr>
              <w:spacing w:after="20" w:line="252" w:lineRule="auto"/>
            </w:pPr>
            <w:r>
              <w:rPr>
                <w:b w:val="0"/>
                <w:i w:val="0"/>
                <w:sz w:val="17"/>
              </w:rPr>
              <w:t>Conducta inadecuada del agente de cobranza</w:t>
            </w:r>
          </w:p>
        </w:tc>
        <w:tc>
          <w:tcPr>
            <w:tcW w:type="dxa" w:w="1474"/>
          </w:tcPr>
          <w:p>
            <w:pPr>
              <w:spacing w:after="20" w:line="252" w:lineRule="auto"/>
            </w:pPr>
            <w:r>
              <w:rPr>
                <w:b w:val="0"/>
                <w:i w:val="0"/>
                <w:sz w:val="17"/>
              </w:rPr>
              <w:t>Ética / cumplimiento</w:t>
            </w:r>
          </w:p>
        </w:tc>
        <w:tc>
          <w:tcPr>
            <w:tcW w:type="dxa" w:w="737"/>
          </w:tcPr>
          <w:p>
            <w:pPr>
              <w:spacing w:after="20" w:line="252" w:lineRule="auto"/>
            </w:pPr>
            <w:r>
              <w:rPr>
                <w:b w:val="0"/>
                <w:i w:val="0"/>
                <w:sz w:val="17"/>
              </w:rPr>
              <w:t>Media</w:t>
            </w:r>
          </w:p>
        </w:tc>
        <w:tc>
          <w:tcPr>
            <w:tcW w:type="dxa" w:w="907"/>
          </w:tcPr>
          <w:p>
            <w:pPr>
              <w:spacing w:after="20" w:line="252" w:lineRule="auto"/>
            </w:pPr>
            <w:r>
              <w:rPr>
                <w:b w:val="0"/>
                <w:i w:val="0"/>
                <w:sz w:val="17"/>
              </w:rPr>
              <w:t>Alto</w:t>
            </w:r>
          </w:p>
        </w:tc>
        <w:tc>
          <w:tcPr>
            <w:tcW w:type="dxa" w:w="850"/>
          </w:tcPr>
          <w:p>
            <w:pPr>
              <w:spacing w:after="20" w:line="252" w:lineRule="auto"/>
            </w:pPr>
            <w:r>
              <w:rPr>
                <w:b w:val="0"/>
                <w:i w:val="0"/>
                <w:sz w:val="17"/>
              </w:rPr>
              <w:t>Alto</w:t>
            </w:r>
          </w:p>
        </w:tc>
        <w:tc>
          <w:tcPr>
            <w:tcW w:type="dxa" w:w="1077"/>
          </w:tcPr>
          <w:p>
            <w:pPr>
              <w:spacing w:after="20" w:line="252" w:lineRule="auto"/>
            </w:pPr>
            <w:r>
              <w:rPr>
                <w:b w:val="0"/>
                <w:i w:val="0"/>
                <w:sz w:val="17"/>
              </w:rPr>
              <w:t>Vigilancia</w:t>
            </w:r>
          </w:p>
        </w:tc>
      </w:tr>
      <w:tr>
        <w:trPr>
          <w:cantSplit w:val="true"/>
        </w:trPr>
        <w:tc>
          <w:tcPr>
            <w:tcW w:type="dxa" w:w="737"/>
            <w:shd w:val="clear" w:color="auto" w:fill="F5F7F7"/>
          </w:tcPr>
          <w:p>
            <w:pPr>
              <w:spacing w:after="20" w:line="252" w:lineRule="auto"/>
            </w:pPr>
            <w:r>
              <w:rPr>
                <w:b w:val="0"/>
                <w:i w:val="0"/>
                <w:sz w:val="17"/>
              </w:rPr>
              <w:t>R-17</w:t>
            </w:r>
          </w:p>
        </w:tc>
        <w:tc>
          <w:tcPr>
            <w:tcW w:type="dxa" w:w="3515"/>
            <w:shd w:val="clear" w:color="auto" w:fill="F5F7F7"/>
          </w:tcPr>
          <w:p>
            <w:pPr>
              <w:spacing w:after="20" w:line="252" w:lineRule="auto"/>
            </w:pPr>
            <w:r>
              <w:rPr>
                <w:b w:val="0"/>
                <w:i w:val="0"/>
                <w:sz w:val="17"/>
              </w:rPr>
              <w:t>Evidencias y registros Scrum insuficientes</w:t>
            </w:r>
          </w:p>
        </w:tc>
        <w:tc>
          <w:tcPr>
            <w:tcW w:type="dxa" w:w="1474"/>
            <w:shd w:val="clear" w:color="auto" w:fill="F5F7F7"/>
          </w:tcPr>
          <w:p>
            <w:pPr>
              <w:spacing w:after="20" w:line="252" w:lineRule="auto"/>
            </w:pPr>
            <w:r>
              <w:rPr>
                <w:b w:val="0"/>
                <w:i w:val="0"/>
                <w:sz w:val="17"/>
              </w:rPr>
              <w:t>Gestión</w:t>
            </w:r>
          </w:p>
        </w:tc>
        <w:tc>
          <w:tcPr>
            <w:tcW w:type="dxa" w:w="737"/>
            <w:shd w:val="clear" w:color="auto" w:fill="F5F7F7"/>
          </w:tcPr>
          <w:p>
            <w:pPr>
              <w:spacing w:after="20" w:line="252" w:lineRule="auto"/>
            </w:pPr>
            <w:r>
              <w:rPr>
                <w:b w:val="0"/>
                <w:i w:val="0"/>
                <w:sz w:val="17"/>
              </w:rPr>
              <w:t>Alta</w:t>
            </w:r>
          </w:p>
        </w:tc>
        <w:tc>
          <w:tcPr>
            <w:tcW w:type="dxa" w:w="907"/>
            <w:shd w:val="clear" w:color="auto" w:fill="F5F7F7"/>
          </w:tcPr>
          <w:p>
            <w:pPr>
              <w:spacing w:after="20" w:line="252" w:lineRule="auto"/>
            </w:pPr>
            <w:r>
              <w:rPr>
                <w:b w:val="0"/>
                <w:i w:val="0"/>
                <w:sz w:val="17"/>
              </w:rPr>
              <w:t>Medio</w:t>
            </w:r>
          </w:p>
        </w:tc>
        <w:tc>
          <w:tcPr>
            <w:tcW w:type="dxa" w:w="850"/>
            <w:shd w:val="clear" w:color="auto" w:fill="F5F7F7"/>
          </w:tcPr>
          <w:p>
            <w:pPr>
              <w:spacing w:after="20" w:line="252" w:lineRule="auto"/>
            </w:pPr>
            <w:r>
              <w:rPr>
                <w:b w:val="0"/>
                <w:i w:val="0"/>
                <w:sz w:val="17"/>
              </w:rPr>
              <w:t>Alto</w:t>
            </w:r>
          </w:p>
        </w:tc>
        <w:tc>
          <w:tcPr>
            <w:tcW w:type="dxa" w:w="1077"/>
            <w:shd w:val="clear" w:color="auto" w:fill="F5F7F7"/>
          </w:tcPr>
          <w:p>
            <w:pPr>
              <w:spacing w:after="20" w:line="252" w:lineRule="auto"/>
            </w:pPr>
            <w:r>
              <w:rPr>
                <w:b w:val="0"/>
                <w:i w:val="0"/>
                <w:sz w:val="17"/>
              </w:rPr>
              <w:t>Activo</w:t>
            </w:r>
          </w:p>
        </w:tc>
      </w:tr>
      <w:tr>
        <w:trPr>
          <w:cantSplit w:val="true"/>
        </w:trPr>
        <w:tc>
          <w:tcPr>
            <w:tcW w:type="dxa" w:w="737"/>
          </w:tcPr>
          <w:p>
            <w:pPr>
              <w:spacing w:after="20" w:line="252" w:lineRule="auto"/>
            </w:pPr>
            <w:r>
              <w:rPr>
                <w:b w:val="0"/>
                <w:i w:val="0"/>
                <w:sz w:val="17"/>
              </w:rPr>
              <w:t>R-02</w:t>
            </w:r>
          </w:p>
        </w:tc>
        <w:tc>
          <w:tcPr>
            <w:tcW w:type="dxa" w:w="3515"/>
          </w:tcPr>
          <w:p>
            <w:pPr>
              <w:spacing w:after="20" w:line="252" w:lineRule="auto"/>
            </w:pPr>
            <w:r>
              <w:rPr>
                <w:b w:val="0"/>
                <w:i w:val="0"/>
                <w:sz w:val="17"/>
              </w:rPr>
              <w:t>Cambio de proveedor impuesto por el cliente (STT)</w:t>
            </w:r>
          </w:p>
        </w:tc>
        <w:tc>
          <w:tcPr>
            <w:tcW w:type="dxa" w:w="1474"/>
          </w:tcPr>
          <w:p>
            <w:pPr>
              <w:spacing w:after="20" w:line="252" w:lineRule="auto"/>
            </w:pPr>
            <w:r>
              <w:rPr>
                <w:b w:val="0"/>
                <w:i w:val="0"/>
                <w:sz w:val="17"/>
              </w:rPr>
              <w:t>Alcance</w:t>
            </w:r>
          </w:p>
        </w:tc>
        <w:tc>
          <w:tcPr>
            <w:tcW w:type="dxa" w:w="737"/>
          </w:tcPr>
          <w:p>
            <w:pPr>
              <w:spacing w:after="20" w:line="252" w:lineRule="auto"/>
            </w:pPr>
            <w:r>
              <w:rPr>
                <w:b w:val="0"/>
                <w:i w:val="0"/>
                <w:sz w:val="17"/>
              </w:rPr>
              <w:t>Media</w:t>
            </w:r>
          </w:p>
        </w:tc>
        <w:tc>
          <w:tcPr>
            <w:tcW w:type="dxa" w:w="907"/>
          </w:tcPr>
          <w:p>
            <w:pPr>
              <w:spacing w:after="20" w:line="252" w:lineRule="auto"/>
            </w:pPr>
            <w:r>
              <w:rPr>
                <w:b w:val="0"/>
                <w:i w:val="0"/>
                <w:sz w:val="17"/>
              </w:rPr>
              <w:t>Medio</w:t>
            </w:r>
          </w:p>
        </w:tc>
        <w:tc>
          <w:tcPr>
            <w:tcW w:type="dxa" w:w="850"/>
          </w:tcPr>
          <w:p>
            <w:pPr>
              <w:spacing w:after="20" w:line="252" w:lineRule="auto"/>
            </w:pPr>
            <w:r>
              <w:rPr>
                <w:b w:val="0"/>
                <w:i w:val="0"/>
                <w:sz w:val="17"/>
              </w:rPr>
              <w:t>Medio</w:t>
            </w:r>
          </w:p>
        </w:tc>
        <w:tc>
          <w:tcPr>
            <w:tcW w:type="dxa" w:w="1077"/>
          </w:tcPr>
          <w:p>
            <w:pPr>
              <w:spacing w:after="20" w:line="252" w:lineRule="auto"/>
            </w:pPr>
            <w:r>
              <w:rPr>
                <w:b w:val="0"/>
                <w:i w:val="0"/>
                <w:sz w:val="17"/>
              </w:rPr>
              <w:t>Materializado</w:t>
            </w:r>
          </w:p>
        </w:tc>
      </w:tr>
      <w:tr>
        <w:trPr>
          <w:cantSplit w:val="true"/>
        </w:trPr>
        <w:tc>
          <w:tcPr>
            <w:tcW w:type="dxa" w:w="737"/>
            <w:shd w:val="clear" w:color="auto" w:fill="F5F7F7"/>
          </w:tcPr>
          <w:p>
            <w:pPr>
              <w:spacing w:after="20" w:line="252" w:lineRule="auto"/>
            </w:pPr>
            <w:r>
              <w:rPr>
                <w:b w:val="0"/>
                <w:i w:val="0"/>
                <w:sz w:val="17"/>
              </w:rPr>
              <w:t>R-10</w:t>
            </w:r>
          </w:p>
        </w:tc>
        <w:tc>
          <w:tcPr>
            <w:tcW w:type="dxa" w:w="3515"/>
            <w:shd w:val="clear" w:color="auto" w:fill="F5F7F7"/>
          </w:tcPr>
          <w:p>
            <w:pPr>
              <w:spacing w:after="20" w:line="252" w:lineRule="auto"/>
            </w:pPr>
            <w:r>
              <w:rPr>
                <w:b w:val="0"/>
                <w:i w:val="0"/>
                <w:sz w:val="17"/>
              </w:rPr>
              <w:t>Caída o error de un proveedor durante una llamada</w:t>
            </w:r>
          </w:p>
        </w:tc>
        <w:tc>
          <w:tcPr>
            <w:tcW w:type="dxa" w:w="1474"/>
            <w:shd w:val="clear" w:color="auto" w:fill="F5F7F7"/>
          </w:tcPr>
          <w:p>
            <w:pPr>
              <w:spacing w:after="20" w:line="252" w:lineRule="auto"/>
            </w:pPr>
            <w:r>
              <w:rPr>
                <w:b w:val="0"/>
                <w:i w:val="0"/>
                <w:sz w:val="17"/>
              </w:rPr>
              <w:t>Operación</w:t>
            </w:r>
          </w:p>
        </w:tc>
        <w:tc>
          <w:tcPr>
            <w:tcW w:type="dxa" w:w="737"/>
            <w:shd w:val="clear" w:color="auto" w:fill="F5F7F7"/>
          </w:tcPr>
          <w:p>
            <w:pPr>
              <w:spacing w:after="20" w:line="252" w:lineRule="auto"/>
            </w:pPr>
            <w:r>
              <w:rPr>
                <w:b w:val="0"/>
                <w:i w:val="0"/>
                <w:sz w:val="17"/>
              </w:rPr>
              <w:t>Media</w:t>
            </w:r>
          </w:p>
        </w:tc>
        <w:tc>
          <w:tcPr>
            <w:tcW w:type="dxa" w:w="907"/>
            <w:shd w:val="clear" w:color="auto" w:fill="F5F7F7"/>
          </w:tcPr>
          <w:p>
            <w:pPr>
              <w:spacing w:after="20" w:line="252" w:lineRule="auto"/>
            </w:pPr>
            <w:r>
              <w:rPr>
                <w:b w:val="0"/>
                <w:i w:val="0"/>
                <w:sz w:val="17"/>
              </w:rPr>
              <w:t>Medio</w:t>
            </w:r>
          </w:p>
        </w:tc>
        <w:tc>
          <w:tcPr>
            <w:tcW w:type="dxa" w:w="850"/>
            <w:shd w:val="clear" w:color="auto" w:fill="F5F7F7"/>
          </w:tcPr>
          <w:p>
            <w:pPr>
              <w:spacing w:after="20" w:line="252" w:lineRule="auto"/>
            </w:pPr>
            <w:r>
              <w:rPr>
                <w:b w:val="0"/>
                <w:i w:val="0"/>
                <w:sz w:val="17"/>
              </w:rPr>
              <w:t>Medio</w:t>
            </w:r>
          </w:p>
        </w:tc>
        <w:tc>
          <w:tcPr>
            <w:tcW w:type="dxa" w:w="1077"/>
            <w:shd w:val="clear" w:color="auto" w:fill="F5F7F7"/>
          </w:tcPr>
          <w:p>
            <w:pPr>
              <w:spacing w:after="20" w:line="252" w:lineRule="auto"/>
            </w:pPr>
            <w:r>
              <w:rPr>
                <w:b w:val="0"/>
                <w:i w:val="0"/>
                <w:sz w:val="17"/>
              </w:rPr>
              <w:t>Materializado</w:t>
            </w:r>
          </w:p>
        </w:tc>
      </w:tr>
      <w:tr>
        <w:trPr>
          <w:cantSplit w:val="true"/>
        </w:trPr>
        <w:tc>
          <w:tcPr>
            <w:tcW w:type="dxa" w:w="737"/>
          </w:tcPr>
          <w:p>
            <w:pPr>
              <w:spacing w:after="20" w:line="252" w:lineRule="auto"/>
            </w:pPr>
            <w:r>
              <w:rPr>
                <w:b w:val="0"/>
                <w:i w:val="0"/>
                <w:sz w:val="17"/>
              </w:rPr>
              <w:t>R-11</w:t>
            </w:r>
          </w:p>
        </w:tc>
        <w:tc>
          <w:tcPr>
            <w:tcW w:type="dxa" w:w="3515"/>
          </w:tcPr>
          <w:p>
            <w:pPr>
              <w:spacing w:after="20" w:line="252" w:lineRule="auto"/>
            </w:pPr>
            <w:r>
              <w:rPr>
                <w:b w:val="0"/>
                <w:i w:val="0"/>
                <w:sz w:val="17"/>
              </w:rPr>
              <w:t>Falla del despliegue de la web (errores 500/502, módulos no encontrados, despliegue bloqueado)</w:t>
            </w:r>
          </w:p>
        </w:tc>
        <w:tc>
          <w:tcPr>
            <w:tcW w:type="dxa" w:w="1474"/>
          </w:tcPr>
          <w:p>
            <w:pPr>
              <w:spacing w:after="20" w:line="252" w:lineRule="auto"/>
            </w:pPr>
            <w:r>
              <w:rPr>
                <w:b w:val="0"/>
                <w:i w:val="0"/>
                <w:sz w:val="17"/>
              </w:rPr>
              <w:t>Despliegue</w:t>
            </w:r>
          </w:p>
        </w:tc>
        <w:tc>
          <w:tcPr>
            <w:tcW w:type="dxa" w:w="737"/>
          </w:tcPr>
          <w:p>
            <w:pPr>
              <w:spacing w:after="20" w:line="252" w:lineRule="auto"/>
            </w:pPr>
            <w:r>
              <w:rPr>
                <w:b w:val="0"/>
                <w:i w:val="0"/>
                <w:sz w:val="17"/>
              </w:rPr>
              <w:t>Media</w:t>
            </w:r>
          </w:p>
        </w:tc>
        <w:tc>
          <w:tcPr>
            <w:tcW w:type="dxa" w:w="907"/>
          </w:tcPr>
          <w:p>
            <w:pPr>
              <w:spacing w:after="20" w:line="252" w:lineRule="auto"/>
            </w:pPr>
            <w:r>
              <w:rPr>
                <w:b w:val="0"/>
                <w:i w:val="0"/>
                <w:sz w:val="17"/>
              </w:rPr>
              <w:t>Medio</w:t>
            </w:r>
          </w:p>
        </w:tc>
        <w:tc>
          <w:tcPr>
            <w:tcW w:type="dxa" w:w="850"/>
          </w:tcPr>
          <w:p>
            <w:pPr>
              <w:spacing w:after="20" w:line="252" w:lineRule="auto"/>
            </w:pPr>
            <w:r>
              <w:rPr>
                <w:b w:val="0"/>
                <w:i w:val="0"/>
                <w:sz w:val="17"/>
              </w:rPr>
              <w:t>Medio</w:t>
            </w:r>
          </w:p>
        </w:tc>
        <w:tc>
          <w:tcPr>
            <w:tcW w:type="dxa" w:w="1077"/>
          </w:tcPr>
          <w:p>
            <w:pPr>
              <w:spacing w:after="20" w:line="252" w:lineRule="auto"/>
            </w:pPr>
            <w:r>
              <w:rPr>
                <w:b w:val="0"/>
                <w:i w:val="0"/>
                <w:sz w:val="17"/>
              </w:rPr>
              <w:t>Materializado</w:t>
            </w:r>
          </w:p>
        </w:tc>
      </w:tr>
      <w:tr>
        <w:trPr>
          <w:cantSplit w:val="true"/>
        </w:trPr>
        <w:tc>
          <w:tcPr>
            <w:tcW w:type="dxa" w:w="737"/>
            <w:shd w:val="clear" w:color="auto" w:fill="F5F7F7"/>
          </w:tcPr>
          <w:p>
            <w:pPr>
              <w:spacing w:after="20" w:line="252" w:lineRule="auto"/>
            </w:pPr>
            <w:r>
              <w:rPr>
                <w:b w:val="0"/>
                <w:i w:val="0"/>
                <w:sz w:val="17"/>
              </w:rPr>
              <w:t>R-13</w:t>
            </w:r>
          </w:p>
        </w:tc>
        <w:tc>
          <w:tcPr>
            <w:tcW w:type="dxa" w:w="3515"/>
            <w:shd w:val="clear" w:color="auto" w:fill="F5F7F7"/>
          </w:tcPr>
          <w:p>
            <w:pPr>
              <w:spacing w:after="20" w:line="252" w:lineRule="auto"/>
            </w:pPr>
            <w:r>
              <w:rPr>
                <w:b w:val="0"/>
                <w:i w:val="0"/>
                <w:sz w:val="17"/>
              </w:rPr>
              <w:t>Abuso de la demo pública o fuerza bruta del código de acceso</w:t>
            </w:r>
          </w:p>
        </w:tc>
        <w:tc>
          <w:tcPr>
            <w:tcW w:type="dxa" w:w="1474"/>
            <w:shd w:val="clear" w:color="auto" w:fill="F5F7F7"/>
          </w:tcPr>
          <w:p>
            <w:pPr>
              <w:spacing w:after="20" w:line="252" w:lineRule="auto"/>
            </w:pPr>
            <w:r>
              <w:rPr>
                <w:b w:val="0"/>
                <w:i w:val="0"/>
                <w:sz w:val="17"/>
              </w:rPr>
              <w:t>Seguridad</w:t>
            </w:r>
          </w:p>
        </w:tc>
        <w:tc>
          <w:tcPr>
            <w:tcW w:type="dxa" w:w="737"/>
            <w:shd w:val="clear" w:color="auto" w:fill="F5F7F7"/>
          </w:tcPr>
          <w:p>
            <w:pPr>
              <w:spacing w:after="20" w:line="252" w:lineRule="auto"/>
            </w:pPr>
            <w:r>
              <w:rPr>
                <w:b w:val="0"/>
                <w:i w:val="0"/>
                <w:sz w:val="17"/>
              </w:rPr>
              <w:t>Media</w:t>
            </w:r>
          </w:p>
        </w:tc>
        <w:tc>
          <w:tcPr>
            <w:tcW w:type="dxa" w:w="907"/>
            <w:shd w:val="clear" w:color="auto" w:fill="F5F7F7"/>
          </w:tcPr>
          <w:p>
            <w:pPr>
              <w:spacing w:after="20" w:line="252" w:lineRule="auto"/>
            </w:pPr>
            <w:r>
              <w:rPr>
                <w:b w:val="0"/>
                <w:i w:val="0"/>
                <w:sz w:val="17"/>
              </w:rPr>
              <w:t>Medio</w:t>
            </w:r>
          </w:p>
        </w:tc>
        <w:tc>
          <w:tcPr>
            <w:tcW w:type="dxa" w:w="850"/>
            <w:shd w:val="clear" w:color="auto" w:fill="F5F7F7"/>
          </w:tcPr>
          <w:p>
            <w:pPr>
              <w:spacing w:after="20" w:line="252" w:lineRule="auto"/>
            </w:pPr>
            <w:r>
              <w:rPr>
                <w:b w:val="0"/>
                <w:i w:val="0"/>
                <w:sz w:val="17"/>
              </w:rPr>
              <w:t>Medio</w:t>
            </w:r>
          </w:p>
        </w:tc>
        <w:tc>
          <w:tcPr>
            <w:tcW w:type="dxa" w:w="1077"/>
            <w:shd w:val="clear" w:color="auto" w:fill="F5F7F7"/>
          </w:tcPr>
          <w:p>
            <w:pPr>
              <w:spacing w:after="20" w:line="252" w:lineRule="auto"/>
            </w:pPr>
            <w:r>
              <w:rPr>
                <w:b w:val="0"/>
                <w:i w:val="0"/>
                <w:sz w:val="17"/>
              </w:rPr>
              <w:t>Activo</w:t>
            </w:r>
          </w:p>
        </w:tc>
      </w:tr>
      <w:tr>
        <w:trPr>
          <w:cantSplit w:val="true"/>
        </w:trPr>
        <w:tc>
          <w:tcPr>
            <w:tcW w:type="dxa" w:w="737"/>
          </w:tcPr>
          <w:p>
            <w:pPr>
              <w:spacing w:after="20" w:line="252" w:lineRule="auto"/>
            </w:pPr>
            <w:r>
              <w:rPr>
                <w:b w:val="0"/>
                <w:i w:val="0"/>
                <w:sz w:val="17"/>
              </w:rPr>
              <w:t>R-14</w:t>
            </w:r>
          </w:p>
        </w:tc>
        <w:tc>
          <w:tcPr>
            <w:tcW w:type="dxa" w:w="3515"/>
          </w:tcPr>
          <w:p>
            <w:pPr>
              <w:spacing w:after="20" w:line="252" w:lineRule="auto"/>
            </w:pPr>
            <w:r>
              <w:rPr>
                <w:b w:val="0"/>
                <w:i w:val="0"/>
                <w:sz w:val="17"/>
              </w:rPr>
              <w:t>Voz o acento inadecuados para el contexto chileno</w:t>
            </w:r>
          </w:p>
        </w:tc>
        <w:tc>
          <w:tcPr>
            <w:tcW w:type="dxa" w:w="1474"/>
          </w:tcPr>
          <w:p>
            <w:pPr>
              <w:spacing w:after="20" w:line="252" w:lineRule="auto"/>
            </w:pPr>
            <w:r>
              <w:rPr>
                <w:b w:val="0"/>
                <w:i w:val="0"/>
                <w:sz w:val="17"/>
              </w:rPr>
              <w:t>Calidad</w:t>
            </w:r>
          </w:p>
        </w:tc>
        <w:tc>
          <w:tcPr>
            <w:tcW w:type="dxa" w:w="737"/>
          </w:tcPr>
          <w:p>
            <w:pPr>
              <w:spacing w:after="20" w:line="252" w:lineRule="auto"/>
            </w:pPr>
            <w:r>
              <w:rPr>
                <w:b w:val="0"/>
                <w:i w:val="0"/>
                <w:sz w:val="17"/>
              </w:rPr>
              <w:t>Media</w:t>
            </w:r>
          </w:p>
        </w:tc>
        <w:tc>
          <w:tcPr>
            <w:tcW w:type="dxa" w:w="907"/>
          </w:tcPr>
          <w:p>
            <w:pPr>
              <w:spacing w:after="20" w:line="252" w:lineRule="auto"/>
            </w:pPr>
            <w:r>
              <w:rPr>
                <w:b w:val="0"/>
                <w:i w:val="0"/>
                <w:sz w:val="17"/>
              </w:rPr>
              <w:t>Medio</w:t>
            </w:r>
          </w:p>
        </w:tc>
        <w:tc>
          <w:tcPr>
            <w:tcW w:type="dxa" w:w="850"/>
          </w:tcPr>
          <w:p>
            <w:pPr>
              <w:spacing w:after="20" w:line="252" w:lineRule="auto"/>
            </w:pPr>
            <w:r>
              <w:rPr>
                <w:b w:val="0"/>
                <w:i w:val="0"/>
                <w:sz w:val="17"/>
              </w:rPr>
              <w:t>Medio</w:t>
            </w:r>
          </w:p>
        </w:tc>
        <w:tc>
          <w:tcPr>
            <w:tcW w:type="dxa" w:w="1077"/>
          </w:tcPr>
          <w:p>
            <w:pPr>
              <w:spacing w:after="20" w:line="252" w:lineRule="auto"/>
            </w:pPr>
            <w:r>
              <w:rPr>
                <w:b w:val="0"/>
                <w:i w:val="0"/>
                <w:sz w:val="17"/>
              </w:rPr>
              <w:t>Activo</w:t>
            </w:r>
          </w:p>
        </w:tc>
      </w:tr>
      <w:tr>
        <w:trPr>
          <w:cantSplit w:val="true"/>
        </w:trPr>
        <w:tc>
          <w:tcPr>
            <w:tcW w:type="dxa" w:w="737"/>
            <w:shd w:val="clear" w:color="auto" w:fill="F5F7F7"/>
          </w:tcPr>
          <w:p>
            <w:pPr>
              <w:spacing w:after="20" w:line="252" w:lineRule="auto"/>
            </w:pPr>
            <w:r>
              <w:rPr>
                <w:b w:val="0"/>
                <w:i w:val="0"/>
                <w:sz w:val="17"/>
              </w:rPr>
              <w:t>R-16</w:t>
            </w:r>
          </w:p>
        </w:tc>
        <w:tc>
          <w:tcPr>
            <w:tcW w:type="dxa" w:w="3515"/>
            <w:shd w:val="clear" w:color="auto" w:fill="F5F7F7"/>
          </w:tcPr>
          <w:p>
            <w:pPr>
              <w:spacing w:after="20" w:line="252" w:lineRule="auto"/>
            </w:pPr>
            <w:r>
              <w:rPr>
                <w:b w:val="0"/>
                <w:i w:val="0"/>
                <w:sz w:val="17"/>
              </w:rPr>
              <w:t>Respuestas inventadas del LLM (alucinaciones)</w:t>
            </w:r>
          </w:p>
        </w:tc>
        <w:tc>
          <w:tcPr>
            <w:tcW w:type="dxa" w:w="1474"/>
            <w:shd w:val="clear" w:color="auto" w:fill="F5F7F7"/>
          </w:tcPr>
          <w:p>
            <w:pPr>
              <w:spacing w:after="20" w:line="252" w:lineRule="auto"/>
            </w:pPr>
            <w:r>
              <w:rPr>
                <w:b w:val="0"/>
                <w:i w:val="0"/>
                <w:sz w:val="17"/>
              </w:rPr>
              <w:t>Calidad</w:t>
            </w:r>
          </w:p>
        </w:tc>
        <w:tc>
          <w:tcPr>
            <w:tcW w:type="dxa" w:w="737"/>
            <w:shd w:val="clear" w:color="auto" w:fill="F5F7F7"/>
          </w:tcPr>
          <w:p>
            <w:pPr>
              <w:spacing w:after="20" w:line="252" w:lineRule="auto"/>
            </w:pPr>
            <w:r>
              <w:rPr>
                <w:b w:val="0"/>
                <w:i w:val="0"/>
                <w:sz w:val="17"/>
              </w:rPr>
              <w:t>Media</w:t>
            </w:r>
          </w:p>
        </w:tc>
        <w:tc>
          <w:tcPr>
            <w:tcW w:type="dxa" w:w="907"/>
            <w:shd w:val="clear" w:color="auto" w:fill="F5F7F7"/>
          </w:tcPr>
          <w:p>
            <w:pPr>
              <w:spacing w:after="20" w:line="252" w:lineRule="auto"/>
            </w:pPr>
            <w:r>
              <w:rPr>
                <w:b w:val="0"/>
                <w:i w:val="0"/>
                <w:sz w:val="17"/>
              </w:rPr>
              <w:t>Medio</w:t>
            </w:r>
          </w:p>
        </w:tc>
        <w:tc>
          <w:tcPr>
            <w:tcW w:type="dxa" w:w="850"/>
            <w:shd w:val="clear" w:color="auto" w:fill="F5F7F7"/>
          </w:tcPr>
          <w:p>
            <w:pPr>
              <w:spacing w:after="20" w:line="252" w:lineRule="auto"/>
            </w:pPr>
            <w:r>
              <w:rPr>
                <w:b w:val="0"/>
                <w:i w:val="0"/>
                <w:sz w:val="17"/>
              </w:rPr>
              <w:t>Medio</w:t>
            </w:r>
          </w:p>
        </w:tc>
        <w:tc>
          <w:tcPr>
            <w:tcW w:type="dxa" w:w="1077"/>
            <w:shd w:val="clear" w:color="auto" w:fill="F5F7F7"/>
          </w:tcPr>
          <w:p>
            <w:pPr>
              <w:spacing w:after="20" w:line="252" w:lineRule="auto"/>
            </w:pPr>
            <w:r>
              <w:rPr>
                <w:b w:val="0"/>
                <w:i w:val="0"/>
                <w:sz w:val="17"/>
              </w:rPr>
              <w:t>Vigilancia</w:t>
            </w:r>
          </w:p>
        </w:tc>
      </w:tr>
      <w:tr>
        <w:trPr>
          <w:cantSplit w:val="true"/>
        </w:trPr>
        <w:tc>
          <w:tcPr>
            <w:tcW w:type="dxa" w:w="737"/>
          </w:tcPr>
          <w:p>
            <w:pPr>
              <w:spacing w:after="20" w:line="252" w:lineRule="auto"/>
            </w:pPr>
            <w:r>
              <w:rPr>
                <w:b w:val="0"/>
                <w:i w:val="0"/>
                <w:sz w:val="17"/>
              </w:rPr>
              <w:t>R-18</w:t>
            </w:r>
          </w:p>
        </w:tc>
        <w:tc>
          <w:tcPr>
            <w:tcW w:type="dxa" w:w="3515"/>
          </w:tcPr>
          <w:p>
            <w:pPr>
              <w:spacing w:after="20" w:line="252" w:lineRule="auto"/>
            </w:pPr>
            <w:r>
              <w:rPr>
                <w:b w:val="0"/>
                <w:i w:val="0"/>
                <w:sz w:val="17"/>
              </w:rPr>
              <w:t>Desviaciones del plan sin aprobación formal</w:t>
            </w:r>
          </w:p>
        </w:tc>
        <w:tc>
          <w:tcPr>
            <w:tcW w:type="dxa" w:w="1474"/>
          </w:tcPr>
          <w:p>
            <w:pPr>
              <w:spacing w:after="20" w:line="252" w:lineRule="auto"/>
            </w:pPr>
            <w:r>
              <w:rPr>
                <w:b w:val="0"/>
                <w:i w:val="0"/>
                <w:sz w:val="17"/>
              </w:rPr>
              <w:t>Alcance</w:t>
            </w:r>
          </w:p>
        </w:tc>
        <w:tc>
          <w:tcPr>
            <w:tcW w:type="dxa" w:w="737"/>
          </w:tcPr>
          <w:p>
            <w:pPr>
              <w:spacing w:after="20" w:line="252" w:lineRule="auto"/>
            </w:pPr>
            <w:r>
              <w:rPr>
                <w:b w:val="0"/>
                <w:i w:val="0"/>
                <w:sz w:val="17"/>
              </w:rPr>
              <w:t>Media</w:t>
            </w:r>
          </w:p>
        </w:tc>
        <w:tc>
          <w:tcPr>
            <w:tcW w:type="dxa" w:w="907"/>
          </w:tcPr>
          <w:p>
            <w:pPr>
              <w:spacing w:after="20" w:line="252" w:lineRule="auto"/>
            </w:pPr>
            <w:r>
              <w:rPr>
                <w:b w:val="0"/>
                <w:i w:val="0"/>
                <w:sz w:val="17"/>
              </w:rPr>
              <w:t>Medio</w:t>
            </w:r>
          </w:p>
        </w:tc>
        <w:tc>
          <w:tcPr>
            <w:tcW w:type="dxa" w:w="850"/>
          </w:tcPr>
          <w:p>
            <w:pPr>
              <w:spacing w:after="20" w:line="252" w:lineRule="auto"/>
            </w:pPr>
            <w:r>
              <w:rPr>
                <w:b w:val="0"/>
                <w:i w:val="0"/>
                <w:sz w:val="17"/>
              </w:rPr>
              <w:t>Medio</w:t>
            </w:r>
          </w:p>
        </w:tc>
        <w:tc>
          <w:tcPr>
            <w:tcW w:type="dxa" w:w="1077"/>
          </w:tcPr>
          <w:p>
            <w:pPr>
              <w:spacing w:after="20" w:line="252" w:lineRule="auto"/>
            </w:pPr>
            <w:r>
              <w:rPr>
                <w:b w:val="0"/>
                <w:i w:val="0"/>
                <w:sz w:val="17"/>
              </w:rPr>
              <w:t>Activo</w:t>
            </w:r>
          </w:p>
        </w:tc>
      </w:tr>
      <w:tr>
        <w:trPr>
          <w:cantSplit w:val="true"/>
        </w:trPr>
        <w:tc>
          <w:tcPr>
            <w:tcW w:type="dxa" w:w="737"/>
            <w:shd w:val="clear" w:color="auto" w:fill="F5F7F7"/>
          </w:tcPr>
          <w:p>
            <w:pPr>
              <w:spacing w:after="20" w:line="252" w:lineRule="auto"/>
            </w:pPr>
            <w:r>
              <w:rPr>
                <w:b w:val="0"/>
                <w:i w:val="0"/>
                <w:sz w:val="17"/>
              </w:rPr>
              <w:t>R-20</w:t>
            </w:r>
          </w:p>
        </w:tc>
        <w:tc>
          <w:tcPr>
            <w:tcW w:type="dxa" w:w="3515"/>
            <w:shd w:val="clear" w:color="auto" w:fill="F5F7F7"/>
          </w:tcPr>
          <w:p>
            <w:pPr>
              <w:spacing w:after="20" w:line="252" w:lineRule="auto"/>
            </w:pPr>
            <w:r>
              <w:rPr>
                <w:b w:val="0"/>
                <w:i w:val="0"/>
                <w:sz w:val="17"/>
              </w:rPr>
              <w:t>Problemas de audio en el navegador (eco, ruido, interrupciones falsas, micrófono equivocado)</w:t>
            </w:r>
          </w:p>
        </w:tc>
        <w:tc>
          <w:tcPr>
            <w:tcW w:type="dxa" w:w="1474"/>
            <w:shd w:val="clear" w:color="auto" w:fill="F5F7F7"/>
          </w:tcPr>
          <w:p>
            <w:pPr>
              <w:spacing w:after="20" w:line="252" w:lineRule="auto"/>
            </w:pPr>
            <w:r>
              <w:rPr>
                <w:b w:val="0"/>
                <w:i w:val="0"/>
                <w:sz w:val="17"/>
              </w:rPr>
              <w:t>Calidad</w:t>
            </w:r>
          </w:p>
        </w:tc>
        <w:tc>
          <w:tcPr>
            <w:tcW w:type="dxa" w:w="737"/>
            <w:shd w:val="clear" w:color="auto" w:fill="F5F7F7"/>
          </w:tcPr>
          <w:p>
            <w:pPr>
              <w:spacing w:after="20" w:line="252" w:lineRule="auto"/>
            </w:pPr>
            <w:r>
              <w:rPr>
                <w:b w:val="0"/>
                <w:i w:val="0"/>
                <w:sz w:val="17"/>
              </w:rPr>
              <w:t>Media</w:t>
            </w:r>
          </w:p>
        </w:tc>
        <w:tc>
          <w:tcPr>
            <w:tcW w:type="dxa" w:w="907"/>
            <w:shd w:val="clear" w:color="auto" w:fill="F5F7F7"/>
          </w:tcPr>
          <w:p>
            <w:pPr>
              <w:spacing w:after="20" w:line="252" w:lineRule="auto"/>
            </w:pPr>
            <w:r>
              <w:rPr>
                <w:b w:val="0"/>
                <w:i w:val="0"/>
                <w:sz w:val="17"/>
              </w:rPr>
              <w:t>Medio</w:t>
            </w:r>
          </w:p>
        </w:tc>
        <w:tc>
          <w:tcPr>
            <w:tcW w:type="dxa" w:w="850"/>
            <w:shd w:val="clear" w:color="auto" w:fill="F5F7F7"/>
          </w:tcPr>
          <w:p>
            <w:pPr>
              <w:spacing w:after="20" w:line="252" w:lineRule="auto"/>
            </w:pPr>
            <w:r>
              <w:rPr>
                <w:b w:val="0"/>
                <w:i w:val="0"/>
                <w:sz w:val="17"/>
              </w:rPr>
              <w:t>Medio</w:t>
            </w:r>
          </w:p>
        </w:tc>
        <w:tc>
          <w:tcPr>
            <w:tcW w:type="dxa" w:w="1077"/>
            <w:shd w:val="clear" w:color="auto" w:fill="F5F7F7"/>
          </w:tcPr>
          <w:p>
            <w:pPr>
              <w:spacing w:after="20" w:line="252" w:lineRule="auto"/>
            </w:pPr>
            <w:r>
              <w:rPr>
                <w:b w:val="0"/>
                <w:i w:val="0"/>
                <w:sz w:val="17"/>
              </w:rPr>
              <w:t>Vigilancia</w:t>
            </w:r>
          </w:p>
        </w:tc>
      </w:tr>
    </w:tbl>
    <w:p>
      <w:pPr>
        <w:spacing w:after="40"/>
      </w:pPr>
    </w:p>
    <w:p>
      <w:pPr>
        <w:pStyle w:val="Heading1"/>
      </w:pPr>
      <w:r>
        <w:t>4. Fichas: cómo reaccionar a cada riesgo</w:t>
      </w:r>
    </w:p>
    <w:p>
      <w:pPr>
        <w:jc w:val="both"/>
      </w:pPr>
      <w:r>
        <w:rPr>
          <w:b w:val="0"/>
          <w:i w:val="0"/>
        </w:rPr>
        <w:t xml:space="preserve">Cada ficha indica qué se hace para </w:t>
      </w:r>
      <w:r>
        <w:rPr>
          <w:b/>
          <w:i w:val="0"/>
        </w:rPr>
        <w:t>prevenir</w:t>
      </w:r>
      <w:r>
        <w:rPr>
          <w:b w:val="0"/>
          <w:i w:val="0"/>
        </w:rPr>
        <w:t xml:space="preserve"> el riesgo, qué señal lo anuncia y qué pasos concretos se siguen </w:t>
      </w:r>
      <w:r>
        <w:rPr>
          <w:b/>
          <w:i w:val="0"/>
        </w:rPr>
        <w:t>si ocurre</w:t>
      </w:r>
      <w:r>
        <w:rPr>
          <w:b w:val="0"/>
          <w:i w:val="0"/>
        </w:rPr>
        <w:t xml:space="preserve">. Las acciones preventivas marcadas como </w:t>
      </w:r>
      <w:r>
        <w:rPr>
          <w:b/>
          <w:i w:val="0"/>
          <w:color w:val="1B7F4C"/>
        </w:rPr>
        <w:t>[CONFIRMADO]</w:t>
      </w:r>
      <w:r>
        <w:rPr>
          <w:b w:val="0"/>
          <w:i w:val="0"/>
        </w:rPr>
        <w:t xml:space="preserve"> existen en el repositorio; las demás son </w:t>
      </w:r>
      <w:r>
        <w:rPr>
          <w:b/>
          <w:i w:val="0"/>
          <w:color w:val="1F5FA8"/>
        </w:rPr>
        <w:t>[PROPUESTA]</w:t>
      </w:r>
      <w:r>
        <w:rPr>
          <w:b w:val="0"/>
          <w:i w:val="0"/>
        </w:rPr>
        <w:t>.</w:t>
      </w:r>
    </w:p>
    <w:p>
      <w:pPr>
        <w:pStyle w:val="Heading3"/>
      </w:pPr>
      <w:r>
        <w:t>R-01 · Latencia de voz a voz superior a 1 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Alloxentric exige una respuesta de no más de 1 s y advierte que más de 3 s puede provocar que la persona corte la llamada. La mediana medida el 30-oct fue 2,59 s (n=13) y 3 de 13 turnos superaron 3 s.</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Alta · Impacto Alto · Nivel </w:t>
            </w:r>
            <w:r>
              <w:rPr>
                <w:b/>
                <w:i w:val="0"/>
                <w:sz w:val="17"/>
              </w:rPr>
              <w:t>Crítico</w:t>
            </w:r>
            <w:r>
              <w:rPr>
                <w:b w:val="0"/>
                <w:i w:val="0"/>
                <w:sz w:val="17"/>
              </w:rPr>
              <w:t xml:space="preserve"> · Estado </w:t>
            </w:r>
            <w:r>
              <w:rPr>
                <w:b/>
                <w:i w:val="0"/>
                <w:sz w:val="17"/>
              </w:rPr>
              <w:t>Materializado</w:t>
            </w:r>
            <w:r>
              <w:rPr>
                <w:b w:val="0"/>
                <w:i w:val="0"/>
                <w:sz w:val="17"/>
              </w:rPr>
              <w:t xml:space="preserve"> · Categoría Rendimiento</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e2e_latency_s con mediana &gt; 1 s o cualquier turno &gt; 3 s en las métricas del worker.</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Modelo LLM más rápido (gemini-3.1-flash-lite, thinking mínimo), endpointing dinámico de 0,3 s, generación preventiva de LLM/TTS, Chirp 3 con sensibilidad SHORT, respuestas de máx. 25 palabras, precalentamiento de voces. [CONFIRMADO en código]</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Medir con logs archivados antes de decidir. 2) Si la mediana sigue &gt; 2 s: evaluar con Alloxentric un STT de menor latencia (hoy la espera de la transcripción final es ≈1,2 s), Gemini por Vertex AI en São Paulo y una muletilla hablada inmediata. 3) Con datos en mano, renegociar con Max el umbral y el evento de medición. 4) Registrar la decisión.</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Fernando (líder) · Juan</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D05 (plan de pruebas); extracto de métricas 30-oct (E01)</w:t>
            </w:r>
          </w:p>
        </w:tc>
      </w:tr>
    </w:tbl>
    <w:p>
      <w:pPr>
        <w:spacing w:after="40"/>
      </w:pPr>
    </w:p>
    <w:p>
      <w:pPr>
        <w:pStyle w:val="Heading3"/>
      </w:pPr>
      <w:r>
        <w:t>R-02 · Cambio de proveedor impuesto por el cliente (STT)</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El plan de Fase 1 fijaba Speechmatics. Por indicación de Max se reemplazó por Google Chirp 3 (DART-14-2.2); el trabajo ya iniciado en Speechmatics se descartó.</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Medio · Nivel </w:t>
            </w:r>
            <w:r>
              <w:rPr>
                <w:b/>
                <w:i w:val="0"/>
                <w:sz w:val="17"/>
              </w:rPr>
              <w:t>Medio</w:t>
            </w:r>
            <w:r>
              <w:rPr>
                <w:b w:val="0"/>
                <w:i w:val="0"/>
                <w:sz w:val="17"/>
              </w:rPr>
              <w:t xml:space="preserve"> · Estado </w:t>
            </w:r>
            <w:r>
              <w:rPr>
                <w:b/>
                <w:i w:val="0"/>
                <w:sz w:val="17"/>
              </w:rPr>
              <w:t>Materializado</w:t>
            </w:r>
            <w:r>
              <w:rPr>
                <w:b w:val="0"/>
                <w:i w:val="0"/>
                <w:sz w:val="17"/>
              </w:rPr>
              <w:t xml:space="preserve"> · Categoría Alcance</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Mensaje del cliente o del líder pidiendo cambiar un proveedor; nuevas credenciales o accesos distintos a los planificados.</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 xml:space="preserve">Arquitectura con plugins oficiales intercambiables de LiveKit Agents; configuración por variables de entorno; componentes aislados (stt.py, llm.py, tts.py). </w:t>
            </w:r>
            <w:r>
              <w:rPr>
                <w:b/>
                <w:i w:val="0"/>
                <w:color w:val="1B7F4C"/>
                <w:sz w:val="17"/>
              </w:rPr>
              <w:t>[CONFIRMADO]</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Confirmar por escrito la decisión y su motivo. 2) Construir el nuevo componente en una rama por ticket con pruebas sin red. 3) Validar de forma aislada antes de integrar. 4) Actualizar arquitectura, requerimientos y plan de trabajo.</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Juan (componente) · Fernando</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PR #6 (Chirp 3)</w:t>
            </w:r>
          </w:p>
        </w:tc>
      </w:tr>
    </w:tbl>
    <w:p>
      <w:pPr>
        <w:spacing w:after="40"/>
      </w:pPr>
    </w:p>
    <w:p>
      <w:pPr>
        <w:pStyle w:val="Heading3"/>
      </w:pPr>
      <w:r>
        <w:t>R-03 · Retraso de un componente que bloquea al resto</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El compromiso de tener STT para la reunión del 14-oct no se cumplió con Speechmatics y el pipeline dependía de ese componente.</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Alto · Nivel </w:t>
            </w:r>
            <w:r>
              <w:rPr>
                <w:b/>
                <w:i w:val="0"/>
                <w:sz w:val="17"/>
              </w:rPr>
              <w:t>Alto</w:t>
            </w:r>
            <w:r>
              <w:rPr>
                <w:b w:val="0"/>
                <w:i w:val="0"/>
                <w:sz w:val="17"/>
              </w:rPr>
              <w:t xml:space="preserve"> · Estado </w:t>
            </w:r>
            <w:r>
              <w:rPr>
                <w:b/>
                <w:i w:val="0"/>
                <w:sz w:val="17"/>
              </w:rPr>
              <w:t>Mitigado</w:t>
            </w:r>
            <w:r>
              <w:rPr>
                <w:b w:val="0"/>
                <w:i w:val="0"/>
                <w:sz w:val="17"/>
              </w:rPr>
              <w:t xml:space="preserve"> · Categoría Planificación</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Un componente sin fusionar a la fecha comprometida; PR sin avance por más de una semana.</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Seguimiento semanal de dependencias; trabajo en paralelo por componente; criterio de listo (implementado, probado, fusionado, integrado).</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Revisar el estado en la reunión de control. 2) Acordar nuevo plazo o apoyo de otro integrante. 3) Si el bloqueo persiste, evaluar un componente alternativo (como se hizo con Chirp 3).</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David (Scrum Master) · Fernando</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Informe grupal 2.4; PR #6, #7</w:t>
            </w:r>
          </w:p>
        </w:tc>
      </w:tr>
    </w:tbl>
    <w:p>
      <w:pPr>
        <w:spacing w:after="40"/>
      </w:pPr>
    </w:p>
    <w:p>
      <w:pPr>
        <w:pStyle w:val="Heading3"/>
      </w:pPr>
      <w:r>
        <w:t>R-04 · Falta de guion oficial, flujo de Hites y accesos de Alloxentric</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Alloxentric se comprometió a entregar el guion de cobranza, claves y un entorno de pruebas telefónicas. No hay registro de su recepción completa.</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Alta · Impacto Alto · Nivel </w:t>
            </w:r>
            <w:r>
              <w:rPr>
                <w:b/>
                <w:i w:val="0"/>
                <w:sz w:val="17"/>
              </w:rPr>
              <w:t>Crítico</w:t>
            </w:r>
            <w:r>
              <w:rPr>
                <w:b w:val="0"/>
                <w:i w:val="0"/>
                <w:sz w:val="17"/>
              </w:rPr>
              <w:t xml:space="preserve"> · Estado </w:t>
            </w:r>
            <w:r>
              <w:rPr>
                <w:b/>
                <w:i w:val="0"/>
                <w:sz w:val="17"/>
              </w:rPr>
              <w:t>Activo</w:t>
            </w:r>
            <w:r>
              <w:rPr>
                <w:b w:val="0"/>
                <w:i w:val="0"/>
                <w:sz w:val="17"/>
              </w:rPr>
              <w:t xml:space="preserve"> · Categoría Dependencia externa</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Fecha comprometida vencida sin entrega; pruebas bloqueadas por falta de accesos.</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Registro de dependencias y acuerdos pendientes; reuniones semanales con Karina; escenarios de práctica con datos ficticios para no detener el desarrollo.</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 xml:space="preserve">1) Escalar a Karina/Max con una lista concreta de lo que falta y la fecha límite. 2) Mientras tanto, trabajar con el flujo de referencia disponible y marcar todo como </w:t>
            </w:r>
            <w:r>
              <w:rPr>
                <w:b/>
                <w:i w:val="0"/>
                <w:color w:val="B3261E"/>
                <w:sz w:val="17"/>
              </w:rPr>
              <w:t>[PENDIENTE]</w:t>
            </w:r>
            <w:r>
              <w:rPr>
                <w:b w:val="0"/>
                <w:i w:val="0"/>
                <w:sz w:val="17"/>
              </w:rPr>
              <w:t>. 3) Documentar el impacto en el calendario si se retrasa.</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Juan (Product Owner) · Fernando</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Informe Fase 1 (secciones de factibilidad)</w:t>
            </w:r>
          </w:p>
        </w:tc>
      </w:tr>
    </w:tbl>
    <w:p>
      <w:pPr>
        <w:spacing w:after="40"/>
      </w:pPr>
    </w:p>
    <w:p>
      <w:pPr>
        <w:pStyle w:val="Heading3"/>
      </w:pPr>
      <w:r>
        <w:t>R-05 · Integración con Asterisk no validada</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La telefonía real (Asterisk de Alloxentric) es parte del alcance confirmado, pero hoy el agente solo se prueba desde el navegador.</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Alta · Impacto Alto · Nivel </w:t>
            </w:r>
            <w:r>
              <w:rPr>
                <w:b/>
                <w:i w:val="0"/>
                <w:sz w:val="17"/>
              </w:rPr>
              <w:t>Crítico</w:t>
            </w:r>
            <w:r>
              <w:rPr>
                <w:b w:val="0"/>
                <w:i w:val="0"/>
                <w:sz w:val="17"/>
              </w:rPr>
              <w:t xml:space="preserve"> · Estado </w:t>
            </w:r>
            <w:r>
              <w:rPr>
                <w:b/>
                <w:i w:val="0"/>
                <w:sz w:val="17"/>
              </w:rPr>
              <w:t>Activo</w:t>
            </w:r>
            <w:r>
              <w:rPr>
                <w:b w:val="0"/>
                <w:i w:val="0"/>
                <w:sz w:val="17"/>
              </w:rPr>
              <w:t xml:space="preserve"> · Categoría Integración</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Sin entorno telefónico de prueba a la semana 14; ninguna llamada real realizada.</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Pruebas tempranas de integración; documentar restricciones; definir con Alloxentric si la validación del MVP puede hacerse sin telefonía.</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Realizar un spike técnico de integración SIP/telefonía con el acceso que entregue Alloxentric. 2) Si no hay acceso a tiempo, acordar por escrito que el MVP se valida en navegador y declarar la telefonía como trabajo futuro. 3) Informar el riesgo al docente.</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Fernando (líder) · David</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Informe grupal 2.4 (riesgos)</w:t>
            </w:r>
          </w:p>
        </w:tc>
      </w:tr>
    </w:tbl>
    <w:p>
      <w:pPr>
        <w:spacing w:after="40"/>
      </w:pPr>
    </w:p>
    <w:p>
      <w:pPr>
        <w:pStyle w:val="Heading3"/>
      </w:pPr>
      <w:r>
        <w:t>R-06 · Gasto descontrolado en APIs (ElevenLabs, Gemini, Google STT)</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Cada llamada consume servicios de pago. Una demo pública sin tope de duración ni de llamadas simultáneas puede generar gasto inesperado. El consumo de ElevenLabs no puede consultarse con la clave actual.</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Alto · Nivel </w:t>
            </w:r>
            <w:r>
              <w:rPr>
                <w:b/>
                <w:i w:val="0"/>
                <w:sz w:val="17"/>
              </w:rPr>
              <w:t>Alto</w:t>
            </w:r>
            <w:r>
              <w:rPr>
                <w:b w:val="0"/>
                <w:i w:val="0"/>
                <w:sz w:val="17"/>
              </w:rPr>
              <w:t xml:space="preserve"> · Estado </w:t>
            </w:r>
            <w:r>
              <w:rPr>
                <w:b/>
                <w:i w:val="0"/>
                <w:sz w:val="17"/>
              </w:rPr>
              <w:t>Activo</w:t>
            </w:r>
            <w:r>
              <w:rPr>
                <w:b w:val="0"/>
                <w:i w:val="0"/>
                <w:sz w:val="17"/>
              </w:rPr>
              <w:t xml:space="preserve"> · Categoría Costos</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Alertas de presupuesto de Google; saldo de ElevenLabs en caída; sesiones largas o repetidas en las métricas.</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 xml:space="preserve">Alerta de presupuesto en Google Cloud (configurada por Fernando); código de acceso largo y aleatorio; sesión de 30 min; interruptor DEMO_ENABLED; métricas de uso por sesión. </w:t>
            </w:r>
            <w:r>
              <w:rPr>
                <w:b/>
                <w:i w:val="0"/>
                <w:color w:val="1B7F4C"/>
                <w:sz w:val="17"/>
              </w:rPr>
              <w:t>[CONFIRMADO]</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Poner DEMO_ENABLED=false (no corta sesiones ya abiertas). 2) Revocar o rotar la clave afectada. 3) Revisar el extracto de uso por sesión. 4) Implementar tope de duración y de llamadas simultáneas antes de compartir la URL. 5) Pedir el permiso de lectura de uso en ElevenLabs.</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Fernando · Juan</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README (métricas de uso); PR #16 (pendientes)</w:t>
            </w:r>
          </w:p>
        </w:tc>
      </w:tr>
    </w:tbl>
    <w:p>
      <w:pPr>
        <w:spacing w:after="40"/>
      </w:pPr>
    </w:p>
    <w:p>
      <w:pPr>
        <w:pStyle w:val="Heading3"/>
      </w:pPr>
      <w:r>
        <w:t>R-07 · Exposición de credenciales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Se compartieron claves por el chat y existen archivos .env locales con secretos. Una clave filtrada permite gasto no autorizado.</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Alto · Nivel </w:t>
            </w:r>
            <w:r>
              <w:rPr>
                <w:b/>
                <w:i w:val="0"/>
                <w:sz w:val="17"/>
              </w:rPr>
              <w:t>Alto</w:t>
            </w:r>
            <w:r>
              <w:rPr>
                <w:b w:val="0"/>
                <w:i w:val="0"/>
                <w:sz w:val="17"/>
              </w:rPr>
              <w:t xml:space="preserve"> · Estado </w:t>
            </w:r>
            <w:r>
              <w:rPr>
                <w:b/>
                <w:i w:val="0"/>
                <w:sz w:val="17"/>
              </w:rPr>
              <w:t>Materializado</w:t>
            </w:r>
            <w:r>
              <w:rPr>
                <w:b w:val="0"/>
                <w:i w:val="0"/>
                <w:sz w:val="17"/>
              </w:rPr>
              <w:t xml:space="preserve"> · Categoría Seguridad</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Claves visibles en chats, capturas, logs o commits; alertas de uso inusual.</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 xml:space="preserve">.env* ignorados por Git; barrido de patrones de secretos antes de cada commit; variables sensibles en Vercel/Netlify; ADC sin API key para STT; no registrar mensajes del proveedor. </w:t>
            </w:r>
            <w:r>
              <w:rPr>
                <w:b/>
                <w:i w:val="0"/>
                <w:color w:val="1B7F4C"/>
                <w:sz w:val="17"/>
              </w:rPr>
              <w:t>[CONFIRMADO]</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Rotar de inmediato la clave expuesta y revocar la anterior. 2) Revisar el historial de Git y los logs por rastros. 3) Revisar el uso del proveedor en las últimas horas. 4) Informar al líder y registrar el incidente.</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Todos · Fernando (coordina)</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Procedimiento de commit (barrido de secretos)</w:t>
            </w:r>
          </w:p>
        </w:tc>
      </w:tr>
    </w:tbl>
    <w:p>
      <w:pPr>
        <w:spacing w:after="40"/>
      </w:pPr>
    </w:p>
    <w:p>
      <w:pPr>
        <w:pStyle w:val="Heading3"/>
      </w:pPr>
      <w:r>
        <w:t>R-08 · Dependencia de credenciales personales de Google (ADC de usuario)</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El STT usa las credenciales del usuario que ejecuta el worker. En producción debe usarse una cuenta de servicio con permisos mínimos.</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Alta · Impacto Medio · Nivel </w:t>
            </w:r>
            <w:r>
              <w:rPr>
                <w:b/>
                <w:i w:val="0"/>
                <w:sz w:val="17"/>
              </w:rPr>
              <w:t>Alto</w:t>
            </w:r>
            <w:r>
              <w:rPr>
                <w:b w:val="0"/>
                <w:i w:val="0"/>
                <w:sz w:val="17"/>
              </w:rPr>
              <w:t xml:space="preserve"> · Estado </w:t>
            </w:r>
            <w:r>
              <w:rPr>
                <w:b/>
                <w:i w:val="0"/>
                <w:sz w:val="17"/>
              </w:rPr>
              <w:t>Activo</w:t>
            </w:r>
            <w:r>
              <w:rPr>
                <w:b w:val="0"/>
                <w:i w:val="0"/>
                <w:sz w:val="17"/>
              </w:rPr>
              <w:t xml:space="preserve"> · Categoría Seguridad</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Worker en producción arrancando con gcloud auth application-default login de una persona.</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 xml:space="preserve">Rol 'Cliente de Cloud Speech' acotado; resolución explícita de ADC en el arranque del runner. </w:t>
            </w:r>
            <w:r>
              <w:rPr>
                <w:b/>
                <w:i w:val="0"/>
                <w:color w:val="1B7F4C"/>
                <w:sz w:val="17"/>
              </w:rPr>
              <w:t>[CONFIRMADO]</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Pedir a Fernando una cuenta de servicio con el rol mínimo. 2) Cargarla como secreto del servicio o usar identidad de carga de trabajo. 3) Retirar el acceso personal tras la migración.</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Fernando</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PR #10 (ADC en setup del runner)</w:t>
            </w:r>
          </w:p>
        </w:tc>
      </w:tr>
    </w:tbl>
    <w:p>
      <w:pPr>
        <w:spacing w:after="40"/>
      </w:pPr>
    </w:p>
    <w:p>
      <w:pPr>
        <w:pStyle w:val="Heading3"/>
      </w:pPr>
      <w:r>
        <w:t>R-09 · Licencia y titularidad de las voces y de la cuenta de ElevenLabs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Las voces chilenas elegidas son de la biblioteca pública de ElevenLabs. Se desconoce de quién es la cuenta de la clave en uso y si su plan permite uso comercial.</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Alto · Nivel </w:t>
            </w:r>
            <w:r>
              <w:rPr>
                <w:b/>
                <w:i w:val="0"/>
                <w:sz w:val="17"/>
              </w:rPr>
              <w:t>Alto</w:t>
            </w:r>
            <w:r>
              <w:rPr>
                <w:b w:val="0"/>
                <w:i w:val="0"/>
                <w:sz w:val="17"/>
              </w:rPr>
              <w:t xml:space="preserve"> · Estado </w:t>
            </w:r>
            <w:r>
              <w:rPr>
                <w:b/>
                <w:i w:val="0"/>
                <w:sz w:val="17"/>
              </w:rPr>
              <w:t>Activo</w:t>
            </w:r>
            <w:r>
              <w:rPr>
                <w:b w:val="0"/>
                <w:i w:val="0"/>
                <w:sz w:val="17"/>
              </w:rPr>
              <w:t xml:space="preserve"> · Categoría Legal / licencias</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Cambio en los términos del plan; aviso del proveedor; entrega al cliente sin confirmar licencia.</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Voces configurables por variable de entorno; marcar la elección como PROPUESTA hasta aprobación humana.</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Confirmar titular y plan de la cuenta. 2) Leer la licencia de cada voz. 3) Si no hay claridad: usar voces propias de ElevenLabs sin licencia de terceros o una voz creada con consentimiento. 4) Informar a Alloxentric.</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Juan · Fernando</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PR #16 (descripción: pendientes)</w:t>
            </w:r>
          </w:p>
        </w:tc>
      </w:tr>
    </w:tbl>
    <w:p>
      <w:pPr>
        <w:spacing w:after="40"/>
      </w:pPr>
    </w:p>
    <w:p>
      <w:pPr>
        <w:pStyle w:val="Heading3"/>
      </w:pPr>
      <w:r>
        <w:t>R-10 · Caída o error de un proveedor durante una llamada</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El 26-oct se registraron cuatro eventos tts_error (APIConnectionError con fallo de DNS hacia ElevenLabs) en el primer turno.</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Medio · Nivel </w:t>
            </w:r>
            <w:r>
              <w:rPr>
                <w:b/>
                <w:i w:val="0"/>
                <w:sz w:val="17"/>
              </w:rPr>
              <w:t>Medio</w:t>
            </w:r>
            <w:r>
              <w:rPr>
                <w:b w:val="0"/>
                <w:i w:val="0"/>
                <w:sz w:val="17"/>
              </w:rPr>
              <w:t xml:space="preserve"> · Estado </w:t>
            </w:r>
            <w:r>
              <w:rPr>
                <w:b/>
                <w:i w:val="0"/>
                <w:sz w:val="17"/>
              </w:rPr>
              <w:t>Materializado</w:t>
            </w:r>
            <w:r>
              <w:rPr>
                <w:b w:val="0"/>
                <w:i w:val="0"/>
                <w:sz w:val="17"/>
              </w:rPr>
              <w:t xml:space="preserve"> · Categoría Operación</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Eventos error/tts_error/llm_error en el log; contador errors del resumen de sesión.</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 xml:space="preserve">Reintentos por defecto del SDK (hasta 3); registro de errores sin detalles sensibles; LLM intercambiable (Gemini ↔ DeepSeek) con LLM_PROVIDER. </w:t>
            </w:r>
            <w:r>
              <w:rPr>
                <w:b/>
                <w:i w:val="0"/>
                <w:color w:val="1B7F4C"/>
                <w:sz w:val="17"/>
              </w:rPr>
              <w:t>[CONFIRMADO]</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Revisar el estado del proveedor. 2) Cambiar LLM_PROVIDER si falla el LLM. 3) Repetir la llamada. 4) Proponer mensaje de contingencia hablado o en pantalla y registrar el indicador recoverable.</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Fernando · David</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docs/validation/DART-14-4.3 (sección 8)</w:t>
            </w:r>
          </w:p>
        </w:tc>
      </w:tr>
    </w:tbl>
    <w:p>
      <w:pPr>
        <w:spacing w:after="40"/>
      </w:pPr>
    </w:p>
    <w:p>
      <w:pPr>
        <w:pStyle w:val="Heading3"/>
      </w:pPr>
      <w:r>
        <w:t>R-11 · Falla del despliegue de la web (errores 500/502, módulos no encontrados, despliegue bloqueado)</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Ocurrieron: HTTP 500 por contexto de Netlify Functions, HTTP 502 por empaquetado pnpm en Windows, ERR_MODULE_NOT_FOUND en Vercel y un despliegue bloqueado por el autor del commit.</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Medio · Nivel </w:t>
            </w:r>
            <w:r>
              <w:rPr>
                <w:b/>
                <w:i w:val="0"/>
                <w:sz w:val="17"/>
              </w:rPr>
              <w:t>Medio</w:t>
            </w:r>
            <w:r>
              <w:rPr>
                <w:b w:val="0"/>
                <w:i w:val="0"/>
                <w:sz w:val="17"/>
              </w:rPr>
              <w:t xml:space="preserve"> · Estado </w:t>
            </w:r>
            <w:r>
              <w:rPr>
                <w:b/>
                <w:i w:val="0"/>
                <w:sz w:val="17"/>
              </w:rPr>
              <w:t>Materializado</w:t>
            </w:r>
            <w:r>
              <w:rPr>
                <w:b w:val="0"/>
                <w:i w:val="0"/>
                <w:sz w:val="17"/>
              </w:rPr>
              <w:t xml:space="preserve"> · Categoría Despliegue</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Rutas /api/* con 5xx tras desplegar; despliegue en estado Blocked o Error.</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Lista de verificación posterior al despliegue (login mal → 401, origen ajeno → 403, sin sesión → 401); pruebas de regresión; documentación de incidentes.</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Revisar logs de runtime del hosting. 2) Volver al despliegue anterior (rollback). 3) Corregir con una prueba que reproduzca el fallo. 4) Documentar el incidente en docs/incidents.</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Fernando · Juan</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docs/incidents/DART-14-4.2; PR #13, #14, #16</w:t>
            </w:r>
          </w:p>
        </w:tc>
      </w:tr>
    </w:tbl>
    <w:p>
      <w:pPr>
        <w:spacing w:after="40"/>
      </w:pPr>
    </w:p>
    <w:p>
      <w:pPr>
        <w:pStyle w:val="Heading3"/>
      </w:pPr>
      <w:r>
        <w:t>R-12 · Worker del agente no disponible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El agente corre hoy en un computador del equipo. Si se apaga o pierde red, la web carga pero las llamadas no conectan.</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Alta · Impacto Medio · Nivel </w:t>
            </w:r>
            <w:r>
              <w:rPr>
                <w:b/>
                <w:i w:val="0"/>
                <w:sz w:val="17"/>
              </w:rPr>
              <w:t>Alto</w:t>
            </w:r>
            <w:r>
              <w:rPr>
                <w:b w:val="0"/>
                <w:i w:val="0"/>
                <w:sz w:val="17"/>
              </w:rPr>
              <w:t xml:space="preserve"> · Estado </w:t>
            </w:r>
            <w:r>
              <w:rPr>
                <w:b/>
                <w:i w:val="0"/>
                <w:sz w:val="17"/>
              </w:rPr>
              <w:t>Activo</w:t>
            </w:r>
            <w:r>
              <w:rPr>
                <w:b w:val="0"/>
                <w:i w:val="0"/>
                <w:sz w:val="17"/>
              </w:rPr>
              <w:t xml:space="preserve"> · Categoría Operación</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Sin worker registrado en LiveKit (lk agent list vacío); llamadas que no reciben saludo.</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Checklist previo a cada demo; registro del worker visible en el log.</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Reiniciar el worker (uv run alloxentric-agent dev). 2) Confirmar registro en LiveKit. 3) Mover el worker a un servicio persistente (LiveKit Cloud Agents o similar) antes de demostraciones sin supervisión.</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Juan · Fernando</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D06 (guía de operación)</w:t>
            </w:r>
          </w:p>
        </w:tc>
      </w:tr>
    </w:tbl>
    <w:p>
      <w:pPr>
        <w:spacing w:after="40"/>
      </w:pPr>
    </w:p>
    <w:p>
      <w:pPr>
        <w:pStyle w:val="Heading3"/>
      </w:pPr>
      <w:r>
        <w:t>R-13 · Abuso de la demo pública o fuerza bruta del código de acceso</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Cualquiera con la URL puede intentar códigos. Netlify tiene límite por IP; en Vercel Hobby no se configuró.</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Medio · Nivel </w:t>
            </w:r>
            <w:r>
              <w:rPr>
                <w:b/>
                <w:i w:val="0"/>
                <w:sz w:val="17"/>
              </w:rPr>
              <w:t>Medio</w:t>
            </w:r>
            <w:r>
              <w:rPr>
                <w:b w:val="0"/>
                <w:i w:val="0"/>
                <w:sz w:val="17"/>
              </w:rPr>
              <w:t xml:space="preserve"> · Estado </w:t>
            </w:r>
            <w:r>
              <w:rPr>
                <w:b/>
                <w:i w:val="0"/>
                <w:sz w:val="17"/>
              </w:rPr>
              <w:t>Activo</w:t>
            </w:r>
            <w:r>
              <w:rPr>
                <w:b w:val="0"/>
                <w:i w:val="0"/>
                <w:sz w:val="17"/>
              </w:rPr>
              <w:t xml:space="preserve"> · Categoría Seguridad</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Muchos 401 seguidos en /api/demo/login; sesiones desconocidas.</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 xml:space="preserve">Código largo y aleatorio; comparación de origen; cookie firmada con vencimiento; DEMO_ENABLED; CSP; despacho forzado desde el servidor. </w:t>
            </w:r>
            <w:r>
              <w:rPr>
                <w:b/>
                <w:i w:val="0"/>
                <w:color w:val="1B7F4C"/>
                <w:sz w:val="17"/>
              </w:rPr>
              <w:t>[CONFIRMADO]</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Poner DEMO_ENABLED=false. 2) Rotar el código y el secreto de firma. 3) Agregar límite de intentos o firewall. 4) Revisar el uso de APIs.</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Fernando · Juan</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web-demo/README (seguridad)</w:t>
            </w:r>
          </w:p>
        </w:tc>
      </w:tr>
    </w:tbl>
    <w:p>
      <w:pPr>
        <w:spacing w:after="40"/>
      </w:pPr>
    </w:p>
    <w:p>
      <w:pPr>
        <w:pStyle w:val="Heading3"/>
      </w:pPr>
      <w:r>
        <w:t>R-14 · Voz o acento inadecuados para el contexto chileno</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Las voces se eligieron por metadatos de la biblioteca, sin escucharlas con un panel ni con el cliente.</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Medio · Nivel </w:t>
            </w:r>
            <w:r>
              <w:rPr>
                <w:b/>
                <w:i w:val="0"/>
                <w:sz w:val="17"/>
              </w:rPr>
              <w:t>Medio</w:t>
            </w:r>
            <w:r>
              <w:rPr>
                <w:b w:val="0"/>
                <w:i w:val="0"/>
                <w:sz w:val="17"/>
              </w:rPr>
              <w:t xml:space="preserve"> · Estado </w:t>
            </w:r>
            <w:r>
              <w:rPr>
                <w:b/>
                <w:i w:val="0"/>
                <w:sz w:val="17"/>
              </w:rPr>
              <w:t>Activo</w:t>
            </w:r>
            <w:r>
              <w:rPr>
                <w:b w:val="0"/>
                <w:i w:val="0"/>
                <w:sz w:val="17"/>
              </w:rPr>
              <w:t xml:space="preserve"> · Categoría Calidad</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Observaciones negativas de Alloxentric o del docente; baja comprensión en pruebas auditivas.</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Muestras de audio por agente; voz configurable por persona.</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Realizar una prueba auditiva con criterios (naturalidad, acento, claridad). 2) Reemplazar la voz en personas.py. 3) Validar con Alloxentric.</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Juan · David</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Muestras de audio generadas el 30-oct</w:t>
            </w:r>
          </w:p>
        </w:tc>
      </w:tr>
    </w:tbl>
    <w:p>
      <w:pPr>
        <w:spacing w:after="40"/>
      </w:pPr>
    </w:p>
    <w:p>
      <w:pPr>
        <w:pStyle w:val="Heading3"/>
      </w:pPr>
      <w:r>
        <w:t>R-15 · Conducta inadecuada del agente de cobranza</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Un agente de cobranza podría amenazar, presionar indebidamente o revelar una deuda a terceros. Falta confirmar la normativa aplicable (por ejemplo, la Ley 19.496 sobre cobranza extrajudicial).</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Alto · Nivel </w:t>
            </w:r>
            <w:r>
              <w:rPr>
                <w:b/>
                <w:i w:val="0"/>
                <w:sz w:val="17"/>
              </w:rPr>
              <w:t>Alto</w:t>
            </w:r>
            <w:r>
              <w:rPr>
                <w:b w:val="0"/>
                <w:i w:val="0"/>
                <w:sz w:val="17"/>
              </w:rPr>
              <w:t xml:space="preserve"> · Estado </w:t>
            </w:r>
            <w:r>
              <w:rPr>
                <w:b/>
                <w:i w:val="0"/>
                <w:sz w:val="17"/>
              </w:rPr>
              <w:t>Vigilancia</w:t>
            </w:r>
            <w:r>
              <w:rPr>
                <w:b w:val="0"/>
                <w:i w:val="0"/>
                <w:sz w:val="17"/>
              </w:rPr>
              <w:t xml:space="preserve"> · Categoría Ética / cumplimiento</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Respuestas con amenazas, presión o mención de la deuda sin confirmar identidad en las pruebas.</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Reglas de cobranza en los prompts (trato respetuoso, sin amenazas, confirmar identidad primero); datos ficticios; aviso de simulación. [CONFIRMADO en código]</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Detener el uso de ese escenario. 2) Reproducir con el log y corregir el prompt. 3) Agregar un caso de prueba. 4) Revisar con Alloxentric el cumplimiento legal antes de cualquier uso con personas reales.</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Juan (PO) · Fernando</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personas.py; tests/test_personas.py</w:t>
            </w:r>
          </w:p>
        </w:tc>
      </w:tr>
    </w:tbl>
    <w:p>
      <w:pPr>
        <w:spacing w:after="40"/>
      </w:pPr>
    </w:p>
    <w:p>
      <w:pPr>
        <w:pStyle w:val="Heading3"/>
      </w:pPr>
      <w:r>
        <w:t>R-16 · Respuestas inventadas del LLM (alucinaciones)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El LLM puede inventar condiciones, montos o plazos. Los escenarios actuales usan datos ficticios, pero un uso real exigiría control estricto.</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Medio · Nivel </w:t>
            </w:r>
            <w:r>
              <w:rPr>
                <w:b/>
                <w:i w:val="0"/>
                <w:sz w:val="17"/>
              </w:rPr>
              <w:t>Medio</w:t>
            </w:r>
            <w:r>
              <w:rPr>
                <w:b w:val="0"/>
                <w:i w:val="0"/>
                <w:sz w:val="17"/>
              </w:rPr>
              <w:t xml:space="preserve"> · Estado </w:t>
            </w:r>
            <w:r>
              <w:rPr>
                <w:b/>
                <w:i w:val="0"/>
                <w:sz w:val="17"/>
              </w:rPr>
              <w:t>Vigilancia</w:t>
            </w:r>
            <w:r>
              <w:rPr>
                <w:b w:val="0"/>
                <w:i w:val="0"/>
                <w:sz w:val="17"/>
              </w:rPr>
              <w:t xml:space="preserve"> · Categoría Calidad</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Respuestas que contradicen el guion o inventan datos en revisiones de transcripciones.</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Instrucciones acotadas, respuestas cortas, aviso de simulación, tope de tokens de salida.</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Revisar transcripciones guardadas. 2) Ajustar el prompt o acotar con datos estructurados. 3) Para uso real, exigir guion cerrado y validación con Alloxentric.</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Juan · David</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Historial de conversaciones (local)</w:t>
            </w:r>
          </w:p>
        </w:tc>
      </w:tr>
    </w:tbl>
    <w:p>
      <w:pPr>
        <w:spacing w:after="40"/>
      </w:pPr>
    </w:p>
    <w:p>
      <w:pPr>
        <w:pStyle w:val="Heading3"/>
      </w:pPr>
      <w:r>
        <w:t>R-17 · Evidencias y registros Scrum insuficientes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El informe 2.4 reconoce backlog y revisiones sin registrar, logs de pruebas no archivados y PR fusionados sin revisión formal.</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Alta · Impacto Medio · Nivel </w:t>
            </w:r>
            <w:r>
              <w:rPr>
                <w:b/>
                <w:i w:val="0"/>
                <w:sz w:val="17"/>
              </w:rPr>
              <w:t>Alto</w:t>
            </w:r>
            <w:r>
              <w:rPr>
                <w:b w:val="0"/>
                <w:i w:val="0"/>
                <w:sz w:val="17"/>
              </w:rPr>
              <w:t xml:space="preserve"> · Estado </w:t>
            </w:r>
            <w:r>
              <w:rPr>
                <w:b/>
                <w:i w:val="0"/>
                <w:sz w:val="17"/>
              </w:rPr>
              <w:t>Activo</w:t>
            </w:r>
            <w:r>
              <w:rPr>
                <w:b w:val="0"/>
                <w:i w:val="0"/>
                <w:sz w:val="17"/>
              </w:rPr>
              <w:t xml:space="preserve"> · Categoría Gestión</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Evidencias referenciadas sin archivo; PR sin aprobación; ausencia de actas semanales.</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Archivar extractos de métricas (sin secretos); documentos en esta carpeta; leyenda de clasificación en cada documento.</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Archivar la evidencia el mismo día. 2) Exigir revisión de otro integrante antes de fusionar. 3) Registrar acta semanal en CoreStream.</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David (Scrum Master)</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Informe grupal 2.4</w:t>
            </w:r>
          </w:p>
        </w:tc>
      </w:tr>
    </w:tbl>
    <w:p>
      <w:pPr>
        <w:spacing w:after="40"/>
      </w:pPr>
    </w:p>
    <w:p>
      <w:pPr>
        <w:pStyle w:val="Heading3"/>
      </w:pPr>
      <w:r>
        <w:t>R-18 · Desviaciones del plan sin aprobación formal</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Se incorporó un LLM (el plan decía evitarlo inicialmente) y se agregaron escenarios de práctica y una demo web que no fueron pedidos de forma explícita por Alloxentric.</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Medio · Nivel </w:t>
            </w:r>
            <w:r>
              <w:rPr>
                <w:b/>
                <w:i w:val="0"/>
                <w:sz w:val="17"/>
              </w:rPr>
              <w:t>Medio</w:t>
            </w:r>
            <w:r>
              <w:rPr>
                <w:b w:val="0"/>
                <w:i w:val="0"/>
                <w:sz w:val="17"/>
              </w:rPr>
              <w:t xml:space="preserve"> · Estado </w:t>
            </w:r>
            <w:r>
              <w:rPr>
                <w:b/>
                <w:i w:val="0"/>
                <w:sz w:val="17"/>
              </w:rPr>
              <w:t>Activo</w:t>
            </w:r>
            <w:r>
              <w:rPr>
                <w:b w:val="0"/>
                <w:i w:val="0"/>
                <w:sz w:val="17"/>
              </w:rPr>
              <w:t xml:space="preserve"> · Categoría Alcance</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Funcionalidad nueva sin registro de decisión ni aprobación del cliente o del docente.</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Registro de decisiones de arquitectura (D01); etiquetas PROPUESTA/CONFIRMADO.</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Registrar la decisión con fecha y motivo. 2) Pedir aprobación a Alloxentric y al docente. 3) Actualizar la Carta Gantt y el plan de trabajo.</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Juan (PO) · Fernando</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D01 (decisiones); Informe 2.4</w:t>
            </w:r>
          </w:p>
        </w:tc>
      </w:tr>
    </w:tbl>
    <w:p>
      <w:pPr>
        <w:spacing w:after="40"/>
      </w:pPr>
    </w:p>
    <w:p>
      <w:pPr>
        <w:pStyle w:val="Heading3"/>
      </w:pPr>
      <w:r>
        <w:t>R-19 · Tiempo insuficiente para integración, pruebas y comparación de costos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Quedan pocas semanas del plan. La comparación de costo y efectividad (A8) y las pruebas completas dependen de datos y accesos aún pendientes.</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Alta · Impacto Alto · Nivel </w:t>
            </w:r>
            <w:r>
              <w:rPr>
                <w:b/>
                <w:i w:val="0"/>
                <w:sz w:val="17"/>
              </w:rPr>
              <w:t>Crítico</w:t>
            </w:r>
            <w:r>
              <w:rPr>
                <w:b w:val="0"/>
                <w:i w:val="0"/>
                <w:sz w:val="17"/>
              </w:rPr>
              <w:t xml:space="preserve"> · Estado </w:t>
            </w:r>
            <w:r>
              <w:rPr>
                <w:b/>
                <w:i w:val="0"/>
                <w:sz w:val="17"/>
              </w:rPr>
              <w:t>Activo</w:t>
            </w:r>
            <w:r>
              <w:rPr>
                <w:b w:val="0"/>
                <w:i w:val="0"/>
                <w:sz w:val="17"/>
              </w:rPr>
              <w:t xml:space="preserve"> · Categoría Planificación</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Actividades A2, A5, A7 y A8 sin fecha ni responsable; semanas restantes menores que el trabajo estimado.</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Priorizar la ruta crítica; trabajo compartido de integración; recorte de extras.</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Congelar funcionalidades extra. 2) Definir el protocolo comparativo y los eventos de latencia con Alloxentric de inmediato. 3) Reasignar tareas y actualizar la Carta Gantt con aprobación del docente.</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Fernando (líder) · David</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Informe grupal 2.4 (actividades con retraso)</w:t>
            </w:r>
          </w:p>
        </w:tc>
      </w:tr>
    </w:tbl>
    <w:p>
      <w:pPr>
        <w:spacing w:after="40"/>
      </w:pPr>
    </w:p>
    <w:p>
      <w:pPr>
        <w:pStyle w:val="Heading3"/>
      </w:pPr>
      <w:r>
        <w:t>R-20 · Problemas de audio en el navegador (eco, ruido, interrupciones falsas, micrófono equivocado)</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3"/>
        <w:gridCol w:w="4703"/>
      </w:tblGrid>
      <w:tr>
        <w:trPr>
          <w:tblHeader w:val="true"/>
        </w:trPr>
        <w:tc>
          <w:tcPr>
            <w:tcW w:type="dxa" w:w="1814"/>
            <w:shd w:val="clear" w:color="auto" w:fill="0A7D69"/>
          </w:tcPr>
          <w:p>
            <w:pPr>
              <w:spacing w:after="0"/>
            </w:pPr>
            <w:r>
              <w:rPr>
                <w:b/>
                <w:color w:val="FFFFFF"/>
                <w:sz w:val="17"/>
              </w:rPr>
              <w:t>Campo</w:t>
            </w:r>
          </w:p>
        </w:tc>
        <w:tc>
          <w:tcPr>
            <w:tcW w:type="dxa" w:w="7257"/>
            <w:shd w:val="clear" w:color="auto" w:fill="0A7D69"/>
          </w:tcPr>
          <w:p>
            <w:pPr>
              <w:spacing w:after="0"/>
            </w:pPr>
            <w:r>
              <w:rPr>
                <w:b/>
                <w:color w:val="FFFFFF"/>
                <w:sz w:val="17"/>
              </w:rPr>
              <w:t>Detalle</w:t>
            </w:r>
          </w:p>
        </w:tc>
      </w:tr>
      <w:tr>
        <w:trPr>
          <w:cantSplit w:val="true"/>
        </w:trPr>
        <w:tc>
          <w:tcPr>
            <w:tcW w:type="dxa" w:w="1814"/>
          </w:tcPr>
          <w:p>
            <w:pPr>
              <w:spacing w:after="20" w:line="252" w:lineRule="auto"/>
            </w:pPr>
            <w:r>
              <w:rPr>
                <w:b/>
                <w:i w:val="0"/>
                <w:sz w:val="17"/>
              </w:rPr>
              <w:t>Descripción</w:t>
            </w:r>
          </w:p>
        </w:tc>
        <w:tc>
          <w:tcPr>
            <w:tcW w:type="dxa" w:w="7257"/>
          </w:tcPr>
          <w:p>
            <w:pPr>
              <w:spacing w:after="20" w:line="252" w:lineRule="auto"/>
            </w:pPr>
            <w:r>
              <w:rPr>
                <w:b w:val="0"/>
                <w:i w:val="0"/>
                <w:sz w:val="17"/>
              </w:rPr>
              <w:t>El eco y el ruido pueden activar interrupciones del agente o degradar la transcripción. No se probó en distintos navegadores ni dispositivos.</w:t>
            </w:r>
          </w:p>
        </w:tc>
      </w:tr>
      <w:tr>
        <w:trPr>
          <w:cantSplit w:val="true"/>
        </w:trPr>
        <w:tc>
          <w:tcPr>
            <w:tcW w:type="dxa" w:w="1814"/>
          </w:tcPr>
          <w:p>
            <w:pPr>
              <w:spacing w:after="20" w:line="252" w:lineRule="auto"/>
            </w:pPr>
            <w:r>
              <w:rPr>
                <w:b/>
                <w:i w:val="0"/>
                <w:sz w:val="17"/>
              </w:rPr>
              <w:t>Valoración</w:t>
            </w:r>
          </w:p>
        </w:tc>
        <w:tc>
          <w:tcPr>
            <w:tcW w:type="dxa" w:w="7257"/>
          </w:tcPr>
          <w:p>
            <w:pPr>
              <w:spacing w:after="20" w:line="252" w:lineRule="auto"/>
            </w:pPr>
            <w:r>
              <w:rPr>
                <w:b w:val="0"/>
                <w:i w:val="0"/>
                <w:sz w:val="17"/>
              </w:rPr>
              <w:t xml:space="preserve">Probabilidad Media · Impacto Medio · Nivel </w:t>
            </w:r>
            <w:r>
              <w:rPr>
                <w:b/>
                <w:i w:val="0"/>
                <w:sz w:val="17"/>
              </w:rPr>
              <w:t>Medio</w:t>
            </w:r>
            <w:r>
              <w:rPr>
                <w:b w:val="0"/>
                <w:i w:val="0"/>
                <w:sz w:val="17"/>
              </w:rPr>
              <w:t xml:space="preserve"> · Estado </w:t>
            </w:r>
            <w:r>
              <w:rPr>
                <w:b/>
                <w:i w:val="0"/>
                <w:sz w:val="17"/>
              </w:rPr>
              <w:t>Vigilancia</w:t>
            </w:r>
            <w:r>
              <w:rPr>
                <w:b w:val="0"/>
                <w:i w:val="0"/>
                <w:sz w:val="17"/>
              </w:rPr>
              <w:t xml:space="preserve"> · Categoría Calidad</w:t>
            </w:r>
          </w:p>
        </w:tc>
      </w:tr>
      <w:tr>
        <w:trPr>
          <w:cantSplit w:val="true"/>
        </w:trPr>
        <w:tc>
          <w:tcPr>
            <w:tcW w:type="dxa" w:w="1814"/>
          </w:tcPr>
          <w:p>
            <w:pPr>
              <w:spacing w:after="20" w:line="252" w:lineRule="auto"/>
            </w:pPr>
            <w:r>
              <w:rPr>
                <w:b/>
                <w:i w:val="0"/>
                <w:sz w:val="17"/>
              </w:rPr>
              <w:t>Señal de alerta</w:t>
            </w:r>
          </w:p>
        </w:tc>
        <w:tc>
          <w:tcPr>
            <w:tcW w:type="dxa" w:w="7257"/>
          </w:tcPr>
          <w:p>
            <w:pPr>
              <w:spacing w:after="20" w:line="252" w:lineRule="auto"/>
            </w:pPr>
            <w:r>
              <w:rPr>
                <w:b w:val="0"/>
                <w:i w:val="0"/>
                <w:sz w:val="17"/>
              </w:rPr>
              <w:t>Turnos con interrupted=true sin que la persona haya hablado; transcripciones erróneas.</w:t>
            </w:r>
          </w:p>
        </w:tc>
      </w:tr>
      <w:tr>
        <w:trPr>
          <w:cantSplit w:val="true"/>
        </w:trPr>
        <w:tc>
          <w:tcPr>
            <w:tcW w:type="dxa" w:w="1814"/>
          </w:tcPr>
          <w:p>
            <w:pPr>
              <w:spacing w:after="20" w:line="252" w:lineRule="auto"/>
            </w:pPr>
            <w:r>
              <w:rPr>
                <w:b/>
                <w:i w:val="0"/>
                <w:sz w:val="17"/>
              </w:rPr>
              <w:t>Prevención</w:t>
            </w:r>
          </w:p>
        </w:tc>
        <w:tc>
          <w:tcPr>
            <w:tcW w:type="dxa" w:w="7257"/>
          </w:tcPr>
          <w:p>
            <w:pPr>
              <w:spacing w:after="20" w:line="252" w:lineRule="auto"/>
            </w:pPr>
            <w:r>
              <w:rPr>
                <w:b w:val="0"/>
                <w:i w:val="0"/>
                <w:sz w:val="17"/>
              </w:rPr>
              <w:t>Selector de micrófono y silencio en la web; cancelación de eco del SDK; período inicial sin interrupciones.</w:t>
            </w:r>
          </w:p>
        </w:tc>
      </w:tr>
      <w:tr>
        <w:trPr>
          <w:cantSplit w:val="true"/>
        </w:trPr>
        <w:tc>
          <w:tcPr>
            <w:tcW w:type="dxa" w:w="1814"/>
          </w:tcPr>
          <w:p>
            <w:pPr>
              <w:spacing w:after="20" w:line="252" w:lineRule="auto"/>
            </w:pPr>
            <w:r>
              <w:rPr>
                <w:b/>
                <w:i w:val="0"/>
                <w:sz w:val="17"/>
              </w:rPr>
              <w:t>Si ocurre, reaccionar así</w:t>
            </w:r>
          </w:p>
        </w:tc>
        <w:tc>
          <w:tcPr>
            <w:tcW w:type="dxa" w:w="7257"/>
          </w:tcPr>
          <w:p>
            <w:pPr>
              <w:spacing w:after="20" w:line="252" w:lineRule="auto"/>
            </w:pPr>
            <w:r>
              <w:rPr>
                <w:b w:val="0"/>
                <w:i w:val="0"/>
                <w:sz w:val="17"/>
              </w:rPr>
              <w:t>1) Usar audífonos y verificar el micrófono elegido. 2) Ajustar el umbral de interrupción. 3) Probar en Chrome, Edge y Safari móvil y registrar resultados.</w:t>
            </w:r>
          </w:p>
        </w:tc>
      </w:tr>
      <w:tr>
        <w:trPr>
          <w:cantSplit w:val="true"/>
        </w:trPr>
        <w:tc>
          <w:tcPr>
            <w:tcW w:type="dxa" w:w="1814"/>
          </w:tcPr>
          <w:p>
            <w:pPr>
              <w:spacing w:after="20" w:line="252" w:lineRule="auto"/>
            </w:pPr>
            <w:r>
              <w:rPr>
                <w:b/>
                <w:i w:val="0"/>
                <w:sz w:val="17"/>
              </w:rPr>
              <w:t xml:space="preserve">Responsable </w:t>
            </w:r>
            <w:r>
              <w:rPr>
                <w:b/>
                <w:i w:val="0"/>
                <w:color w:val="1F5FA8"/>
                <w:sz w:val="17"/>
              </w:rPr>
              <w:t>[PROPUESTA]</w:t>
            </w:r>
          </w:p>
        </w:tc>
        <w:tc>
          <w:tcPr>
            <w:tcW w:type="dxa" w:w="7257"/>
          </w:tcPr>
          <w:p>
            <w:pPr>
              <w:spacing w:after="20" w:line="252" w:lineRule="auto"/>
            </w:pPr>
            <w:r>
              <w:rPr>
                <w:b w:val="0"/>
                <w:i w:val="0"/>
                <w:sz w:val="17"/>
              </w:rPr>
              <w:t>Juan · David</w:t>
            </w:r>
          </w:p>
        </w:tc>
      </w:tr>
      <w:tr>
        <w:trPr>
          <w:cantSplit w:val="true"/>
        </w:trPr>
        <w:tc>
          <w:tcPr>
            <w:tcW w:type="dxa" w:w="1814"/>
          </w:tcPr>
          <w:p>
            <w:pPr>
              <w:spacing w:after="20" w:line="252" w:lineRule="auto"/>
            </w:pPr>
            <w:r>
              <w:rPr>
                <w:b/>
                <w:i w:val="0"/>
                <w:sz w:val="17"/>
              </w:rPr>
              <w:t>Evidencia</w:t>
            </w:r>
          </w:p>
        </w:tc>
        <w:tc>
          <w:tcPr>
            <w:tcW w:type="dxa" w:w="7257"/>
          </w:tcPr>
          <w:p>
            <w:pPr>
              <w:spacing w:after="20" w:line="252" w:lineRule="auto"/>
            </w:pPr>
            <w:r>
              <w:rPr>
                <w:b w:val="0"/>
                <w:i w:val="0"/>
                <w:sz w:val="17"/>
              </w:rPr>
              <w:t>D05 (casos de prueba TC-12 y TC-15)</w:t>
            </w:r>
          </w:p>
        </w:tc>
      </w:tr>
    </w:tbl>
    <w:p>
      <w:pPr>
        <w:spacing w:after="40"/>
      </w:pPr>
    </w:p>
    <w:p>
      <w:pPr>
        <w:pStyle w:val="Heading1"/>
      </w:pPr>
      <w:r>
        <w:t>5. Protocolos de reacción ante incidentes</w:t>
      </w:r>
    </w:p>
    <w:p>
      <w:pPr>
        <w:jc w:val="both"/>
      </w:pPr>
      <w:r>
        <w:rPr>
          <w:b w:val="0"/>
          <w:i w:val="0"/>
        </w:rPr>
        <w:t xml:space="preserve">Pasos cortos para actuar sin improvisar. Todos son </w:t>
      </w:r>
      <w:r>
        <w:rPr>
          <w:b/>
          <w:i w:val="0"/>
          <w:color w:val="1F5FA8"/>
        </w:rPr>
        <w:t>[PROPUESTA]</w:t>
      </w:r>
      <w:r>
        <w:rPr>
          <w:b w:val="0"/>
          <w:i w:val="0"/>
        </w:rPr>
        <w:t xml:space="preserve"> y deben acordarse en la reunión de seguimiento.</w:t>
      </w:r>
    </w:p>
    <w:p>
      <w:pPr>
        <w:pStyle w:val="Heading3"/>
      </w:pPr>
      <w:r>
        <w:t>P1. Se expuso una credencial (clave, token o código de acceso)  (R-07)</w:t>
      </w:r>
    </w:p>
    <w:p>
      <w:pPr>
        <w:spacing w:after="40"/>
        <w:ind w:left="510" w:hanging="340"/>
      </w:pPr>
      <w:r>
        <w:rPr>
          <w:b/>
          <w:color w:val="0A7D69"/>
        </w:rPr>
        <w:t xml:space="preserve">1. </w:t>
      </w:r>
      <w:r>
        <w:rPr>
          <w:b/>
          <w:i w:val="0"/>
        </w:rPr>
        <w:t>Contener (primeros 15 minutos):</w:t>
      </w:r>
      <w:r>
        <w:rPr>
          <w:b w:val="0"/>
          <w:i w:val="0"/>
        </w:rPr>
        <w:t xml:space="preserve"> rotar la clave en el proveedor (ElevenLabs, Google, LiveKit, Vercel/Netlify) y revocar la anterior.</w:t>
      </w:r>
    </w:p>
    <w:p>
      <w:pPr>
        <w:spacing w:after="40"/>
        <w:ind w:left="510" w:hanging="340"/>
      </w:pPr>
      <w:r>
        <w:rPr>
          <w:b/>
          <w:color w:val="0A7D69"/>
        </w:rPr>
        <w:t xml:space="preserve">2. </w:t>
      </w:r>
      <w:r>
        <w:rPr>
          <w:b w:val="0"/>
          <w:i w:val="0"/>
        </w:rPr>
        <w:t xml:space="preserve">Si afecta a la demo: poner </w:t>
      </w:r>
      <w:r>
        <w:rPr>
          <w:rFonts w:ascii="Consolas" w:hAnsi="Consolas" w:eastAsia="Consolas"/>
          <w:color w:val="0A5C4D"/>
          <w:sz w:val="20"/>
        </w:rPr>
        <w:t>DEMO_ENABLED=false</w:t>
      </w:r>
      <w:r>
        <w:rPr>
          <w:b w:val="0"/>
          <w:i w:val="0"/>
        </w:rPr>
        <w:t xml:space="preserve"> y rotar </w:t>
      </w:r>
      <w:r>
        <w:rPr>
          <w:rFonts w:ascii="Consolas" w:hAnsi="Consolas" w:eastAsia="Consolas"/>
          <w:color w:val="0A5C4D"/>
          <w:sz w:val="20"/>
        </w:rPr>
        <w:t>DEMO_ACCESS_SECRET</w:t>
      </w:r>
      <w:r>
        <w:rPr>
          <w:b w:val="0"/>
          <w:i w:val="0"/>
        </w:rPr>
        <w:t xml:space="preserve"> y </w:t>
      </w:r>
      <w:r>
        <w:rPr>
          <w:rFonts w:ascii="Consolas" w:hAnsi="Consolas" w:eastAsia="Consolas"/>
          <w:color w:val="0A5C4D"/>
          <w:sz w:val="20"/>
        </w:rPr>
        <w:t>DEMO_SESSION_SIGNING_SECRET</w:t>
      </w:r>
      <w:r>
        <w:rPr>
          <w:b w:val="0"/>
          <w:i w:val="0"/>
        </w:rPr>
        <w:t>.</w:t>
      </w:r>
    </w:p>
    <w:p>
      <w:pPr>
        <w:spacing w:after="40"/>
        <w:ind w:left="510" w:hanging="340"/>
      </w:pPr>
      <w:r>
        <w:rPr>
          <w:b/>
          <w:color w:val="0A7D69"/>
        </w:rPr>
        <w:t xml:space="preserve">3. </w:t>
      </w:r>
      <w:r>
        <w:rPr>
          <w:b/>
          <w:i w:val="0"/>
        </w:rPr>
        <w:t>Evaluar:</w:t>
      </w:r>
      <w:r>
        <w:rPr>
          <w:b w:val="0"/>
          <w:i w:val="0"/>
        </w:rPr>
        <w:t xml:space="preserve"> revisar el uso del proveedor en las últimas 24 horas y buscar la clave en el historial de Git (</w:t>
      </w:r>
      <w:r>
        <w:rPr>
          <w:rFonts w:ascii="Consolas" w:hAnsi="Consolas" w:eastAsia="Consolas"/>
          <w:color w:val="0A5C4D"/>
          <w:sz w:val="20"/>
        </w:rPr>
        <w:t>git log -S</w:t>
      </w:r>
      <w:r>
        <w:rPr>
          <w:b w:val="0"/>
          <w:i w:val="0"/>
        </w:rPr>
        <w:t>) y en los logs.</w:t>
      </w:r>
    </w:p>
    <w:p>
      <w:pPr>
        <w:spacing w:after="40"/>
        <w:ind w:left="510" w:hanging="340"/>
      </w:pPr>
      <w:r>
        <w:rPr>
          <w:b/>
          <w:color w:val="0A7D69"/>
        </w:rPr>
        <w:t xml:space="preserve">4. </w:t>
      </w:r>
      <w:r>
        <w:rPr>
          <w:b/>
          <w:i w:val="0"/>
        </w:rPr>
        <w:t>Registrar:</w:t>
      </w:r>
      <w:r>
        <w:rPr>
          <w:b w:val="0"/>
          <w:i w:val="0"/>
        </w:rPr>
        <w:t xml:space="preserve"> anotar fecha, qué se expuso, dónde y qué se rotó. Avisar al líder (Fernando) y al Scrum Master (David).</w:t>
      </w:r>
    </w:p>
    <w:p>
      <w:pPr>
        <w:spacing w:after="40"/>
        <w:ind w:left="510" w:hanging="340"/>
      </w:pPr>
      <w:r>
        <w:rPr>
          <w:b/>
          <w:color w:val="0A7D69"/>
        </w:rPr>
        <w:t xml:space="preserve">5. </w:t>
      </w:r>
      <w:r>
        <w:rPr>
          <w:b/>
          <w:i w:val="0"/>
        </w:rPr>
        <w:t>Aprender:</w:t>
      </w:r>
      <w:r>
        <w:rPr>
          <w:b w:val="0"/>
          <w:i w:val="0"/>
        </w:rPr>
        <w:t xml:space="preserve"> actualizar el barrido de secretos previo al commit si el patrón no se habría detectado.</w:t>
      </w:r>
    </w:p>
    <w:p>
      <w:pPr>
        <w:pStyle w:val="Heading3"/>
      </w:pPr>
      <w:r>
        <w:t>P2. Gasto inesperado o uso sospechoso de la demo  (R-06, R-13)</w:t>
      </w:r>
    </w:p>
    <w:p>
      <w:pPr>
        <w:spacing w:after="40"/>
        <w:ind w:left="510" w:hanging="340"/>
      </w:pPr>
      <w:r>
        <w:rPr>
          <w:b/>
          <w:color w:val="0A7D69"/>
        </w:rPr>
        <w:t xml:space="preserve">1. </w:t>
      </w:r>
      <w:r>
        <w:rPr>
          <w:b w:val="0"/>
          <w:i w:val="0"/>
        </w:rPr>
        <w:t xml:space="preserve">Poner </w:t>
      </w:r>
      <w:r>
        <w:rPr>
          <w:rFonts w:ascii="Consolas" w:hAnsi="Consolas" w:eastAsia="Consolas"/>
          <w:color w:val="0A5C4D"/>
          <w:sz w:val="20"/>
        </w:rPr>
        <w:t>DEMO_ENABLED=false</w:t>
      </w:r>
      <w:r>
        <w:rPr>
          <w:b w:val="0"/>
          <w:i w:val="0"/>
        </w:rPr>
        <w:t xml:space="preserve"> (impide sesiones nuevas; no corta las abiertas).</w:t>
      </w:r>
    </w:p>
    <w:p>
      <w:pPr>
        <w:spacing w:after="40"/>
        <w:ind w:left="510" w:hanging="340"/>
      </w:pPr>
      <w:r>
        <w:rPr>
          <w:b/>
          <w:color w:val="0A7D69"/>
        </w:rPr>
        <w:t xml:space="preserve">2. </w:t>
      </w:r>
      <w:r>
        <w:rPr>
          <w:b w:val="0"/>
          <w:i w:val="0"/>
        </w:rPr>
        <w:t>Revisar el extracto de uso por sesión (tokens, caracteres de TTS y segundos de audio) y las alertas de presupuesto de Google.</w:t>
      </w:r>
    </w:p>
    <w:p>
      <w:pPr>
        <w:spacing w:after="40"/>
        <w:ind w:left="510" w:hanging="340"/>
      </w:pPr>
      <w:r>
        <w:rPr>
          <w:b/>
          <w:color w:val="0A7D69"/>
        </w:rPr>
        <w:t xml:space="preserve">3. </w:t>
      </w:r>
      <w:r>
        <w:rPr>
          <w:b w:val="0"/>
          <w:i w:val="0"/>
        </w:rPr>
        <w:t>Rotar el código de acceso y la clave del proveedor afectado.</w:t>
      </w:r>
    </w:p>
    <w:p>
      <w:pPr>
        <w:spacing w:after="40"/>
        <w:ind w:left="510" w:hanging="340"/>
      </w:pPr>
      <w:r>
        <w:rPr>
          <w:b/>
          <w:color w:val="0A7D69"/>
        </w:rPr>
        <w:t xml:space="preserve">4. </w:t>
      </w:r>
      <w:r>
        <w:rPr>
          <w:b w:val="0"/>
          <w:i w:val="0"/>
        </w:rPr>
        <w:t>Antes de reabrir: configurar tope de duración por llamada y de llamadas simultáneas, y confirmar el saldo de cada proveedor.</w:t>
      </w:r>
    </w:p>
    <w:p>
      <w:pPr>
        <w:pStyle w:val="Heading3"/>
      </w:pPr>
      <w:r>
        <w:t>P3. Un proveedor falla durante una llamada o una demostración  (R-10)</w:t>
      </w:r>
    </w:p>
    <w:p>
      <w:pPr>
        <w:spacing w:after="40"/>
        <w:ind w:left="510" w:hanging="340"/>
      </w:pPr>
      <w:r>
        <w:rPr>
          <w:b/>
          <w:color w:val="0A7D69"/>
        </w:rPr>
        <w:t xml:space="preserve">1. </w:t>
      </w:r>
      <w:r>
        <w:rPr>
          <w:b w:val="0"/>
          <w:i w:val="0"/>
        </w:rPr>
        <w:t xml:space="preserve">Identificar cuál es: </w:t>
      </w:r>
      <w:r>
        <w:rPr>
          <w:rFonts w:ascii="Consolas" w:hAnsi="Consolas" w:eastAsia="Consolas"/>
          <w:color w:val="0A5C4D"/>
          <w:sz w:val="20"/>
        </w:rPr>
        <w:t>tts_error</w:t>
      </w:r>
      <w:r>
        <w:rPr>
          <w:b w:val="0"/>
          <w:i w:val="0"/>
        </w:rPr>
        <w:t xml:space="preserve"> (ElevenLabs), error de STT (Google) o error del LLM, en el log del worker.</w:t>
      </w:r>
    </w:p>
    <w:p>
      <w:pPr>
        <w:spacing w:after="40"/>
        <w:ind w:left="510" w:hanging="340"/>
      </w:pPr>
      <w:r>
        <w:rPr>
          <w:b/>
          <w:color w:val="0A7D69"/>
        </w:rPr>
        <w:t xml:space="preserve">2. </w:t>
      </w:r>
      <w:r>
        <w:rPr>
          <w:b w:val="0"/>
          <w:i w:val="0"/>
        </w:rPr>
        <w:t xml:space="preserve">Si es el LLM: cambiar </w:t>
      </w:r>
      <w:r>
        <w:rPr>
          <w:rFonts w:ascii="Consolas" w:hAnsi="Consolas" w:eastAsia="Consolas"/>
          <w:color w:val="0A5C4D"/>
          <w:sz w:val="20"/>
        </w:rPr>
        <w:t>LLM_PROVIDER</w:t>
      </w:r>
      <w:r>
        <w:rPr>
          <w:b w:val="0"/>
          <w:i w:val="0"/>
        </w:rPr>
        <w:t xml:space="preserve"> entre </w:t>
      </w:r>
      <w:r>
        <w:rPr>
          <w:rFonts w:ascii="Consolas" w:hAnsi="Consolas" w:eastAsia="Consolas"/>
          <w:color w:val="0A5C4D"/>
          <w:sz w:val="20"/>
        </w:rPr>
        <w:t>gemini</w:t>
      </w:r>
      <w:r>
        <w:rPr>
          <w:b w:val="0"/>
          <w:i w:val="0"/>
        </w:rPr>
        <w:t xml:space="preserve"> y </w:t>
      </w:r>
      <w:r>
        <w:rPr>
          <w:rFonts w:ascii="Consolas" w:hAnsi="Consolas" w:eastAsia="Consolas"/>
          <w:color w:val="0A5C4D"/>
          <w:sz w:val="20"/>
        </w:rPr>
        <w:t>deepseek</w:t>
      </w:r>
      <w:r>
        <w:rPr>
          <w:b w:val="0"/>
          <w:i w:val="0"/>
        </w:rPr>
        <w:t xml:space="preserve"> y reiniciar el worker.</w:t>
      </w:r>
    </w:p>
    <w:p>
      <w:pPr>
        <w:spacing w:after="40"/>
        <w:ind w:left="510" w:hanging="340"/>
      </w:pPr>
      <w:r>
        <w:rPr>
          <w:b/>
          <w:color w:val="0A7D69"/>
        </w:rPr>
        <w:t xml:space="preserve">3. </w:t>
      </w:r>
      <w:r>
        <w:rPr>
          <w:b w:val="0"/>
          <w:i w:val="0"/>
        </w:rPr>
        <w:t>Si es TTS o STT: revisar la página de estado del proveedor, esperar el reintento del SDK (hasta 3) y repetir la llamada.</w:t>
      </w:r>
    </w:p>
    <w:p>
      <w:pPr>
        <w:spacing w:after="40"/>
        <w:ind w:left="510" w:hanging="340"/>
      </w:pPr>
      <w:r>
        <w:rPr>
          <w:b/>
          <w:color w:val="0A7D69"/>
        </w:rPr>
        <w:t xml:space="preserve">4. </w:t>
      </w:r>
      <w:r>
        <w:rPr>
          <w:b w:val="0"/>
          <w:i w:val="0"/>
        </w:rPr>
        <w:t>Registrar el tipo de error y la hora; si se repite, abrir un ticket para definir un mensaje de contingencia y mejores reintentos.</w:t>
      </w:r>
    </w:p>
    <w:p>
      <w:pPr>
        <w:pStyle w:val="Heading3"/>
      </w:pPr>
      <w:r>
        <w:t>P4. La latencia supera el umbral acordado  (R-01)</w:t>
      </w:r>
    </w:p>
    <w:p>
      <w:pPr>
        <w:spacing w:after="40"/>
        <w:ind w:left="510" w:hanging="340"/>
      </w:pPr>
      <w:r>
        <w:rPr>
          <w:b/>
          <w:color w:val="0A7D69"/>
        </w:rPr>
        <w:t xml:space="preserve">1. </w:t>
      </w:r>
      <w:r>
        <w:rPr>
          <w:b w:val="0"/>
          <w:i w:val="0"/>
        </w:rPr>
        <w:t>Archivar el extracto de métricas de la sesión (sin texto de conversaciones) como evidencia.</w:t>
      </w:r>
    </w:p>
    <w:p>
      <w:pPr>
        <w:spacing w:after="40"/>
        <w:ind w:left="510" w:hanging="340"/>
      </w:pPr>
      <w:r>
        <w:rPr>
          <w:b/>
          <w:color w:val="0A7D69"/>
        </w:rPr>
        <w:t xml:space="preserve">2. </w:t>
      </w:r>
      <w:r>
        <w:rPr>
          <w:b w:val="0"/>
          <w:i w:val="0"/>
        </w:rPr>
        <w:t xml:space="preserve">Identificar la etapa dominante con </w:t>
      </w:r>
      <w:r>
        <w:rPr>
          <w:rFonts w:ascii="Consolas" w:hAnsi="Consolas" w:eastAsia="Consolas"/>
          <w:color w:val="0A5C4D"/>
          <w:sz w:val="20"/>
        </w:rPr>
        <w:t>transcription_delay_s</w:t>
      </w:r>
      <w:r>
        <w:rPr>
          <w:b w:val="0"/>
          <w:i w:val="0"/>
        </w:rPr>
        <w:t xml:space="preserve">, </w:t>
      </w:r>
      <w:r>
        <w:rPr>
          <w:rFonts w:ascii="Consolas" w:hAnsi="Consolas" w:eastAsia="Consolas"/>
          <w:color w:val="0A5C4D"/>
          <w:sz w:val="20"/>
        </w:rPr>
        <w:t>llm_node_ttft_s</w:t>
      </w:r>
      <w:r>
        <w:rPr>
          <w:b w:val="0"/>
          <w:i w:val="0"/>
        </w:rPr>
        <w:t xml:space="preserve"> y </w:t>
      </w:r>
      <w:r>
        <w:rPr>
          <w:rFonts w:ascii="Consolas" w:hAnsi="Consolas" w:eastAsia="Consolas"/>
          <w:color w:val="0A5C4D"/>
          <w:sz w:val="20"/>
        </w:rPr>
        <w:t>tts_node_ttfb_s</w:t>
      </w:r>
      <w:r>
        <w:rPr>
          <w:b w:val="0"/>
          <w:i w:val="0"/>
        </w:rPr>
        <w:t>.</w:t>
      </w:r>
    </w:p>
    <w:p>
      <w:pPr>
        <w:spacing w:after="40"/>
        <w:ind w:left="510" w:hanging="340"/>
      </w:pPr>
      <w:r>
        <w:rPr>
          <w:b/>
          <w:color w:val="0A7D69"/>
        </w:rPr>
        <w:t xml:space="preserve">3. </w:t>
      </w:r>
      <w:r>
        <w:rPr>
          <w:b w:val="0"/>
          <w:i w:val="0"/>
        </w:rPr>
        <w:t>Aplicar la palanca correspondiente (D01, sección 6): modelo, región, muletilla o proveedor de STT.</w:t>
      </w:r>
    </w:p>
    <w:p>
      <w:pPr>
        <w:spacing w:after="40"/>
        <w:ind w:left="510" w:hanging="340"/>
      </w:pPr>
      <w:r>
        <w:rPr>
          <w:b/>
          <w:color w:val="0A7D69"/>
        </w:rPr>
        <w:t xml:space="preserve">4. </w:t>
      </w:r>
      <w:r>
        <w:rPr>
          <w:b w:val="0"/>
          <w:i w:val="0"/>
        </w:rPr>
        <w:t>Medir de nuevo con el mismo método y comparar; presentar a Alloxentric la diferencia y la decisión pendiente.</w:t>
      </w:r>
    </w:p>
    <w:p>
      <w:pPr>
        <w:pStyle w:val="Heading3"/>
      </w:pPr>
      <w:r>
        <w:t>P5. Falla un despliegue de la web  (R-11)</w:t>
      </w:r>
    </w:p>
    <w:p>
      <w:pPr>
        <w:spacing w:after="40"/>
        <w:ind w:left="510" w:hanging="340"/>
      </w:pPr>
      <w:r>
        <w:rPr>
          <w:b/>
          <w:color w:val="0A7D69"/>
        </w:rPr>
        <w:t xml:space="preserve">1. </w:t>
      </w:r>
      <w:r>
        <w:rPr>
          <w:b w:val="0"/>
          <w:i w:val="0"/>
        </w:rPr>
        <w:t xml:space="preserve">Probar </w:t>
      </w:r>
      <w:r>
        <w:rPr>
          <w:rFonts w:ascii="Consolas" w:hAnsi="Consolas" w:eastAsia="Consolas"/>
          <w:color w:val="0A5C4D"/>
          <w:sz w:val="20"/>
        </w:rPr>
        <w:t>/api/demo/session</w:t>
      </w:r>
      <w:r>
        <w:rPr>
          <w:b w:val="0"/>
          <w:i w:val="0"/>
        </w:rPr>
        <w:t xml:space="preserve"> sin cookie (debe dar 401) y </w:t>
      </w:r>
      <w:r>
        <w:rPr>
          <w:rFonts w:ascii="Consolas" w:hAnsi="Consolas" w:eastAsia="Consolas"/>
          <w:color w:val="0A5C4D"/>
          <w:sz w:val="20"/>
        </w:rPr>
        <w:t>/api/demo/login</w:t>
      </w:r>
      <w:r>
        <w:rPr>
          <w:b w:val="0"/>
          <w:i w:val="0"/>
        </w:rPr>
        <w:t xml:space="preserve"> con un origen ajeno (debe dar 403). Cualquier 5xx indica falla.</w:t>
      </w:r>
    </w:p>
    <w:p>
      <w:pPr>
        <w:spacing w:after="40"/>
        <w:ind w:left="510" w:hanging="340"/>
      </w:pPr>
      <w:r>
        <w:rPr>
          <w:b/>
          <w:color w:val="0A7D69"/>
        </w:rPr>
        <w:t xml:space="preserve">2. </w:t>
      </w:r>
      <w:r>
        <w:rPr>
          <w:b w:val="0"/>
          <w:i w:val="0"/>
        </w:rPr>
        <w:t xml:space="preserve">Leer los logs de ejecución del hosting y buscar </w:t>
      </w:r>
      <w:r>
        <w:rPr>
          <w:rFonts w:ascii="Consolas" w:hAnsi="Consolas" w:eastAsia="Consolas"/>
          <w:color w:val="0A5C4D"/>
          <w:sz w:val="20"/>
        </w:rPr>
        <w:t>ERR_MODULE_NOT_FOUND</w:t>
      </w:r>
      <w:r>
        <w:rPr>
          <w:b w:val="0"/>
          <w:i w:val="0"/>
        </w:rPr>
        <w:t>, contexto de función o error de empaquetado.</w:t>
      </w:r>
    </w:p>
    <w:p>
      <w:pPr>
        <w:spacing w:after="40"/>
        <w:ind w:left="510" w:hanging="340"/>
      </w:pPr>
      <w:r>
        <w:rPr>
          <w:b/>
          <w:color w:val="0A7D69"/>
        </w:rPr>
        <w:t xml:space="preserve">3. </w:t>
      </w:r>
      <w:r>
        <w:rPr>
          <w:b w:val="0"/>
          <w:i w:val="0"/>
        </w:rPr>
        <w:t>Volver al despliegue anterior si la demo debe seguir disponible.</w:t>
      </w:r>
    </w:p>
    <w:p>
      <w:pPr>
        <w:spacing w:after="40"/>
        <w:ind w:left="510" w:hanging="340"/>
      </w:pPr>
      <w:r>
        <w:rPr>
          <w:b/>
          <w:color w:val="0A7D69"/>
        </w:rPr>
        <w:t xml:space="preserve">4. </w:t>
      </w:r>
      <w:r>
        <w:rPr>
          <w:b w:val="0"/>
          <w:i w:val="0"/>
        </w:rPr>
        <w:t xml:space="preserve">Reproducir el fallo con una prueba, corregir y documentar en </w:t>
      </w:r>
      <w:r>
        <w:rPr>
          <w:rFonts w:ascii="Consolas" w:hAnsi="Consolas" w:eastAsia="Consolas"/>
          <w:color w:val="0A5C4D"/>
          <w:sz w:val="20"/>
        </w:rPr>
        <w:t>docs/incidents/</w:t>
      </w:r>
      <w:r>
        <w:rPr>
          <w:b w:val="0"/>
          <w:i w:val="0"/>
        </w:rPr>
        <w:t>.</w:t>
      </w:r>
    </w:p>
    <w:p>
      <w:pPr>
        <w:pStyle w:val="Heading3"/>
      </w:pPr>
      <w:r>
        <w:t>P6. El agente no responde al entrar a la web  (R-12)</w:t>
      </w:r>
    </w:p>
    <w:p>
      <w:pPr>
        <w:spacing w:after="40"/>
        <w:ind w:left="510" w:hanging="340"/>
      </w:pPr>
      <w:r>
        <w:rPr>
          <w:b/>
          <w:color w:val="0A7D69"/>
        </w:rPr>
        <w:t xml:space="preserve">1. </w:t>
      </w:r>
      <w:r>
        <w:rPr>
          <w:b w:val="0"/>
          <w:i w:val="0"/>
        </w:rPr>
        <w:t xml:space="preserve">Verificar que el worker esté corriendo y registrado: </w:t>
      </w:r>
      <w:r>
        <w:rPr>
          <w:rFonts w:ascii="Consolas" w:hAnsi="Consolas" w:eastAsia="Consolas"/>
          <w:color w:val="0A5C4D"/>
          <w:sz w:val="20"/>
        </w:rPr>
        <w:t>lk agent list</w:t>
      </w:r>
      <w:r>
        <w:rPr>
          <w:b w:val="0"/>
          <w:i w:val="0"/>
        </w:rPr>
        <w:t xml:space="preserve"> o la línea </w:t>
      </w:r>
      <w:r>
        <w:rPr>
          <w:rFonts w:ascii="Consolas" w:hAnsi="Consolas" w:eastAsia="Consolas"/>
          <w:color w:val="0A5C4D"/>
          <w:sz w:val="20"/>
        </w:rPr>
        <w:t>registered worker</w:t>
      </w:r>
      <w:r>
        <w:rPr>
          <w:b w:val="0"/>
          <w:i w:val="0"/>
        </w:rPr>
        <w:t xml:space="preserve"> en su log.</w:t>
      </w:r>
    </w:p>
    <w:p>
      <w:pPr>
        <w:spacing w:after="40"/>
        <w:ind w:left="510" w:hanging="340"/>
      </w:pPr>
      <w:r>
        <w:rPr>
          <w:b/>
          <w:color w:val="0A7D69"/>
        </w:rPr>
        <w:t xml:space="preserve">2. </w:t>
      </w:r>
      <w:r>
        <w:rPr>
          <w:b w:val="0"/>
          <w:i w:val="0"/>
        </w:rPr>
        <w:t xml:space="preserve">Reiniciar con </w:t>
      </w:r>
      <w:r>
        <w:rPr>
          <w:rFonts w:ascii="Consolas" w:hAnsi="Consolas" w:eastAsia="Consolas"/>
          <w:color w:val="0A5C4D"/>
          <w:sz w:val="20"/>
        </w:rPr>
        <w:t>uv run alloxentric-agent dev</w:t>
      </w:r>
      <w:r>
        <w:rPr>
          <w:b w:val="0"/>
          <w:i w:val="0"/>
        </w:rPr>
        <w:t xml:space="preserve"> y confirmar que el proyecto de LiveKit es el mismo de la web.</w:t>
      </w:r>
    </w:p>
    <w:p>
      <w:pPr>
        <w:spacing w:after="40"/>
        <w:ind w:left="510" w:hanging="340"/>
      </w:pPr>
      <w:r>
        <w:rPr>
          <w:b/>
          <w:color w:val="0A7D69"/>
        </w:rPr>
        <w:t xml:space="preserve">3. </w:t>
      </w:r>
      <w:r>
        <w:rPr>
          <w:b w:val="0"/>
          <w:i w:val="0"/>
        </w:rPr>
        <w:t>Comprobar que las credenciales de Google (ADC) siguen vigentes y que las variables de entorno están cargadas.</w:t>
      </w:r>
    </w:p>
    <w:p>
      <w:pPr>
        <w:spacing w:after="40"/>
        <w:ind w:left="510" w:hanging="340"/>
      </w:pPr>
      <w:r>
        <w:rPr>
          <w:b/>
          <w:color w:val="0A7D69"/>
        </w:rPr>
        <w:t xml:space="preserve">4. </w:t>
      </w:r>
      <w:r>
        <w:rPr>
          <w:b w:val="0"/>
          <w:i w:val="0"/>
        </w:rPr>
        <w:t>Para demostraciones sin supervisión: mover el worker a un servicio persistente.</w:t>
      </w:r>
    </w:p>
    <w:p>
      <w:pPr>
        <w:pStyle w:val="Heading3"/>
      </w:pPr>
      <w:r>
        <w:t>P7. El cliente cambia un proveedor o un requisito  (R-02, R-18)</w:t>
      </w:r>
    </w:p>
    <w:p>
      <w:pPr>
        <w:spacing w:after="40"/>
        <w:ind w:left="510" w:hanging="340"/>
      </w:pPr>
      <w:r>
        <w:rPr>
          <w:b/>
          <w:color w:val="0A7D69"/>
        </w:rPr>
        <w:t xml:space="preserve">1. </w:t>
      </w:r>
      <w:r>
        <w:rPr>
          <w:b w:val="0"/>
          <w:i w:val="0"/>
        </w:rPr>
        <w:t>Pedir la instrucción por escrito (correo o acta) con fecha y motivo.</w:t>
      </w:r>
    </w:p>
    <w:p>
      <w:pPr>
        <w:spacing w:after="40"/>
        <w:ind w:left="510" w:hanging="340"/>
      </w:pPr>
      <w:r>
        <w:rPr>
          <w:b/>
          <w:color w:val="0A7D69"/>
        </w:rPr>
        <w:t xml:space="preserve">2. </w:t>
      </w:r>
      <w:r>
        <w:rPr>
          <w:b w:val="0"/>
          <w:i w:val="0"/>
        </w:rPr>
        <w:t>Registrar la decisión en el registro de arquitectura (D01) y en el plan de trabajo; actualizar la Carta Gantt si cambia el calendario.</w:t>
      </w:r>
    </w:p>
    <w:p>
      <w:pPr>
        <w:spacing w:after="40"/>
        <w:ind w:left="510" w:hanging="340"/>
      </w:pPr>
      <w:r>
        <w:rPr>
          <w:b/>
          <w:color w:val="0A7D69"/>
        </w:rPr>
        <w:t xml:space="preserve">3. </w:t>
      </w:r>
      <w:r>
        <w:rPr>
          <w:b w:val="0"/>
          <w:i w:val="0"/>
        </w:rPr>
        <w:t>Implementar en una rama por ticket, con pruebas sin red, y validar el proveedor nuevo de forma aislada antes de integrar.</w:t>
      </w:r>
    </w:p>
    <w:p>
      <w:pPr>
        <w:spacing w:after="40"/>
        <w:ind w:left="510" w:hanging="340"/>
      </w:pPr>
      <w:r>
        <w:rPr>
          <w:b/>
          <w:color w:val="0A7D69"/>
        </w:rPr>
        <w:t xml:space="preserve">4. </w:t>
      </w:r>
      <w:r>
        <w:rPr>
          <w:b w:val="0"/>
          <w:i w:val="0"/>
        </w:rPr>
        <w:t>Informar al docente guía el ajuste y su justificación.</w:t>
      </w:r>
    </w:p>
    <w:p>
      <w:pPr>
        <w:pStyle w:val="Heading1"/>
      </w:pPr>
      <w:r>
        <w:t>6. Roles y escalamiento</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135"/>
        <w:gridCol w:w="3135"/>
        <w:gridCol w:w="3135"/>
      </w:tblGrid>
      <w:tr>
        <w:trPr>
          <w:tblHeader w:val="true"/>
        </w:trPr>
        <w:tc>
          <w:tcPr>
            <w:tcW w:type="dxa" w:w="1701"/>
            <w:shd w:val="clear" w:color="auto" w:fill="0A7D69"/>
          </w:tcPr>
          <w:p>
            <w:pPr>
              <w:spacing w:after="0"/>
            </w:pPr>
            <w:r>
              <w:rPr>
                <w:b/>
                <w:color w:val="FFFFFF"/>
                <w:sz w:val="18"/>
              </w:rPr>
              <w:t>Rol</w:t>
            </w:r>
          </w:p>
        </w:tc>
        <w:tc>
          <w:tcPr>
            <w:tcW w:type="dxa" w:w="2041"/>
            <w:shd w:val="clear" w:color="auto" w:fill="0A7D69"/>
          </w:tcPr>
          <w:p>
            <w:pPr>
              <w:spacing w:after="0"/>
            </w:pPr>
            <w:r>
              <w:rPr>
                <w:b/>
                <w:color w:val="FFFFFF"/>
                <w:sz w:val="18"/>
              </w:rPr>
              <w:t>Persona</w:t>
            </w:r>
          </w:p>
        </w:tc>
        <w:tc>
          <w:tcPr>
            <w:tcW w:type="dxa" w:w="5329"/>
            <w:shd w:val="clear" w:color="auto" w:fill="0A7D69"/>
          </w:tcPr>
          <w:p>
            <w:pPr>
              <w:spacing w:after="0"/>
            </w:pPr>
            <w:r>
              <w:rPr>
                <w:b/>
                <w:color w:val="FFFFFF"/>
                <w:sz w:val="18"/>
              </w:rPr>
              <w:t>Responsabilidad en la gestión de riesgos [PROPUESTA]</w:t>
            </w:r>
          </w:p>
        </w:tc>
      </w:tr>
      <w:tr>
        <w:trPr>
          <w:cantSplit w:val="true"/>
        </w:trPr>
        <w:tc>
          <w:tcPr>
            <w:tcW w:type="dxa" w:w="1701"/>
          </w:tcPr>
          <w:p>
            <w:pPr>
              <w:spacing w:after="20" w:line="252" w:lineRule="auto"/>
            </w:pPr>
            <w:r>
              <w:rPr>
                <w:b w:val="0"/>
                <w:i w:val="0"/>
                <w:sz w:val="18"/>
              </w:rPr>
              <w:t>Product Owner</w:t>
            </w:r>
          </w:p>
        </w:tc>
        <w:tc>
          <w:tcPr>
            <w:tcW w:type="dxa" w:w="2041"/>
          </w:tcPr>
          <w:p>
            <w:pPr>
              <w:spacing w:after="20" w:line="252" w:lineRule="auto"/>
            </w:pPr>
            <w:r>
              <w:rPr>
                <w:b w:val="0"/>
                <w:i w:val="0"/>
                <w:sz w:val="18"/>
              </w:rPr>
              <w:t>Juan Díaz</w:t>
            </w:r>
          </w:p>
        </w:tc>
        <w:tc>
          <w:tcPr>
            <w:tcW w:type="dxa" w:w="5329"/>
          </w:tcPr>
          <w:p>
            <w:pPr>
              <w:spacing w:after="20" w:line="252" w:lineRule="auto"/>
            </w:pPr>
            <w:r>
              <w:rPr>
                <w:b w:val="0"/>
                <w:i w:val="0"/>
                <w:sz w:val="18"/>
              </w:rPr>
              <w:t>Comunicación con Alloxentric sobre requisitos, guion y accesos (R-04, R-18); aprobación de cambios de alcance; revisión de la conducta de los agentes (R-15, R-16).</w:t>
            </w:r>
          </w:p>
        </w:tc>
      </w:tr>
      <w:tr>
        <w:trPr>
          <w:cantSplit w:val="true"/>
        </w:trPr>
        <w:tc>
          <w:tcPr>
            <w:tcW w:type="dxa" w:w="1701"/>
            <w:shd w:val="clear" w:color="auto" w:fill="F5F7F7"/>
          </w:tcPr>
          <w:p>
            <w:pPr>
              <w:spacing w:after="20" w:line="252" w:lineRule="auto"/>
            </w:pPr>
            <w:r>
              <w:rPr>
                <w:b w:val="0"/>
                <w:i w:val="0"/>
                <w:sz w:val="18"/>
              </w:rPr>
              <w:t>Líder de proyecto</w:t>
            </w:r>
          </w:p>
        </w:tc>
        <w:tc>
          <w:tcPr>
            <w:tcW w:type="dxa" w:w="2041"/>
            <w:shd w:val="clear" w:color="auto" w:fill="F5F7F7"/>
          </w:tcPr>
          <w:p>
            <w:pPr>
              <w:spacing w:after="20" w:line="252" w:lineRule="auto"/>
            </w:pPr>
            <w:r>
              <w:rPr>
                <w:b w:val="0"/>
                <w:i w:val="0"/>
                <w:sz w:val="18"/>
              </w:rPr>
              <w:t>Fernando Olguea</w:t>
            </w:r>
          </w:p>
        </w:tc>
        <w:tc>
          <w:tcPr>
            <w:tcW w:type="dxa" w:w="5329"/>
            <w:shd w:val="clear" w:color="auto" w:fill="F5F7F7"/>
          </w:tcPr>
          <w:p>
            <w:pPr>
              <w:spacing w:after="20" w:line="252" w:lineRule="auto"/>
            </w:pPr>
            <w:r>
              <w:rPr>
                <w:b w:val="0"/>
                <w:i w:val="0"/>
                <w:sz w:val="18"/>
              </w:rPr>
              <w:t>Decisiones técnicas y de proveedor; cuentas y accesos (Google, Netlify, LiveKit); respuesta a incidentes de seguridad y gasto (R-06, R-07, R-08).</w:t>
            </w:r>
          </w:p>
        </w:tc>
      </w:tr>
      <w:tr>
        <w:trPr>
          <w:cantSplit w:val="true"/>
        </w:trPr>
        <w:tc>
          <w:tcPr>
            <w:tcW w:type="dxa" w:w="1701"/>
          </w:tcPr>
          <w:p>
            <w:pPr>
              <w:spacing w:after="20" w:line="252" w:lineRule="auto"/>
            </w:pPr>
            <w:r>
              <w:rPr>
                <w:b w:val="0"/>
                <w:i w:val="0"/>
                <w:sz w:val="18"/>
              </w:rPr>
              <w:t>Scrum Master</w:t>
            </w:r>
          </w:p>
        </w:tc>
        <w:tc>
          <w:tcPr>
            <w:tcW w:type="dxa" w:w="2041"/>
          </w:tcPr>
          <w:p>
            <w:pPr>
              <w:spacing w:after="20" w:line="252" w:lineRule="auto"/>
            </w:pPr>
            <w:r>
              <w:rPr>
                <w:b w:val="0"/>
                <w:i w:val="0"/>
                <w:sz w:val="18"/>
              </w:rPr>
              <w:t>David Sepúlveda</w:t>
            </w:r>
          </w:p>
        </w:tc>
        <w:tc>
          <w:tcPr>
            <w:tcW w:type="dxa" w:w="5329"/>
          </w:tcPr>
          <w:p>
            <w:pPr>
              <w:spacing w:after="20" w:line="252" w:lineRule="auto"/>
            </w:pPr>
            <w:r>
              <w:rPr>
                <w:b w:val="0"/>
                <w:i w:val="0"/>
                <w:sz w:val="18"/>
              </w:rPr>
              <w:t>Seguimiento semanal del registro, impedimentos, evidencias y revisión de pull requests (R-03, R-17).</w:t>
            </w:r>
          </w:p>
        </w:tc>
      </w:tr>
      <w:tr>
        <w:trPr>
          <w:cantSplit w:val="true"/>
        </w:trPr>
        <w:tc>
          <w:tcPr>
            <w:tcW w:type="dxa" w:w="1701"/>
            <w:shd w:val="clear" w:color="auto" w:fill="F5F7F7"/>
          </w:tcPr>
          <w:p>
            <w:pPr>
              <w:spacing w:after="20" w:line="252" w:lineRule="auto"/>
            </w:pPr>
            <w:r>
              <w:rPr>
                <w:b w:val="0"/>
                <w:i w:val="0"/>
                <w:sz w:val="18"/>
              </w:rPr>
              <w:t>Docente guía</w:t>
            </w:r>
          </w:p>
        </w:tc>
        <w:tc>
          <w:tcPr>
            <w:tcW w:type="dxa" w:w="2041"/>
            <w:shd w:val="clear" w:color="auto" w:fill="F5F7F7"/>
          </w:tcPr>
          <w:p>
            <w:pPr>
              <w:spacing w:after="20" w:line="252" w:lineRule="auto"/>
            </w:pPr>
            <w:r>
              <w:rPr>
                <w:b w:val="0"/>
                <w:i w:val="0"/>
                <w:sz w:val="18"/>
              </w:rPr>
              <w:t>Luis Bravo Yáñez</w:t>
            </w:r>
          </w:p>
        </w:tc>
        <w:tc>
          <w:tcPr>
            <w:tcW w:type="dxa" w:w="5329"/>
            <w:shd w:val="clear" w:color="auto" w:fill="F5F7F7"/>
          </w:tcPr>
          <w:p>
            <w:pPr>
              <w:spacing w:after="20" w:line="252" w:lineRule="auto"/>
            </w:pPr>
            <w:r>
              <w:rPr>
                <w:b w:val="0"/>
                <w:i w:val="0"/>
                <w:sz w:val="18"/>
              </w:rPr>
              <w:t>Se informa de los riesgos críticos que afecten el alcance o el calendario.</w:t>
            </w:r>
          </w:p>
        </w:tc>
      </w:tr>
      <w:tr>
        <w:trPr>
          <w:cantSplit w:val="true"/>
        </w:trPr>
        <w:tc>
          <w:tcPr>
            <w:tcW w:type="dxa" w:w="1701"/>
          </w:tcPr>
          <w:p>
            <w:pPr>
              <w:spacing w:after="20" w:line="252" w:lineRule="auto"/>
            </w:pPr>
            <w:r>
              <w:rPr>
                <w:b w:val="0"/>
                <w:i w:val="0"/>
                <w:sz w:val="18"/>
              </w:rPr>
              <w:t>Contraparte</w:t>
            </w:r>
          </w:p>
        </w:tc>
        <w:tc>
          <w:tcPr>
            <w:tcW w:type="dxa" w:w="2041"/>
          </w:tcPr>
          <w:p>
            <w:pPr>
              <w:spacing w:after="20" w:line="252" w:lineRule="auto"/>
            </w:pPr>
            <w:r>
              <w:rPr>
                <w:b w:val="0"/>
                <w:i w:val="0"/>
                <w:sz w:val="18"/>
              </w:rPr>
              <w:t>Alloxentric (Max Kreimerman, Karina)</w:t>
            </w:r>
          </w:p>
        </w:tc>
        <w:tc>
          <w:tcPr>
            <w:tcW w:type="dxa" w:w="5329"/>
          </w:tcPr>
          <w:p>
            <w:pPr>
              <w:spacing w:after="20" w:line="252" w:lineRule="auto"/>
            </w:pPr>
            <w:r>
              <w:rPr>
                <w:b w:val="0"/>
                <w:i w:val="0"/>
                <w:sz w:val="18"/>
              </w:rPr>
              <w:t>Se escala lo que dependa de ellos: guion, accesos, telefonía, protocolo de comparación.</w:t>
            </w:r>
          </w:p>
        </w:tc>
      </w:tr>
    </w:tbl>
    <w:p>
      <w:pPr>
        <w:spacing w:after="40"/>
      </w:pPr>
    </w:p>
    <w:p>
      <w:pPr>
        <w:jc w:val="both"/>
      </w:pPr>
      <w:r>
        <w:rPr>
          <w:b/>
          <w:i w:val="0"/>
        </w:rPr>
        <w:t>Regla de escalamiento.</w:t>
      </w:r>
      <w:r>
        <w:rPr>
          <w:b w:val="0"/>
          <w:i w:val="0"/>
        </w:rPr>
        <w:t xml:space="preserve"> Cualquier riesgo de nivel Crítico o con estado Materializado se informa el mismo día al líder y se trata en la siguiente reunión de seguimiento. Si afecta al alcance, al calendario o a los costos, se comunica además a Alloxentric y al docente.</w:t>
      </w:r>
    </w:p>
    <w:p>
      <w:pPr>
        <w:pStyle w:val="Heading1"/>
      </w:pPr>
      <w:r>
        <w:t>7. Revisión del registro</w:t>
      </w:r>
    </w:p>
    <w:p>
      <w:pPr>
        <w:pStyle w:val="ListBullet"/>
        <w:spacing w:after="40"/>
      </w:pPr>
      <w:r>
        <w:rPr>
          <w:b/>
          <w:i w:val="0"/>
        </w:rPr>
        <w:t>Cadencia [PROPUESTA]:</w:t>
      </w:r>
      <w:r>
        <w:rPr>
          <w:b w:val="0"/>
          <w:i w:val="0"/>
        </w:rPr>
        <w:t xml:space="preserve"> revisar el registro en cada reunión semanal de seguimiento; actualizar probabilidad, impacto y estado.</w:t>
      </w:r>
    </w:p>
    <w:p>
      <w:pPr>
        <w:pStyle w:val="ListBullet"/>
        <w:spacing w:after="40"/>
      </w:pPr>
      <w:r>
        <w:rPr>
          <w:b/>
          <w:i w:val="0"/>
        </w:rPr>
        <w:t>Cierre de un riesgo:</w:t>
      </w:r>
      <w:r>
        <w:rPr>
          <w:b w:val="0"/>
          <w:i w:val="0"/>
        </w:rPr>
        <w:t xml:space="preserve"> cuando existe evidencia de que la causa se eliminó o su señal de alerta no se presenta durante dos semanas seguidas.</w:t>
      </w:r>
    </w:p>
    <w:p>
      <w:pPr>
        <w:pStyle w:val="ListBullet"/>
        <w:spacing w:after="40"/>
      </w:pPr>
      <w:r>
        <w:rPr>
          <w:b/>
          <w:i w:val="0"/>
        </w:rPr>
        <w:t>Nuevos riesgos:</w:t>
      </w:r>
      <w:r>
        <w:rPr>
          <w:b w:val="0"/>
          <w:i w:val="0"/>
        </w:rPr>
        <w:t xml:space="preserve"> se agregan con ID correlativo, responsable y reacción antes de que termine la reunión en que se detectan.</w:t>
      </w:r>
    </w:p>
    <w:p>
      <w:pPr>
        <w:pStyle w:val="ListBullet"/>
        <w:spacing w:after="40"/>
      </w:pPr>
      <w:r>
        <w:rPr>
          <w:b/>
          <w:i w:val="0"/>
        </w:rPr>
        <w:t>Trazabilidad:</w:t>
      </w:r>
      <w:r>
        <w:rPr>
          <w:b w:val="0"/>
          <w:i w:val="0"/>
        </w:rPr>
        <w:t xml:space="preserve"> cada incidente relevante se documenta en </w:t>
      </w:r>
      <w:r>
        <w:rPr>
          <w:rFonts w:ascii="Consolas" w:hAnsi="Consolas" w:eastAsia="Consolas"/>
          <w:color w:val="0A5C4D"/>
          <w:sz w:val="20"/>
        </w:rPr>
        <w:t>docs/incidents/</w:t>
      </w:r>
      <w:r>
        <w:rPr>
          <w:b w:val="0"/>
          <w:i w:val="0"/>
        </w:rPr>
        <w:t xml:space="preserve"> del repositorio técnico y se enlaza desde la ficha del riesgo.</w:t>
      </w:r>
    </w:p>
    <w:p>
      <w:pPr>
        <w:pStyle w:val="Heading1"/>
      </w:pPr>
      <w:r>
        <w:t>8. Lecciones de los incidentes ocurridos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351"/>
        <w:gridCol w:w="2351"/>
        <w:gridCol w:w="2351"/>
        <w:gridCol w:w="2351"/>
      </w:tblGrid>
      <w:tr>
        <w:trPr>
          <w:tblHeader w:val="true"/>
        </w:trPr>
        <w:tc>
          <w:tcPr>
            <w:tcW w:type="dxa" w:w="2041"/>
            <w:shd w:val="clear" w:color="auto" w:fill="0A7D69"/>
          </w:tcPr>
          <w:p>
            <w:pPr>
              <w:spacing w:after="0"/>
            </w:pPr>
            <w:r>
              <w:rPr>
                <w:b/>
                <w:color w:val="FFFFFF"/>
                <w:sz w:val="17"/>
              </w:rPr>
              <w:t>Incidente</w:t>
            </w:r>
          </w:p>
        </w:tc>
        <w:tc>
          <w:tcPr>
            <w:tcW w:type="dxa" w:w="2721"/>
            <w:shd w:val="clear" w:color="auto" w:fill="0A7D69"/>
          </w:tcPr>
          <w:p>
            <w:pPr>
              <w:spacing w:after="0"/>
            </w:pPr>
            <w:r>
              <w:rPr>
                <w:b/>
                <w:color w:val="FFFFFF"/>
                <w:sz w:val="17"/>
              </w:rPr>
              <w:t>Qué pasó</w:t>
            </w:r>
          </w:p>
        </w:tc>
        <w:tc>
          <w:tcPr>
            <w:tcW w:type="dxa" w:w="3175"/>
            <w:shd w:val="clear" w:color="auto" w:fill="0A7D69"/>
          </w:tcPr>
          <w:p>
            <w:pPr>
              <w:spacing w:after="0"/>
            </w:pPr>
            <w:r>
              <w:rPr>
                <w:b/>
                <w:color w:val="FFFFFF"/>
                <w:sz w:val="17"/>
              </w:rPr>
              <w:t>Qué aprendimos</w:t>
            </w:r>
          </w:p>
        </w:tc>
        <w:tc>
          <w:tcPr>
            <w:tcW w:type="dxa" w:w="1134"/>
            <w:shd w:val="clear" w:color="auto" w:fill="0A7D69"/>
          </w:tcPr>
          <w:p>
            <w:pPr>
              <w:spacing w:after="0"/>
            </w:pPr>
            <w:r>
              <w:rPr>
                <w:b/>
                <w:color w:val="FFFFFF"/>
                <w:sz w:val="17"/>
              </w:rPr>
              <w:t>Riesgo</w:t>
            </w:r>
          </w:p>
        </w:tc>
      </w:tr>
      <w:tr>
        <w:trPr>
          <w:cantSplit w:val="true"/>
        </w:trPr>
        <w:tc>
          <w:tcPr>
            <w:tcW w:type="dxa" w:w="2041"/>
          </w:tcPr>
          <w:p>
            <w:pPr>
              <w:spacing w:after="20" w:line="252" w:lineRule="auto"/>
            </w:pPr>
            <w:r>
              <w:rPr>
                <w:b w:val="0"/>
                <w:i w:val="0"/>
                <w:sz w:val="17"/>
              </w:rPr>
              <w:t>Speechmatics no se validó (oct)</w:t>
            </w:r>
          </w:p>
        </w:tc>
        <w:tc>
          <w:tcPr>
            <w:tcW w:type="dxa" w:w="2721"/>
          </w:tcPr>
          <w:p>
            <w:pPr>
              <w:spacing w:after="20" w:line="252" w:lineRule="auto"/>
            </w:pPr>
            <w:r>
              <w:rPr>
                <w:b w:val="0"/>
                <w:i w:val="0"/>
                <w:sz w:val="17"/>
              </w:rPr>
              <w:t>El componente comprometido para el 14-oct no se completó y el cliente indicó cambiar a Chirp 3.</w:t>
            </w:r>
          </w:p>
        </w:tc>
        <w:tc>
          <w:tcPr>
            <w:tcW w:type="dxa" w:w="3175"/>
          </w:tcPr>
          <w:p>
            <w:pPr>
              <w:spacing w:after="20" w:line="252" w:lineRule="auto"/>
            </w:pPr>
            <w:r>
              <w:rPr>
                <w:b w:val="0"/>
                <w:i w:val="0"/>
                <w:sz w:val="17"/>
              </w:rPr>
              <w:t>Mantener los proveedores aislados permitió reemplazar el STT en un solo PR; conviene validar cada proveedor de forma aislada antes de depender de él.</w:t>
            </w:r>
          </w:p>
        </w:tc>
        <w:tc>
          <w:tcPr>
            <w:tcW w:type="dxa" w:w="1134"/>
          </w:tcPr>
          <w:p>
            <w:pPr>
              <w:spacing w:after="20" w:line="252" w:lineRule="auto"/>
            </w:pPr>
            <w:r>
              <w:rPr>
                <w:b w:val="0"/>
                <w:i w:val="0"/>
                <w:sz w:val="17"/>
              </w:rPr>
              <w:t>R-02, R-03</w:t>
            </w:r>
          </w:p>
        </w:tc>
      </w:tr>
      <w:tr>
        <w:trPr>
          <w:cantSplit w:val="true"/>
        </w:trPr>
        <w:tc>
          <w:tcPr>
            <w:tcW w:type="dxa" w:w="2041"/>
            <w:shd w:val="clear" w:color="auto" w:fill="F5F7F7"/>
          </w:tcPr>
          <w:p>
            <w:pPr>
              <w:spacing w:after="20" w:line="252" w:lineRule="auto"/>
            </w:pPr>
            <w:r>
              <w:rPr>
                <w:b w:val="0"/>
                <w:i w:val="0"/>
                <w:sz w:val="17"/>
              </w:rPr>
              <w:t>HTTP 500 / 502 en Netlify Functions (22–23-oct)</w:t>
            </w:r>
          </w:p>
        </w:tc>
        <w:tc>
          <w:tcPr>
            <w:tcW w:type="dxa" w:w="2721"/>
            <w:shd w:val="clear" w:color="auto" w:fill="F5F7F7"/>
          </w:tcPr>
          <w:p>
            <w:pPr>
              <w:spacing w:after="20" w:line="252" w:lineRule="auto"/>
            </w:pPr>
            <w:r>
              <w:rPr>
                <w:b w:val="0"/>
                <w:i w:val="0"/>
                <w:sz w:val="17"/>
              </w:rPr>
              <w:t>Las funciones recibían un contexto distinto al esperado y luego fallaron al cargar módulos por el empaquetado pnpm en Windows.</w:t>
            </w:r>
          </w:p>
        </w:tc>
        <w:tc>
          <w:tcPr>
            <w:tcW w:type="dxa" w:w="3175"/>
            <w:shd w:val="clear" w:color="auto" w:fill="F5F7F7"/>
          </w:tcPr>
          <w:p>
            <w:pPr>
              <w:spacing w:after="20" w:line="252" w:lineRule="auto"/>
            </w:pPr>
            <w:r>
              <w:rPr>
                <w:b w:val="0"/>
                <w:i w:val="0"/>
                <w:sz w:val="17"/>
              </w:rPr>
              <w:t xml:space="preserve">Probar las rutas </w:t>
            </w:r>
            <w:r>
              <w:rPr>
                <w:rFonts w:ascii="Consolas" w:hAnsi="Consolas" w:eastAsia="Consolas"/>
                <w:color w:val="0A5C4D"/>
                <w:sz w:val="15"/>
              </w:rPr>
              <w:t>/api/*</w:t>
            </w:r>
            <w:r>
              <w:rPr>
                <w:b w:val="0"/>
                <w:i w:val="0"/>
                <w:sz w:val="17"/>
              </w:rPr>
              <w:t xml:space="preserve"> tras cada despliegue y documentar el incidente.</w:t>
            </w:r>
          </w:p>
        </w:tc>
        <w:tc>
          <w:tcPr>
            <w:tcW w:type="dxa" w:w="1134"/>
            <w:shd w:val="clear" w:color="auto" w:fill="F5F7F7"/>
          </w:tcPr>
          <w:p>
            <w:pPr>
              <w:spacing w:after="20" w:line="252" w:lineRule="auto"/>
            </w:pPr>
            <w:r>
              <w:rPr>
                <w:b w:val="0"/>
                <w:i w:val="0"/>
                <w:sz w:val="17"/>
              </w:rPr>
              <w:t>R-11</w:t>
            </w:r>
          </w:p>
        </w:tc>
      </w:tr>
      <w:tr>
        <w:trPr>
          <w:cantSplit w:val="true"/>
        </w:trPr>
        <w:tc>
          <w:tcPr>
            <w:tcW w:type="dxa" w:w="2041"/>
          </w:tcPr>
          <w:p>
            <w:pPr>
              <w:spacing w:after="20" w:line="252" w:lineRule="auto"/>
            </w:pPr>
            <w:r>
              <w:rPr>
                <w:b w:val="0"/>
                <w:i w:val="0"/>
                <w:sz w:val="17"/>
              </w:rPr>
              <w:t>Errores de TTS por DNS (26-oct)</w:t>
            </w:r>
          </w:p>
        </w:tc>
        <w:tc>
          <w:tcPr>
            <w:tcW w:type="dxa" w:w="2721"/>
          </w:tcPr>
          <w:p>
            <w:pPr>
              <w:spacing w:after="20" w:line="252" w:lineRule="auto"/>
            </w:pPr>
            <w:r>
              <w:rPr>
                <w:b w:val="0"/>
                <w:i w:val="0"/>
                <w:sz w:val="17"/>
              </w:rPr>
              <w:t xml:space="preserve">Cuatro eventos </w:t>
            </w:r>
            <w:r>
              <w:rPr>
                <w:rFonts w:ascii="Consolas" w:hAnsi="Consolas" w:eastAsia="Consolas"/>
                <w:color w:val="0A5C4D"/>
                <w:sz w:val="15"/>
              </w:rPr>
              <w:t>tts_error</w:t>
            </w:r>
            <w:r>
              <w:rPr>
                <w:b w:val="0"/>
                <w:i w:val="0"/>
                <w:sz w:val="17"/>
              </w:rPr>
              <w:t xml:space="preserve"> en el primer turno hacia ElevenLabs.</w:t>
            </w:r>
          </w:p>
        </w:tc>
        <w:tc>
          <w:tcPr>
            <w:tcW w:type="dxa" w:w="3175"/>
          </w:tcPr>
          <w:p>
            <w:pPr>
              <w:spacing w:after="20" w:line="252" w:lineRule="auto"/>
            </w:pPr>
            <w:r>
              <w:rPr>
                <w:b w:val="0"/>
                <w:i w:val="0"/>
                <w:sz w:val="17"/>
              </w:rPr>
              <w:t xml:space="preserve">Registrar el indicador </w:t>
            </w:r>
            <w:r>
              <w:rPr>
                <w:rFonts w:ascii="Consolas" w:hAnsi="Consolas" w:eastAsia="Consolas"/>
                <w:color w:val="0A5C4D"/>
                <w:sz w:val="15"/>
              </w:rPr>
              <w:t>recoverable</w:t>
            </w:r>
            <w:r>
              <w:rPr>
                <w:b w:val="0"/>
                <w:i w:val="0"/>
                <w:sz w:val="17"/>
              </w:rPr>
              <w:t xml:space="preserve"> y la causa; definir un mensaje de contingencia.</w:t>
            </w:r>
          </w:p>
        </w:tc>
        <w:tc>
          <w:tcPr>
            <w:tcW w:type="dxa" w:w="1134"/>
          </w:tcPr>
          <w:p>
            <w:pPr>
              <w:spacing w:after="20" w:line="252" w:lineRule="auto"/>
            </w:pPr>
            <w:r>
              <w:rPr>
                <w:b w:val="0"/>
                <w:i w:val="0"/>
                <w:sz w:val="17"/>
              </w:rPr>
              <w:t>R-10</w:t>
            </w:r>
          </w:p>
        </w:tc>
      </w:tr>
      <w:tr>
        <w:trPr>
          <w:cantSplit w:val="true"/>
        </w:trPr>
        <w:tc>
          <w:tcPr>
            <w:tcW w:type="dxa" w:w="2041"/>
            <w:shd w:val="clear" w:color="auto" w:fill="F5F7F7"/>
          </w:tcPr>
          <w:p>
            <w:pPr>
              <w:spacing w:after="20" w:line="252" w:lineRule="auto"/>
            </w:pPr>
            <w:r>
              <w:rPr>
                <w:b w:val="0"/>
                <w:i w:val="0"/>
                <w:sz w:val="17"/>
              </w:rPr>
              <w:t>Fallos en la ruta de Vercel (30-oct)</w:t>
            </w:r>
          </w:p>
        </w:tc>
        <w:tc>
          <w:tcPr>
            <w:tcW w:type="dxa" w:w="2721"/>
            <w:shd w:val="clear" w:color="auto" w:fill="F5F7F7"/>
          </w:tcPr>
          <w:p>
            <w:pPr>
              <w:spacing w:after="20" w:line="252" w:lineRule="auto"/>
            </w:pPr>
            <w:r>
              <w:rPr>
                <w:rFonts w:ascii="Consolas" w:hAnsi="Consolas" w:eastAsia="Consolas"/>
                <w:color w:val="0A5C4D"/>
                <w:sz w:val="15"/>
              </w:rPr>
              <w:t>ERR_MODULE_NOT_FOUND</w:t>
            </w:r>
            <w:r>
              <w:rPr>
                <w:b w:val="0"/>
                <w:i w:val="0"/>
                <w:sz w:val="17"/>
              </w:rPr>
              <w:t xml:space="preserve"> por archivos </w:t>
            </w:r>
            <w:r>
              <w:rPr>
                <w:rFonts w:ascii="Consolas" w:hAnsi="Consolas" w:eastAsia="Consolas"/>
                <w:color w:val="0A5C4D"/>
                <w:sz w:val="15"/>
              </w:rPr>
              <w:t>.mts</w:t>
            </w:r>
            <w:r>
              <w:rPr>
                <w:b w:val="0"/>
                <w:i w:val="0"/>
                <w:sz w:val="17"/>
              </w:rPr>
              <w:t xml:space="preserve"> no empaquetados y un despliegue bloqueado por el autor del commit.</w:t>
            </w:r>
          </w:p>
        </w:tc>
        <w:tc>
          <w:tcPr>
            <w:tcW w:type="dxa" w:w="3175"/>
            <w:shd w:val="clear" w:color="auto" w:fill="F5F7F7"/>
          </w:tcPr>
          <w:p>
            <w:pPr>
              <w:spacing w:after="20" w:line="252" w:lineRule="auto"/>
            </w:pPr>
            <w:r>
              <w:rPr>
                <w:b w:val="0"/>
                <w:i w:val="0"/>
                <w:sz w:val="17"/>
              </w:rPr>
              <w:t>Empaquetar las funciones; desplegar desde una carpeta sin metadatos de otro autor.</w:t>
            </w:r>
          </w:p>
        </w:tc>
        <w:tc>
          <w:tcPr>
            <w:tcW w:type="dxa" w:w="1134"/>
            <w:shd w:val="clear" w:color="auto" w:fill="F5F7F7"/>
          </w:tcPr>
          <w:p>
            <w:pPr>
              <w:spacing w:after="20" w:line="252" w:lineRule="auto"/>
            </w:pPr>
            <w:r>
              <w:rPr>
                <w:b w:val="0"/>
                <w:i w:val="0"/>
                <w:sz w:val="17"/>
              </w:rPr>
              <w:t>R-11</w:t>
            </w:r>
          </w:p>
        </w:tc>
      </w:tr>
      <w:tr>
        <w:trPr>
          <w:cantSplit w:val="true"/>
        </w:trPr>
        <w:tc>
          <w:tcPr>
            <w:tcW w:type="dxa" w:w="2041"/>
          </w:tcPr>
          <w:p>
            <w:pPr>
              <w:spacing w:after="20" w:line="252" w:lineRule="auto"/>
            </w:pPr>
            <w:r>
              <w:rPr>
                <w:b w:val="0"/>
                <w:i w:val="0"/>
                <w:sz w:val="17"/>
              </w:rPr>
              <w:t>Claves compartidas por chat (oct)</w:t>
            </w:r>
          </w:p>
        </w:tc>
        <w:tc>
          <w:tcPr>
            <w:tcW w:type="dxa" w:w="2721"/>
          </w:tcPr>
          <w:p>
            <w:pPr>
              <w:spacing w:after="20" w:line="252" w:lineRule="auto"/>
            </w:pPr>
            <w:r>
              <w:rPr>
                <w:b w:val="0"/>
                <w:i w:val="0"/>
                <w:sz w:val="17"/>
              </w:rPr>
              <w:t>Se pegaron claves de ElevenLabs y Google en una conversación.</w:t>
            </w:r>
          </w:p>
        </w:tc>
        <w:tc>
          <w:tcPr>
            <w:tcW w:type="dxa" w:w="3175"/>
          </w:tcPr>
          <w:p>
            <w:pPr>
              <w:spacing w:after="20" w:line="252" w:lineRule="auto"/>
            </w:pPr>
            <w:r>
              <w:rPr>
                <w:b w:val="0"/>
                <w:i w:val="0"/>
                <w:sz w:val="17"/>
              </w:rPr>
              <w:t>Rotarlas y no compartirlas por mensajes; usar archivos de entorno locales.</w:t>
            </w:r>
          </w:p>
        </w:tc>
        <w:tc>
          <w:tcPr>
            <w:tcW w:type="dxa" w:w="1134"/>
          </w:tcPr>
          <w:p>
            <w:pPr>
              <w:spacing w:after="20" w:line="252" w:lineRule="auto"/>
            </w:pPr>
            <w:r>
              <w:rPr>
                <w:b w:val="0"/>
                <w:i w:val="0"/>
                <w:sz w:val="17"/>
              </w:rPr>
              <w:t>R-07</w:t>
            </w:r>
          </w:p>
        </w:tc>
      </w:tr>
    </w:tbl>
    <w:p>
      <w:pPr>
        <w:spacing w:after="40"/>
      </w:pPr>
    </w:p>
    <w:sectPr w:rsidR="00FC693F" w:rsidRPr="0006063C" w:rsidSect="00034616">
      <w:footerReference w:type="default" r:id="rId9"/>
      <w:pgSz w:w="12240" w:h="15840"/>
      <w:pgMar w:top="1304"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7273"/>
        <w:sz w:val="17"/>
      </w:rPr>
      <w:t xml:space="preserve">Alloxentric Real Time Agent — Plan de respuesta a riesgos   |   Página </w:t>
    </w:r>
    <w:r>
      <w:rPr>
        <w:color w:val="6F7273"/>
        <w:sz w:val="17"/>
      </w:rPr>
      <w:fldChar w:fldCharType="begin"/>
      <w:instrText xml:space="preserve">PAGE</w:instrText>
      <w:fldChar w:fldCharType="separate"/>
      <w:t>1</w:t>
      <w:fldChar w:fldCharType="end"/>
    </w:r>
    <w:r>
      <w:rPr>
        <w:color w:val="6F7273"/>
        <w:sz w:val="17"/>
      </w:rPr>
      <w:t xml:space="preserve"> de </w:t>
    </w:r>
    <w:r>
      <w:rPr>
        <w:color w:val="6F7273"/>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A7D6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0A7D6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gestión y respuesta a riesgos — Alloxentric Real Time Agent</dc:title>
  <dc:subject/>
  <dc:creator>Equipo DART_14 — Alloxentric Real Time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