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444444"/>
          <w:sz w:val="32"/>
        </w:rPr>
        <w:t>DUOC UC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SEDE PLAZA OESTE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INGENIERÍA EN INFORMÁTICA</w:t>
      </w:r>
    </w:p>
    <w:p/>
    <w:p/>
    <w:p/>
    <w:p>
      <w:pPr>
        <w:spacing w:after="80"/>
        <w:jc w:val="center"/>
      </w:pPr>
      <w:r>
        <w:rPr>
          <w:b/>
          <w:i w:val="0"/>
          <w:color w:val="0A7D69"/>
          <w:sz w:val="26"/>
        </w:rPr>
        <w:t>ALLOXENTRIC REAL TIME AGENT</w:t>
      </w:r>
    </w:p>
    <w:p>
      <w:pPr>
        <w:spacing w:after="120"/>
        <w:jc w:val="center"/>
      </w:pPr>
      <w:r>
        <w:rPr>
          <w:b/>
          <w:i w:val="0"/>
          <w:color w:val="444444"/>
          <w:sz w:val="52"/>
        </w:rPr>
        <w:t>Estado de avance del proyecto</w:t>
      </w:r>
    </w:p>
    <w:p>
      <w:pPr>
        <w:spacing w:after="40"/>
        <w:jc w:val="center"/>
      </w:pPr>
      <w:r>
        <w:rPr>
          <w:b w:val="0"/>
          <w:i w:val="0"/>
          <w:color w:val="6F7273"/>
          <w:sz w:val="26"/>
        </w:rPr>
        <w:t>Qué se ha hecho hasta el 30 de octubre de 2026, qué cambió desde el corte del 10 de octubre y qué falta</w:t>
      </w:r>
    </w:p>
    <w:p/>
    <w:p/>
    <w:p/>
    <w:p>
      <w:pPr>
        <w:spacing w:after="40"/>
        <w:jc w:val="center"/>
      </w:pPr>
      <w:r>
        <w:rPr>
          <w:b w:val="0"/>
          <w:i w:val="0"/>
        </w:rPr>
        <w:t>Asignatura: Capstone  ·  Sigla: PTY4614 / 001V</w:t>
      </w:r>
    </w:p>
    <w:p>
      <w:pPr>
        <w:spacing w:after="200"/>
        <w:jc w:val="center"/>
      </w:pPr>
      <w:r>
        <w:rPr>
          <w:b w:val="0"/>
          <w:i w:val="0"/>
        </w:rPr>
        <w:t>Docente guía: Luis Bravo Yáñez</w:t>
      </w:r>
    </w:p>
    <w:p>
      <w:pPr>
        <w:spacing w:after="40"/>
        <w:jc w:val="center"/>
      </w:pPr>
      <w:r>
        <w:rPr>
          <w:b/>
          <w:i w:val="0"/>
          <w:color w:val="0A7D69"/>
        </w:rPr>
        <w:t>Integrantes</w:t>
      </w:r>
    </w:p>
    <w:p>
      <w:pPr>
        <w:spacing w:after="20"/>
        <w:jc w:val="center"/>
      </w:pPr>
      <w:r>
        <w:rPr>
          <w:b w:val="0"/>
          <w:i w:val="0"/>
        </w:rPr>
        <w:t>Juan Díaz (Product Owner y desarrollador)</w:t>
      </w:r>
    </w:p>
    <w:p>
      <w:pPr>
        <w:spacing w:after="20"/>
        <w:jc w:val="center"/>
      </w:pPr>
      <w:r>
        <w:rPr>
          <w:b w:val="0"/>
          <w:i w:val="0"/>
        </w:rPr>
        <w:t>Fernando Patricio Olguea González (líder de proyecto y desarrollador)</w:t>
      </w:r>
    </w:p>
    <w:p>
      <w:pPr>
        <w:spacing w:after="20"/>
        <w:jc w:val="center"/>
      </w:pPr>
      <w:r>
        <w:rPr>
          <w:b w:val="0"/>
          <w:i w:val="0"/>
        </w:rPr>
        <w:t>David Alexis Sepúlveda Manque (Scrum Master y desarrollador)</w:t>
      </w:r>
    </w:p>
    <w:p/>
    <w:p/>
    <w:p>
      <w:pPr>
        <w:spacing w:after="40"/>
        <w:jc w:val="center"/>
      </w:pPr>
      <w:r>
        <w:rPr>
          <w:b w:val="0"/>
          <w:i w:val="0"/>
        </w:rPr>
        <w:t>30 de octubre de 2026 (semana 12)</w:t>
      </w:r>
    </w:p>
    <w:p>
      <w:pPr>
        <w:spacing w:after="40"/>
        <w:jc w:val="center"/>
      </w:pPr>
      <w:r>
        <w:rPr>
          <w:b w:val="0"/>
          <w:i w:val="0"/>
          <w:color w:val="6F7273"/>
          <w:sz w:val="19"/>
        </w:rPr>
        <w:t>Código del documento: D04  ·  Versión 1.0 (borrador)</w:t>
      </w:r>
    </w:p>
    <w:p>
      <w:pPr>
        <w:jc w:val="center"/>
      </w:pPr>
      <w:r>
        <w:rPr>
          <w:b w:val="0"/>
          <w:i w:val="0"/>
          <w:color w:val="6F7273"/>
          <w:sz w:val="19"/>
        </w:rPr>
        <w:t>Estado: Borrador para revisión del equipo</w:t>
      </w:r>
    </w:p>
    <w:p>
      <w:r>
        <w:br w:type="page"/>
      </w:r>
    </w:p>
    <w:p>
      <w:pPr>
        <w:pStyle w:val="Heading2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1.0 (borrador)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30-oct-2026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Juan Díaz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Primera versión redactada a partir del repositorio técnico, los PR #1 a #16, el informe grupal 2.4 y las mediciones del 30-oct. Pendiente de revisión por Fernando y David.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Leyenda de clasificación (CLAUDE.md del repositorio técnico).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/>
                <w:i w:val="0"/>
                <w:color w:val="1B7F4C"/>
                <w:sz w:val="20"/>
              </w:rPr>
              <w:t>[CONFIRMADO]</w:t>
            </w:r>
            <w:r>
              <w:rPr>
                <w:b w:val="0"/>
                <w:i w:val="0"/>
                <w:sz w:val="20"/>
              </w:rPr>
              <w:t xml:space="preserve"> respaldado explícitamente por el equipo, el cliente o el repositorio · </w:t>
            </w:r>
            <w:r>
              <w:rPr>
                <w:b/>
                <w:i w:val="0"/>
                <w:color w:val="1F5FA8"/>
                <w:sz w:val="20"/>
              </w:rPr>
              <w:t>[PROPUESTA]</w:t>
            </w:r>
            <w:r>
              <w:rPr>
                <w:b w:val="0"/>
                <w:i w:val="0"/>
                <w:sz w:val="20"/>
              </w:rPr>
              <w:t xml:space="preserve"> sugerida, aún no aprobada · </w:t>
            </w:r>
            <w:r>
              <w:rPr>
                <w:b/>
                <w:i w:val="0"/>
                <w:color w:val="9A6700"/>
                <w:sz w:val="20"/>
              </w:rPr>
              <w:t>[INFERENCIA]</w:t>
            </w:r>
            <w:r>
              <w:rPr>
                <w:b w:val="0"/>
                <w:i w:val="0"/>
                <w:sz w:val="20"/>
              </w:rPr>
              <w:t xml:space="preserve"> deducida de información confirmada; requiere validación · </w:t>
            </w:r>
            <w:r>
              <w:rPr>
                <w:b/>
                <w:i w:val="0"/>
                <w:color w:val="B3261E"/>
                <w:sz w:val="20"/>
              </w:rPr>
              <w:t>[PENDIENTE]</w:t>
            </w:r>
            <w:r>
              <w:rPr>
                <w:b w:val="0"/>
                <w:i w:val="0"/>
                <w:sz w:val="20"/>
              </w:rPr>
              <w:t xml:space="preserve"> falta información; no se asume · </w:t>
            </w:r>
            <w:r>
              <w:rPr>
                <w:b/>
                <w:i w:val="0"/>
                <w:color w:val="555555"/>
                <w:sz w:val="20"/>
              </w:rPr>
              <w:t>[REPORTADO POR EL EQUIPO]</w:t>
            </w:r>
            <w:r>
              <w:rPr>
                <w:b w:val="0"/>
                <w:i w:val="0"/>
                <w:sz w:val="20"/>
              </w:rPr>
              <w:t xml:space="preserve"> informado por el equipo sin archivo de respaldo.</w:t>
            </w:r>
          </w:p>
        </w:tc>
      </w:tr>
    </w:tbl>
    <w:p>
      <w:pPr>
        <w:spacing w:after="40"/>
      </w:pP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Haz clic derecho y elige «Actualizar campo» para ver el índice con números de página.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jc w:val="both"/>
      </w:pPr>
      <w:r>
        <w:rPr>
          <w:b w:val="0"/>
          <w:i w:val="0"/>
        </w:rPr>
        <w:t xml:space="preserve">A la fecha de corte del informe grupal 2.4 (10 de octubre de 2026) los componentes existían de forma individual y Speechmatics no estaba validado, por lo que no había una conversación de voz de punta a punta. </w:t>
      </w:r>
      <w:r>
        <w:rPr>
          <w:b/>
          <w:i w:val="0"/>
        </w:rPr>
        <w:t>Veinte días después, el agente sostiene conversaciones de voz completas desde el navegador</w:t>
      </w:r>
      <w:r>
        <w:rPr>
          <w:b w:val="0"/>
          <w:i w:val="0"/>
        </w:rPr>
        <w:t>, con transcripción en vivo, siete escenarios de práctica, métricas de latencia y una demo desplegada. El hito pendiente más importante ya no es el STT sino cerrar lo que depende del cliente (guion, telefonía y protocolo de comparación) y reducir la latencia.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74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Corte 10-oct</w:t>
            </w:r>
          </w:p>
        </w:tc>
        <w:tc>
          <w:tcPr>
            <w:tcW w:type="dxa" w:w="294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Corte 30-oct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Pull Requests fusionados en el repositorio técnico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 (#1 a #4)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15 (#1 a #15); el #16 está abierto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Pipeline de voz completo (STT → LLM → TTS)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integrado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Integrado (PR #7) y validado en el navegador (PR #15, parcial)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STT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Speechmatics no validado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Google Chirp 3 implementado, fusionado e integrado (PR #6)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Proveedores de LLM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DeepSeek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DeepSeek y Gemini (seleccionables)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Medición de latencia de punta a punta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Sin medir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Instrumentada (PR #9); mediana 2,59 s en 13 turnos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Demo web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existía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Desplegada en Netlify (PR #11–#14) y en Vercel (PR #16)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Pruebas automatizadas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32 pruebas declaradas en el PR #4 (14 de TTS) y 9 de DeepSeek en el PR #3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200 de Python y 91 de la web en la rama del PR #16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Telefonía con Asterisk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validada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validada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Guion de cobranza y comparación de costos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Sin protocolo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Sin protocolo</w:t>
            </w:r>
          </w:p>
        </w:tc>
      </w:tr>
    </w:tbl>
    <w:p>
      <w:pPr>
        <w:spacing w:after="40"/>
      </w:pPr>
    </w:p>
    <w:p>
      <w:pPr>
        <w:pStyle w:val="Heading1"/>
      </w:pPr>
      <w:r>
        <w:t>2. Línea de tiempo</w:t>
      </w:r>
    </w:p>
    <w:p>
      <w:pPr>
        <w:jc w:val="both"/>
      </w:pPr>
      <w:r>
        <w:rPr>
          <w:b w:val="0"/>
          <w:i w:val="0"/>
        </w:rPr>
        <w:t xml:space="preserve">Fechas de fusión según GitHub (UTC). Los tickets DART-14-x se tomaron del título de cada PR; el ticket 5.1 del PR #16 es una </w:t>
      </w:r>
      <w:r>
        <w:rPr>
          <w:b/>
          <w:i w:val="0"/>
          <w:color w:val="1F5FA8"/>
        </w:rPr>
        <w:t>[PROPUESTA]</w:t>
      </w:r>
      <w:r>
        <w:rPr>
          <w:b w:val="0"/>
          <w:i w:val="0"/>
        </w:rPr>
        <w:t xml:space="preserve"> del autor porque aún no hay un ticket confirmado en CoreStream.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13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74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 / ticket</w:t>
            </w:r>
          </w:p>
        </w:tc>
        <w:tc>
          <w:tcPr>
            <w:tcW w:type="dxa" w:w="215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2-sep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Reunión inicial con Max Kreimerman.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Transcripción citada en el informe de Fase 1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12-sep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Informe de definición del proyecto (Fase 1).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Documentos 1.4 y 1.5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3-oct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Estrategia Git con ramas por ticket y Pull Requests.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 · DART-14-1.4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docs/GIT_WORKFLOW.md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7-oct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Entorno Python/LiveKit con pruebas.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#2 · DART-14-1.5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pyproject.toml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4"/>
              </w:rPr>
              <w:t>uv.lock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8-oct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LLM DeepSeek y TTS ElevenLabs como componentes independientes.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#3, #4 · DART-14-1.6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Pruebas y scripts de verificación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10-oct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Corte del informe grupal 2.4: Speechmatics sin validar.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Guía 2.4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16-oct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Gemini como LLM alternativo.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#5 · DART-14-2.1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llm_gemini.py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17-oct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Google Chirp 3 como STT (reemplaza a Speechmatics).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#6 · DART-14-2.2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stt.py</w:t>
            </w:r>
            <w:r>
              <w:rPr>
                <w:b w:val="0"/>
                <w:i w:val="0"/>
                <w:sz w:val="16"/>
              </w:rPr>
              <w:t>, prueba real del 16-oct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17-oct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Pipeline de voz integrado en LiveKit.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#7 · DART-14-2.4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pipeline.py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18-oct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Grabación de sesión desactivada para validación de desarrollo.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#8 · DART-14-2.5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agent.py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21-oct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Métricas de latencia; resolución de ADC en el arranque.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#9, #10 · DART-14-3.1, 3.4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metrics.py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22-oct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 demo con acceso seguro y correcciones de CSP.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#11, #12 · DART-14-4.1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web-demo/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23–24-oct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Corrección de funciones de Netlify (HTTP 500/502) y documentación del incidente.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#13, #14 · DART-14-4.2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docs/incidents/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26–27-oct</w:t>
            </w:r>
          </w:p>
        </w:tc>
        <w:tc>
          <w:tcPr>
            <w:tcW w:type="dxa" w:w="374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Validación de conversación desde la web demo (borrador).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#15 · DART-14-4.3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4"/>
              </w:rPr>
              <w:t>docs/validation/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30-oct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Agentes por habilidad, voces chilenas, rediseño web, mejoras de latencia y despliegue en Vercel.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PR #16 (abierto) · DART-14-5.1 </w:t>
            </w: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Rama </w:t>
            </w:r>
            <w:r>
              <w:rPr>
                <w:rFonts w:ascii="Consolas" w:hAnsi="Consolas" w:eastAsia="Consolas"/>
                <w:color w:val="0A5C4D"/>
                <w:sz w:val="14"/>
              </w:rPr>
              <w:t>feature/DART-14-5.1-agent-personas-web-demo</w:t>
            </w:r>
          </w:p>
        </w:tc>
      </w:tr>
    </w:tbl>
    <w:p>
      <w:pPr>
        <w:spacing w:after="40"/>
      </w:pPr>
    </w:p>
    <w:p>
      <w:pPr>
        <w:pStyle w:val="Heading1"/>
      </w:pPr>
      <w:r>
        <w:t>3. Estado por componente</w:t>
      </w:r>
    </w:p>
    <w:p>
      <w:pPr>
        <w:jc w:val="both"/>
      </w:pPr>
      <w:r>
        <w:rPr>
          <w:b w:val="0"/>
          <w:i w:val="0"/>
        </w:rPr>
        <w:t xml:space="preserve">Se mantienen los cuatro estados de la guía 2.4: </w:t>
      </w:r>
      <w:r>
        <w:rPr>
          <w:b/>
          <w:i w:val="0"/>
        </w:rPr>
        <w:t>implementado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probado</w:t>
      </w:r>
      <w:r>
        <w:rPr>
          <w:b w:val="0"/>
          <w:i w:val="0"/>
        </w:rPr>
        <w:t xml:space="preserve">, </w:t>
      </w:r>
      <w:r>
        <w:rPr>
          <w:b/>
          <w:i w:val="0"/>
        </w:rPr>
        <w:t>fusionado</w:t>
      </w:r>
      <w:r>
        <w:rPr>
          <w:b w:val="0"/>
          <w:i w:val="0"/>
        </w:rPr>
        <w:t xml:space="preserve"> (en la rama principal) e </w:t>
      </w:r>
      <w:r>
        <w:rPr>
          <w:b/>
          <w:i w:val="0"/>
        </w:rPr>
        <w:t>integrado</w:t>
      </w:r>
      <w:r>
        <w:rPr>
          <w:b w:val="0"/>
          <w:i w:val="0"/>
        </w:rPr>
        <w:t xml:space="preserve"> (parte de la sesión de voz completa). ✔ = sí · ◐ = parcial · ✘ =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209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47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56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Impl.</w:t>
            </w:r>
          </w:p>
        </w:tc>
        <w:tc>
          <w:tcPr>
            <w:tcW w:type="dxa" w:w="56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56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Fus.</w:t>
            </w:r>
          </w:p>
        </w:tc>
        <w:tc>
          <w:tcPr>
            <w:tcW w:type="dxa" w:w="62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Integ.</w:t>
            </w:r>
          </w:p>
        </w:tc>
        <w:tc>
          <w:tcPr>
            <w:tcW w:type="dxa" w:w="317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Base LiveKit Agents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Fernando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#2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STT Google Chirp 3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Juan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#6; reemplaza a Speechmatics, que no se completó. Prueba real y 14 pruebas sin red.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LLM DeepSeek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Fernando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PR #3; seleccionable con </w:t>
            </w:r>
            <w:r>
              <w:rPr>
                <w:rFonts w:ascii="Consolas" w:hAnsi="Consolas" w:eastAsia="Consolas"/>
                <w:color w:val="0A5C4D"/>
                <w:sz w:val="14"/>
              </w:rPr>
              <w:t>LLM_PROVIDER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LLM Gemini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#5; proveedor por defecto del pipeline.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TTS ElevenLabs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David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#4; 14 pruebas sin red.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Pipeline de voz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#7.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Métricas de latencia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#9; 40 pruebas.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Web demo en Netlify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Fernando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#11–#14; incidente documentado.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Agentes por persona, voces, UI y Vercel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Juan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#16 abierto; 200 + 91 pruebas; despliegue de prueba verificado.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Validación E2E documentada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◐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◐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✔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 #15: borrador; sin logs archivados.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Guion de cobranza y reconocimiento de intenciones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Depende de Alloxentric.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Integración Asterisk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56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✘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Depende de accesos de Alloxentric.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FF6E5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Autoría.</w:t>
            </w:r>
            <w:r>
              <w:rPr>
                <w:b w:val="0"/>
                <w:i w:val="0"/>
                <w:sz w:val="20"/>
              </w:rPr>
              <w:t xml:space="preserve"> En GitHub casi todos los PR figuran a nombre de una misma cuenta, aunque los diarios de reflexión indican que cada integrante construyó su componente. Por eso la autoría de los PR #5, #7, #9 y #10 se deja como </w:t>
            </w:r>
            <w:r>
              <w:rPr>
                <w:b/>
                <w:i w:val="0"/>
                <w:color w:val="B3261E"/>
                <w:sz w:val="20"/>
              </w:rPr>
              <w:t>[PENDIENTE DE VALIDACIÓN]</w:t>
            </w:r>
            <w:r>
              <w:rPr>
                <w:b w:val="0"/>
                <w:i w:val="0"/>
                <w:sz w:val="20"/>
              </w:rPr>
              <w:t xml:space="preserve"> hasta que el equipo la confirme.</w:t>
            </w:r>
          </w:p>
        </w:tc>
      </w:tr>
    </w:tbl>
    <w:p>
      <w:pPr>
        <w:spacing w:after="40"/>
      </w:pPr>
    </w:p>
    <w:p>
      <w:pPr>
        <w:pStyle w:val="Heading1"/>
      </w:pPr>
      <w:r>
        <w:t>4. Avance por objetivo específico (Fase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51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específico</w:t>
            </w:r>
          </w:p>
        </w:tc>
        <w:tc>
          <w:tcPr>
            <w:tcW w:type="dxa" w:w="113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42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1. Analizar y documentar el guion, las intenciones, los requerimientos y el protocolo comparativo.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442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Requerimientos documentados (D03). Falta el guion oficial, las intenciones y el protocolo comparativo.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2. Diseñar la integración de LiveKit, el STT, ElevenLabs y Asterisk y el flujo conversacional.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442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Arquitectura y decisiones documentadas (D01). Falta el flujo conversacional de referencia y Asterisk.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3. Implementar un prototipo de bot con el guion acordado y voz adecuada al contexto chileno.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442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Prototipo conversacional funcionando con voces chilenas y 7 escenarios ficticios. Falta el guion de Alloxentric y la validación de la voz.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4. Planificar y gestionar con Scrum, con trazabilidad por integrante.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442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Ramas por ticket y PR; estos documentos aportan trazabilidad. Faltan registros formales de backlog, sprints y revisiones.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5. Ejecutar pruebas funcionales, de integración y de interacción por voz, incluida la latencia.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442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200 + 91 pruebas automáticas y mediciones reales (D05). La latencia (mediana 2,59 s) no cumple 1 s y falta el protocolo formal.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6. Comparar costo y efectividad con la solución actual.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iniciado</w:t>
            </w:r>
          </w:p>
        </w:tc>
        <w:tc>
          <w:tcPr>
            <w:tcW w:type="dxa" w:w="442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Falta definir efectividad, conceptos de costo y datos de referencia con Alloxentric.</w:t>
            </w:r>
          </w:p>
        </w:tc>
      </w:tr>
    </w:tbl>
    <w:p>
      <w:pPr>
        <w:spacing w:after="40"/>
      </w:pPr>
    </w:p>
    <w:p>
      <w:pPr>
        <w:pStyle w:val="Heading1"/>
      </w:pPr>
      <w:r>
        <w:t>5. Estado del plan de trabajo</w:t>
      </w:r>
    </w:p>
    <w:p>
      <w:pPr>
        <w:jc w:val="both"/>
      </w:pPr>
      <w:r>
        <w:rPr>
          <w:b w:val="0"/>
          <w:i w:val="0"/>
        </w:rPr>
        <w:t xml:space="preserve">Las ventanas de tiempo son las del plan de Fase 1 y del informe 2.4. No se aprobó una replanificación formal de la Carta Gantt; el estado que se muestra es la </w:t>
      </w:r>
      <w:r>
        <w:rPr>
          <w:b/>
          <w:i w:val="0"/>
        </w:rPr>
        <w:t>situación real</w:t>
      </w:r>
      <w:r>
        <w:rPr>
          <w:b w:val="0"/>
          <w:i w:val="0"/>
        </w:rPr>
        <w:t>, no un ajuste aprobado.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83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130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Ventana del plan</w:t>
            </w:r>
          </w:p>
        </w:tc>
        <w:tc>
          <w:tcPr>
            <w:tcW w:type="dxa" w:w="153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 al 30-oct</w:t>
            </w:r>
          </w:p>
        </w:tc>
        <w:tc>
          <w:tcPr>
            <w:tcW w:type="dxa" w:w="3402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A1 Análisis del problema y guion de cobranza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S1–S3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Abierta, parcial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Reunión inicial e informe de Fase 1; el guion no está en el repositorio. </w:t>
            </w:r>
            <w:r>
              <w:rPr>
                <w:b/>
                <w:i w:val="0"/>
                <w:color w:val="B3261E"/>
                <w:sz w:val="17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A2 Alcance y protocolo comparativo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S3–S4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Retrasada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Sin protocolo, criterios de efectividad ni método de latencia formal.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A3 Recursos, costos y riesgos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S3–S4 (inicial)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 curso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Riesgos: D02. Costos: sin tarifas ni protocolo. </w:t>
            </w:r>
            <w:r>
              <w:rPr>
                <w:b/>
                <w:i w:val="0"/>
                <w:color w:val="B3261E"/>
                <w:sz w:val="17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A4 Organización y seguimiento con Scrum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Continua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 curso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Ramas, PR y CoreStream; faltan registros formales.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A5 Diseño de integración y flujo conversacional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S5–S6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Parcial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D01 aporta diagramas y decisiones; falta el flujo de referencia y Asterisk.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A6 Construcción e integración del bot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S7–S13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 curso avanzado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Pipeline y demo integrados; falta guion oficial y telefonía.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A7 Pruebas funcionales y mediciones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Hasta S14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Iniciada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D05; mediciones reales parciales y sin protocolo acordado.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A8 Corrección y comparación con la solución actual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S14–S15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iniciada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Depende de A2 y de datos de Alloxentric.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A9 Documentación y trazabilidad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Continua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 curso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Esta carpeta (D01 a D06) y los documentos del repositorio técnico.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A10 Informe final, demostración y defensa</w:t>
            </w:r>
          </w:p>
        </w:tc>
        <w:tc>
          <w:tcPr>
            <w:tcW w:type="dxa" w:w="130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S16–S18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iniciada</w:t>
            </w:r>
          </w:p>
        </w:tc>
        <w:tc>
          <w:tcPr>
            <w:tcW w:type="dxa" w:w="3402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Corresponde a una etapa posterior.</w:t>
            </w:r>
          </w:p>
        </w:tc>
      </w:tr>
    </w:tbl>
    <w:p>
      <w:pPr>
        <w:spacing w:after="40"/>
      </w:pPr>
    </w:p>
    <w:p>
      <w:pPr>
        <w:pStyle w:val="Heading1"/>
      </w:pPr>
      <w:r>
        <w:t>6. Cambios respecto del plan 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58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94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Plan original</w:t>
            </w:r>
          </w:p>
        </w:tc>
        <w:tc>
          <w:tcPr>
            <w:tcW w:type="dxa" w:w="249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Realidad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STT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Speechmatics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Google Chirp 3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 DE VALIDACIÓN]</w:t>
            </w:r>
            <w:r>
              <w:rPr>
                <w:b w:val="0"/>
                <w:i w:val="0"/>
                <w:sz w:val="17"/>
              </w:rPr>
              <w:t xml:space="preserve"> acta del cambio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LLM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Evitarlo inicialmente; reconsiderar solo si las pruebas lo justifican y Alloxentric lo acuerda</w:t>
            </w:r>
          </w:p>
        </w:tc>
        <w:tc>
          <w:tcPr>
            <w:tcW w:type="dxa" w:w="249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DeepSeek y Gemini integrados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 DE VALIDACIÓN]</w:t>
            </w:r>
            <w:r>
              <w:rPr>
                <w:b w:val="0"/>
                <w:i w:val="0"/>
                <w:sz w:val="17"/>
              </w:rPr>
              <w:t xml:space="preserve"> aprobación formal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Alcance de escenarios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Un flujo acotado de cobranza basado en el guion de Alloxentric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Siete escenarios de práctica ficticios, dos de cobranza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7"/>
              </w:rPr>
              <w:t>[PROPUESTA]</w:t>
            </w:r>
            <w:r>
              <w:rPr>
                <w:b w:val="0"/>
                <w:i w:val="0"/>
                <w:sz w:val="17"/>
              </w:rPr>
              <w:t xml:space="preserve"> PR #16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Demo web</w:t>
            </w:r>
          </w:p>
        </w:tc>
        <w:tc>
          <w:tcPr>
            <w:tcW w:type="dxa" w:w="294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prevista</w:t>
            </w:r>
          </w:p>
        </w:tc>
        <w:tc>
          <w:tcPr>
            <w:tcW w:type="dxa" w:w="249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Demo con acceso por código en Netlify y Vercel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7"/>
              </w:rPr>
              <w:t>[PROPUESTA]</w:t>
            </w:r>
            <w:r>
              <w:rPr>
                <w:b w:val="0"/>
                <w:i w:val="0"/>
                <w:sz w:val="17"/>
              </w:rPr>
              <w:t xml:space="preserve"> del equipo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Gestión Git</w:t>
            </w:r>
          </w:p>
        </w:tc>
        <w:tc>
          <w:tcPr>
            <w:tcW w:type="dxa" w:w="294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Scrum, sin detalle de Git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Ramas por ticket y PR hacia </w:t>
            </w:r>
            <w:r>
              <w:rPr>
                <w:rFonts w:ascii="Consolas" w:hAnsi="Consolas" w:eastAsia="Consolas"/>
                <w:color w:val="0A5C4D"/>
                <w:sz w:val="15"/>
              </w:rPr>
              <w:t>main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  <w:r>
              <w:rPr>
                <w:b w:val="0"/>
                <w:i w:val="0"/>
                <w:sz w:val="17"/>
              </w:rPr>
              <w:t xml:space="preserve"> PR #1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Evidencias disponibles y faltantes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83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419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Ubicación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Código y pruebas automáticas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https://github.com/fernandoknvz/alloxentric-real-time-agent (rama del PR #16)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Flujo Git</w:t>
            </w:r>
          </w:p>
        </w:tc>
        <w:tc>
          <w:tcPr>
            <w:tcW w:type="dxa" w:w="419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docs/GIT_WORKFLOW.md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Incidente de empaquetado en Netlify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docs/incidents/DART-14-4.2-netlify-functions-packaging.md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Validación de la demo (26-oct)</w:t>
            </w:r>
          </w:p>
        </w:tc>
        <w:tc>
          <w:tcPr>
            <w:tcW w:type="dxa" w:w="4195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5"/>
              </w:rPr>
              <w:t>docs/validation/DART-14-4.3-E2E-2026-10-26-web-demo.md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  <w:r>
              <w:rPr>
                <w:b w:val="0"/>
                <w:i w:val="0"/>
                <w:sz w:val="17"/>
              </w:rPr>
              <w:t xml:space="preserve"> el borrador; cifras sin logs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Extracto de métricas del 30-oct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E01 (esta carpeta)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7"/>
              </w:rPr>
              <w:t>[CONFIRMADO]</w:t>
            </w:r>
            <w:r>
              <w:rPr>
                <w:b w:val="0"/>
                <w:i w:val="0"/>
                <w:sz w:val="17"/>
              </w:rPr>
              <w:t xml:space="preserve"> valores numéricos del log del worker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Documentos D01 a D06</w:t>
            </w:r>
          </w:p>
        </w:tc>
        <w:tc>
          <w:tcPr>
            <w:tcW w:type="dxa" w:w="419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Esta carpeta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Borradores para revisión del equipo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Actas de reuniones con Alloxentric y registros de CoreStream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 DE VALIDACIÓN]</w:t>
            </w:r>
            <w:r>
              <w:rPr>
                <w:b w:val="0"/>
                <w:i w:val="0"/>
                <w:sz w:val="17"/>
              </w:rPr>
              <w:t xml:space="preserve"> no adjuntos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Guion y flujo de Hites</w:t>
            </w:r>
          </w:p>
        </w:tc>
        <w:tc>
          <w:tcPr>
            <w:tcW w:type="dxa" w:w="419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041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Registros formales de backlog, sprints y retrospectivas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7"/>
              </w:rPr>
              <w:t>[PENDIENTE]</w:t>
            </w:r>
          </w:p>
        </w:tc>
      </w:tr>
    </w:tbl>
    <w:p>
      <w:pPr>
        <w:spacing w:after="40"/>
      </w:pPr>
    </w:p>
    <w:p>
      <w:pPr>
        <w:pStyle w:val="Heading1"/>
      </w:pPr>
      <w:r>
        <w:t>8. Pendientes y próximos pasos</w:t>
      </w:r>
    </w:p>
    <w:p>
      <w:pPr>
        <w:jc w:val="both"/>
      </w:pPr>
      <w:r>
        <w:rPr>
          <w:b w:val="0"/>
          <w:i w:val="0"/>
        </w:rPr>
        <w:t xml:space="preserve">Todos son </w:t>
      </w:r>
      <w:r>
        <w:rPr>
          <w:b/>
          <w:i w:val="0"/>
          <w:color w:val="1F5FA8"/>
        </w:rPr>
        <w:t>[PROPUESTA]</w:t>
      </w:r>
      <w:r>
        <w:rPr>
          <w:b w:val="0"/>
          <w:i w:val="0"/>
        </w:rPr>
        <w:t xml:space="preserve"> hasta que el equipo los apruebe en la reunión de seguimiento.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/>
          <w:i w:val="0"/>
        </w:rPr>
        <w:t>Revisar y fusionar el PR #16</w:t>
      </w:r>
      <w:r>
        <w:rPr>
          <w:b w:val="0"/>
          <w:i w:val="0"/>
        </w:rPr>
        <w:t xml:space="preserve"> con revisión formal de otro integrante, y archivar su evidencia.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/>
          <w:i w:val="0"/>
        </w:rPr>
        <w:t>Cerrar con Alloxentric</w:t>
      </w:r>
      <w:r>
        <w:rPr>
          <w:b w:val="0"/>
          <w:i w:val="0"/>
        </w:rPr>
        <w:t xml:space="preserve"> las preguntas abiertas de D03 (guion, protocolo de comparación, eventos de latencia, accesos de Asterisk, formalización del cambio de STT y LLM).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/>
          <w:i w:val="0"/>
        </w:rPr>
        <w:t>Definir el protocolo de medición de latencia</w:t>
      </w:r>
      <w:r>
        <w:rPr>
          <w:b w:val="0"/>
          <w:i w:val="0"/>
        </w:rPr>
        <w:t xml:space="preserve"> y repetir las pruebas archivando los logs completos de cada sesión.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/>
          <w:i w:val="0"/>
        </w:rPr>
        <w:t>Decidir cómo reducir la latencia</w:t>
      </w:r>
      <w:r>
        <w:rPr>
          <w:b w:val="0"/>
          <w:i w:val="0"/>
        </w:rPr>
        <w:t xml:space="preserve"> (la espera de la transcripción final concentra ≈1,2 s de los ≈2,6 s): evaluar otro STT, Vertex AI en São Paulo y una muletilla hablada.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5. </w:t>
      </w:r>
      <w:r>
        <w:rPr>
          <w:b/>
          <w:i w:val="0"/>
        </w:rPr>
        <w:t>Mover el worker a un servicio persistente</w:t>
      </w:r>
      <w:r>
        <w:rPr>
          <w:b w:val="0"/>
          <w:i w:val="0"/>
        </w:rPr>
        <w:t xml:space="preserve"> y usar una cuenta de servicio de Google; definir tope de duración y de llamadas simultáneas.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6. </w:t>
      </w:r>
      <w:r>
        <w:rPr>
          <w:b/>
          <w:i w:val="0"/>
        </w:rPr>
        <w:t>Validar las voces</w:t>
      </w:r>
      <w:r>
        <w:rPr>
          <w:b w:val="0"/>
          <w:i w:val="0"/>
        </w:rPr>
        <w:t xml:space="preserve"> con una prueba auditiva y confirmar titularidad de la cuenta y licencias de ElevenLabs.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7. </w:t>
      </w:r>
      <w:r>
        <w:rPr>
          <w:b/>
          <w:i w:val="0"/>
        </w:rPr>
        <w:t>Spike de telefonía</w:t>
      </w:r>
      <w:r>
        <w:rPr>
          <w:b w:val="0"/>
          <w:i w:val="0"/>
        </w:rPr>
        <w:t xml:space="preserve"> con Asterisk apenas haya acceso, o acordar por escrito que el MVP se valida en navegador.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8. </w:t>
      </w:r>
      <w:r>
        <w:rPr>
          <w:b/>
          <w:i w:val="0"/>
        </w:rPr>
        <w:t>Registrar Scrum</w:t>
      </w:r>
      <w:r>
        <w:rPr>
          <w:b w:val="0"/>
          <w:i w:val="0"/>
        </w:rPr>
        <w:t xml:space="preserve"> (backlog, sprints, retrospectivas) y las actas de reuniones en CoreStream.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9. </w:t>
      </w:r>
      <w:r>
        <w:rPr>
          <w:b/>
          <w:i w:val="0"/>
        </w:rPr>
        <w:t>Actualizar la Carta Gantt</w:t>
      </w:r>
      <w:r>
        <w:rPr>
          <w:b w:val="0"/>
          <w:i w:val="0"/>
        </w:rPr>
        <w:t xml:space="preserve"> con las fechas que el equipo y el docente aprueben.</w:t>
      </w:r>
    </w:p>
    <w:sectPr w:rsidR="00FC693F" w:rsidRPr="0006063C" w:rsidSect="00034616">
      <w:footerReference w:type="default" r:id="rId9"/>
      <w:pgSz w:w="12240" w:h="15840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273"/>
        <w:sz w:val="17"/>
      </w:rPr>
      <w:t xml:space="preserve">Alloxentric Real Time Agent — Estado de avance   |   Página </w:t>
    </w:r>
    <w:r>
      <w:rPr>
        <w:color w:val="6F72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F7273"/>
        <w:sz w:val="17"/>
      </w:rPr>
      <w:t xml:space="preserve"> de </w:t>
    </w:r>
    <w:r>
      <w:rPr>
        <w:color w:val="6F72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avance del proyecto — Alloxentric Real Time Agent</dc:title>
  <dc:subject/>
  <dc:creator>Equipo DART_14 — Alloxentric Real Time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