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40"/>
        <w:jc w:val="center"/>
      </w:pPr>
      <w:r>
        <w:rPr>
          <w:b/>
          <w:i w:val="0"/>
          <w:color w:val="444444"/>
          <w:sz w:val="32"/>
        </w:rPr>
        <w:t>DUOC UC</w:t>
      </w:r>
    </w:p>
    <w:p>
      <w:pPr>
        <w:spacing w:after="40"/>
        <w:jc w:val="center"/>
      </w:pPr>
      <w:r>
        <w:rPr>
          <w:b w:val="0"/>
          <w:i w:val="0"/>
          <w:color w:val="444444"/>
          <w:sz w:val="26"/>
        </w:rPr>
        <w:t>SEDE PLAZA OESTE</w:t>
      </w:r>
    </w:p>
    <w:p>
      <w:pPr>
        <w:spacing w:after="40"/>
        <w:jc w:val="center"/>
      </w:pPr>
      <w:r>
        <w:rPr>
          <w:b w:val="0"/>
          <w:i w:val="0"/>
          <w:color w:val="444444"/>
          <w:sz w:val="26"/>
        </w:rPr>
        <w:t>INGENIERÍA EN INFORMÁTICA</w:t>
      </w:r>
    </w:p>
    <w:p/>
    <w:p/>
    <w:p/>
    <w:p>
      <w:pPr>
        <w:spacing w:after="80"/>
        <w:jc w:val="center"/>
      </w:pPr>
      <w:r>
        <w:rPr>
          <w:b/>
          <w:i w:val="0"/>
          <w:color w:val="0A7D69"/>
          <w:sz w:val="26"/>
        </w:rPr>
        <w:t>ALLOXENTRIC REAL TIME AGENT</w:t>
      </w:r>
    </w:p>
    <w:p>
      <w:pPr>
        <w:spacing w:after="120"/>
        <w:jc w:val="center"/>
      </w:pPr>
      <w:r>
        <w:rPr>
          <w:b/>
          <w:i w:val="0"/>
          <w:color w:val="444444"/>
          <w:sz w:val="52"/>
        </w:rPr>
        <w:t>Plan de pruebas y resultados</w:t>
      </w:r>
    </w:p>
    <w:p>
      <w:pPr>
        <w:spacing w:after="40"/>
        <w:jc w:val="center"/>
      </w:pPr>
      <w:r>
        <w:rPr>
          <w:b w:val="0"/>
          <w:i w:val="0"/>
          <w:color w:val="6F7273"/>
          <w:sz w:val="26"/>
        </w:rPr>
        <w:t>Estrategia, pruebas automatizadas, mediciones reales, casos de prueba y protocolo de latencia</w:t>
      </w:r>
    </w:p>
    <w:p/>
    <w:p/>
    <w:p/>
    <w:p>
      <w:pPr>
        <w:spacing w:after="40"/>
        <w:jc w:val="center"/>
      </w:pPr>
      <w:r>
        <w:rPr>
          <w:b w:val="0"/>
          <w:i w:val="0"/>
        </w:rPr>
        <w:t>Asignatura: Capstone  ·  Sigla: PTY4614 / 001V</w:t>
      </w:r>
    </w:p>
    <w:p>
      <w:pPr>
        <w:spacing w:after="200"/>
        <w:jc w:val="center"/>
      </w:pPr>
      <w:r>
        <w:rPr>
          <w:b w:val="0"/>
          <w:i w:val="0"/>
        </w:rPr>
        <w:t>Docente guía: Luis Bravo Yáñez</w:t>
      </w:r>
    </w:p>
    <w:p>
      <w:pPr>
        <w:spacing w:after="40"/>
        <w:jc w:val="center"/>
      </w:pPr>
      <w:r>
        <w:rPr>
          <w:b/>
          <w:i w:val="0"/>
          <w:color w:val="0A7D69"/>
        </w:rPr>
        <w:t>Integrantes</w:t>
      </w:r>
    </w:p>
    <w:p>
      <w:pPr>
        <w:spacing w:after="20"/>
        <w:jc w:val="center"/>
      </w:pPr>
      <w:r>
        <w:rPr>
          <w:b w:val="0"/>
          <w:i w:val="0"/>
        </w:rPr>
        <w:t>Juan Díaz (Product Owner y desarrollador)</w:t>
      </w:r>
    </w:p>
    <w:p>
      <w:pPr>
        <w:spacing w:after="20"/>
        <w:jc w:val="center"/>
      </w:pPr>
      <w:r>
        <w:rPr>
          <w:b w:val="0"/>
          <w:i w:val="0"/>
        </w:rPr>
        <w:t>Fernando Patricio Olguea González (líder de proyecto y desarrollador)</w:t>
      </w:r>
    </w:p>
    <w:p>
      <w:pPr>
        <w:spacing w:after="20"/>
        <w:jc w:val="center"/>
      </w:pPr>
      <w:r>
        <w:rPr>
          <w:b w:val="0"/>
          <w:i w:val="0"/>
        </w:rPr>
        <w:t>David Alexis Sepúlveda Manque (Scrum Master y desarrollador)</w:t>
      </w:r>
    </w:p>
    <w:p/>
    <w:p/>
    <w:p>
      <w:pPr>
        <w:spacing w:after="40"/>
        <w:jc w:val="center"/>
      </w:pPr>
      <w:r>
        <w:rPr>
          <w:b w:val="0"/>
          <w:i w:val="0"/>
        </w:rPr>
        <w:t>30 de octubre de 2026 (semana 12)</w:t>
      </w:r>
    </w:p>
    <w:p>
      <w:pPr>
        <w:spacing w:after="40"/>
        <w:jc w:val="center"/>
      </w:pPr>
      <w:r>
        <w:rPr>
          <w:b w:val="0"/>
          <w:i w:val="0"/>
          <w:color w:val="6F7273"/>
          <w:sz w:val="19"/>
        </w:rPr>
        <w:t>Código del documento: D05  ·  Versión 1.0 (borrador)</w:t>
      </w:r>
    </w:p>
    <w:p>
      <w:pPr>
        <w:jc w:val="center"/>
      </w:pPr>
      <w:r>
        <w:rPr>
          <w:b w:val="0"/>
          <w:i w:val="0"/>
          <w:color w:val="6F7273"/>
          <w:sz w:val="19"/>
        </w:rPr>
        <w:t>Estado: Borrador para revisión del equipo</w:t>
      </w:r>
    </w:p>
    <w:p>
      <w:r>
        <w:br w:type="page"/>
      </w:r>
    </w:p>
    <w:p>
      <w:pPr>
        <w:pStyle w:val="Heading2"/>
      </w:pPr>
      <w: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247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814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04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3969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Cambios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1.0 (borrador)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30-oct-2026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Juan Díaz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Primera versión redactada a partir del repositorio técnico, los PR #1 a #16, el informe grupal 2.4 y las mediciones del 30-oct. Pendiente de revisión por Fernando y David.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406"/>
      </w:tblGrid>
      <w:tr>
        <w:tc>
          <w:tcPr>
            <w:tcW w:type="dxa" w:w="9406"/>
            <w:shd w:val="clear" w:color="auto" w:fill="E8FBF6"/>
          </w:tcPr>
          <w:p>
            <w:pPr>
              <w:spacing w:after="0"/>
            </w:pPr>
            <w:r>
              <w:rPr>
                <w:b/>
                <w:i w:val="0"/>
                <w:sz w:val="20"/>
              </w:rPr>
              <w:t>Leyenda de clasificación (CLAUDE.md del repositorio técnico).</w:t>
            </w:r>
            <w:r>
              <w:rPr>
                <w:b w:val="0"/>
                <w:i w:val="0"/>
                <w:sz w:val="20"/>
              </w:rPr>
              <w:t xml:space="preserve"> </w:t>
            </w:r>
            <w:r>
              <w:rPr>
                <w:b/>
                <w:i w:val="0"/>
                <w:color w:val="1B7F4C"/>
                <w:sz w:val="20"/>
              </w:rPr>
              <w:t>[CONFIRMADO]</w:t>
            </w:r>
            <w:r>
              <w:rPr>
                <w:b w:val="0"/>
                <w:i w:val="0"/>
                <w:sz w:val="20"/>
              </w:rPr>
              <w:t xml:space="preserve"> respaldado explícitamente por el equipo, el cliente o el repositorio · </w:t>
            </w:r>
            <w:r>
              <w:rPr>
                <w:b/>
                <w:i w:val="0"/>
                <w:color w:val="1F5FA8"/>
                <w:sz w:val="20"/>
              </w:rPr>
              <w:t>[PROPUESTA]</w:t>
            </w:r>
            <w:r>
              <w:rPr>
                <w:b w:val="0"/>
                <w:i w:val="0"/>
                <w:sz w:val="20"/>
              </w:rPr>
              <w:t xml:space="preserve"> sugerida, aún no aprobada · </w:t>
            </w:r>
            <w:r>
              <w:rPr>
                <w:b/>
                <w:i w:val="0"/>
                <w:color w:val="9A6700"/>
                <w:sz w:val="20"/>
              </w:rPr>
              <w:t>[INFERENCIA]</w:t>
            </w:r>
            <w:r>
              <w:rPr>
                <w:b w:val="0"/>
                <w:i w:val="0"/>
                <w:sz w:val="20"/>
              </w:rPr>
              <w:t xml:space="preserve"> deducida de información confirmada; requiere validación · </w:t>
            </w:r>
            <w:r>
              <w:rPr>
                <w:b/>
                <w:i w:val="0"/>
                <w:color w:val="B3261E"/>
                <w:sz w:val="20"/>
              </w:rPr>
              <w:t>[PENDIENTE]</w:t>
            </w:r>
            <w:r>
              <w:rPr>
                <w:b w:val="0"/>
                <w:i w:val="0"/>
                <w:sz w:val="20"/>
              </w:rPr>
              <w:t xml:space="preserve"> falta información; no se asume · </w:t>
            </w:r>
            <w:r>
              <w:rPr>
                <w:b/>
                <w:i w:val="0"/>
                <w:color w:val="555555"/>
                <w:sz w:val="20"/>
              </w:rPr>
              <w:t>[REPORTADO POR EL EQUIPO]</w:t>
            </w:r>
            <w:r>
              <w:rPr>
                <w:b w:val="0"/>
                <w:i w:val="0"/>
                <w:sz w:val="20"/>
              </w:rPr>
              <w:t xml:space="preserve"> informado por el equipo sin archivo de respaldo.</w:t>
            </w:r>
          </w:p>
        </w:tc>
      </w:tr>
    </w:tbl>
    <w:p>
      <w:pPr>
        <w:spacing w:after="40"/>
      </w:pPr>
    </w:p>
    <w:p>
      <w:pPr>
        <w:pStyle w:val="Heading1"/>
      </w:pPr>
      <w:r>
        <w:t>Índice</w:t>
      </w:r>
    </w:p>
    <w:p>
      <w:r>
        <w:fldChar w:fldCharType="begin"/>
        <w:instrText xml:space="preserve">TOC \o "1-2" \h \z \u</w:instrText>
        <w:fldChar w:fldCharType="separate"/>
        <w:t>Haz clic derecho y elige «Actualizar campo» para ver el índice con números de página.</w:t>
        <w:fldChar w:fldCharType="end"/>
      </w:r>
    </w:p>
    <w:p>
      <w:r>
        <w:br w:type="page"/>
      </w:r>
    </w:p>
    <w:p>
      <w:pPr>
        <w:pStyle w:val="Heading1"/>
      </w:pPr>
      <w:r>
        <w:t>1. Propósito y estrategia</w:t>
      </w:r>
    </w:p>
    <w:p>
      <w:pPr>
        <w:jc w:val="both"/>
      </w:pPr>
      <w:r>
        <w:rPr>
          <w:b w:val="0"/>
          <w:i w:val="0"/>
        </w:rPr>
        <w:t xml:space="preserve">Define cómo se comprueba que el agente funciona, qué pruebas existen, qué resultados se obtuvieron y qué falta para poder afirmar que se cumplen los requerimientos (D03). Distingue con claridad </w:t>
      </w:r>
      <w:r>
        <w:rPr>
          <w:b/>
          <w:i w:val="0"/>
        </w:rPr>
        <w:t>lo que demuestra una prueba automática</w:t>
      </w:r>
      <w:r>
        <w:rPr>
          <w:b w:val="0"/>
          <w:i w:val="0"/>
        </w:rPr>
        <w:t xml:space="preserve"> (que el código se comporta como se espera con servicios simulados) de </w:t>
      </w:r>
      <w:r>
        <w:rPr>
          <w:b/>
          <w:i w:val="0"/>
        </w:rPr>
        <w:t>lo que solo puede demostrar una prueba real</w:t>
      </w:r>
      <w:r>
        <w:rPr>
          <w:b w:val="0"/>
          <w:i w:val="0"/>
        </w:rPr>
        <w:t xml:space="preserve"> (que el proveedor responde y con qué latencia).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2154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Nivel</w:t>
            </w:r>
          </w:p>
        </w:tc>
        <w:tc>
          <w:tcPr>
            <w:tcW w:type="dxa" w:w="3402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Qué verifica</w:t>
            </w:r>
          </w:p>
        </w:tc>
        <w:tc>
          <w:tcPr>
            <w:tcW w:type="dxa" w:w="1587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Consume servicios de pago</w:t>
            </w:r>
          </w:p>
        </w:tc>
        <w:tc>
          <w:tcPr>
            <w:tcW w:type="dxa" w:w="1928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Dónde corre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1. Unitarias y de configuración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Validación de variables de entorno, construcción de componentes, selección de persona, límites de la API de token, historial, interfaz.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uv run pytest</w:t>
            </w:r>
            <w:r>
              <w:rPr>
                <w:b w:val="0"/>
                <w:i w:val="0"/>
                <w:sz w:val="17"/>
              </w:rPr>
              <w:t xml:space="preserve"> y </w:t>
            </w:r>
            <w:r>
              <w:rPr>
                <w:rFonts w:ascii="Consolas" w:hAnsi="Consolas" w:eastAsia="Consolas"/>
                <w:color w:val="0A5C4D"/>
                <w:sz w:val="15"/>
              </w:rPr>
              <w:t>pnpm test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2. Integración local</w:t>
            </w:r>
          </w:p>
        </w:tc>
        <w:tc>
          <w:tcPr>
            <w:tcW w:type="dxa" w:w="3402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Que los componentes se componen en una sesión (</w:t>
            </w:r>
            <w:r>
              <w:rPr>
                <w:rFonts w:ascii="Consolas" w:hAnsi="Consolas" w:eastAsia="Consolas"/>
                <w:color w:val="0A5C4D"/>
                <w:sz w:val="15"/>
              </w:rPr>
              <w:t>AgentSession</w:t>
            </w:r>
            <w:r>
              <w:rPr>
                <w:b w:val="0"/>
                <w:i w:val="0"/>
                <w:sz w:val="17"/>
              </w:rPr>
              <w:t>) y que las funciones de acceso devuelven lo esperado.</w:t>
            </w:r>
          </w:p>
        </w:tc>
        <w:tc>
          <w:tcPr>
            <w:tcW w:type="dxa" w:w="158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192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Mismas suites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3. Verificación manual con proveedor real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Que Chirp 3, Gemini, DeepSeek y ElevenLabs responden con la configuración del proyecto.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Sí, mínimo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 xml:space="preserve">Scripts </w:t>
            </w:r>
            <w:r>
              <w:rPr>
                <w:rFonts w:ascii="Consolas" w:hAnsi="Consolas" w:eastAsia="Consolas"/>
                <w:color w:val="0A5C4D"/>
                <w:sz w:val="15"/>
              </w:rPr>
              <w:t>scripts/check_*.py</w:t>
            </w:r>
            <w:r>
              <w:rPr>
                <w:b w:val="0"/>
                <w:i w:val="0"/>
                <w:sz w:val="17"/>
              </w:rPr>
              <w:t xml:space="preserve"> (nunca en pytest)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4. Extremo a extremo en navegador</w:t>
            </w:r>
          </w:p>
        </w:tc>
        <w:tc>
          <w:tcPr>
            <w:tcW w:type="dxa" w:w="3402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Conversación de voz completa con el agente desplegado y medición de latencia.</w:t>
            </w:r>
          </w:p>
        </w:tc>
        <w:tc>
          <w:tcPr>
            <w:tcW w:type="dxa" w:w="158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Sí</w:t>
            </w:r>
          </w:p>
        </w:tc>
        <w:tc>
          <w:tcPr>
            <w:tcW w:type="dxa" w:w="192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Web demo + worker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5. Telefonía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Llamada real a través de Asterisk.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Sí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B3261E"/>
                <w:sz w:val="17"/>
              </w:rPr>
              <w:t>[PENDIENTE]</w:t>
            </w:r>
            <w:r>
              <w:rPr>
                <w:b w:val="0"/>
                <w:i w:val="0"/>
                <w:sz w:val="17"/>
              </w:rPr>
              <w:t xml:space="preserve"> sin acceso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406"/>
      </w:tblGrid>
      <w:tr>
        <w:tc>
          <w:tcPr>
            <w:tcW w:type="dxa" w:w="9406"/>
            <w:shd w:val="clear" w:color="auto" w:fill="E8FBF6"/>
          </w:tcPr>
          <w:p>
            <w:pPr>
              <w:spacing w:after="0"/>
            </w:pPr>
            <w:r>
              <w:rPr>
                <w:b/>
                <w:i w:val="0"/>
                <w:sz w:val="20"/>
              </w:rPr>
              <w:t>Principio.</w:t>
            </w:r>
            <w:r>
              <w:rPr>
                <w:b w:val="0"/>
                <w:i w:val="0"/>
                <w:sz w:val="20"/>
              </w:rPr>
              <w:t xml:space="preserve"> Una prueba automática verde no demuestra rendimiento real del proveedor. Los resultados de rendimiento de este documento provienen solo de los niveles 3 y 4.</w:t>
            </w:r>
          </w:p>
        </w:tc>
      </w:tr>
    </w:tbl>
    <w:p>
      <w:pPr>
        <w:spacing w:after="40"/>
      </w:pPr>
    </w:p>
    <w:p>
      <w:pPr>
        <w:pStyle w:val="Heading1"/>
      </w:pPr>
      <w:r>
        <w:t>2. Pruebas automatizadas</w:t>
      </w:r>
    </w:p>
    <w:p>
      <w:pPr>
        <w:pStyle w:val="Heading2"/>
      </w:pPr>
      <w:r>
        <w:t>2.1 Resultado</w:t>
      </w:r>
    </w:p>
    <w:p>
      <w:pPr>
        <w:jc w:val="both"/>
      </w:pPr>
      <w:r>
        <w:rPr>
          <w:b w:val="0"/>
          <w:i w:val="0"/>
        </w:rPr>
        <w:t xml:space="preserve">Ejecutadas el 30 de octubre de 2026 sobre la rama del PR #16: </w:t>
      </w:r>
      <w:r>
        <w:rPr>
          <w:b/>
          <w:i w:val="0"/>
        </w:rPr>
        <w:t>200 pruebas de Python</w:t>
      </w:r>
      <w:r>
        <w:rPr>
          <w:b w:val="0"/>
          <w:i w:val="0"/>
        </w:rPr>
        <w:t xml:space="preserve"> y </w:t>
      </w:r>
      <w:r>
        <w:rPr>
          <w:b/>
          <w:i w:val="0"/>
        </w:rPr>
        <w:t>91 de la web, todas aprobadas</w:t>
      </w:r>
      <w:r>
        <w:rPr>
          <w:b w:val="0"/>
          <w:i w:val="0"/>
        </w:rPr>
        <w:t xml:space="preserve"> (</w:t>
      </w:r>
      <w:r>
        <w:rPr>
          <w:rFonts w:ascii="Consolas" w:hAnsi="Consolas" w:eastAsia="Consolas"/>
          <w:color w:val="0A5C4D"/>
          <w:sz w:val="20"/>
        </w:rPr>
        <w:t>uv run pytest</w:t>
      </w:r>
      <w:r>
        <w:rPr>
          <w:b w:val="0"/>
          <w:i w:val="0"/>
        </w:rPr>
        <w:t xml:space="preserve"> y </w:t>
      </w:r>
      <w:r>
        <w:rPr>
          <w:rFonts w:ascii="Consolas" w:hAnsi="Consolas" w:eastAsia="Consolas"/>
          <w:color w:val="0A5C4D"/>
          <w:sz w:val="20"/>
        </w:rPr>
        <w:t>pnpm test</w:t>
      </w:r>
      <w:r>
        <w:rPr>
          <w:b w:val="0"/>
          <w:i w:val="0"/>
        </w:rPr>
        <w:t xml:space="preserve">), además de </w:t>
      </w:r>
      <w:r>
        <w:rPr>
          <w:rFonts w:ascii="Consolas" w:hAnsi="Consolas" w:eastAsia="Consolas"/>
          <w:color w:val="0A5C4D"/>
          <w:sz w:val="20"/>
        </w:rPr>
        <w:t>tsc</w:t>
      </w:r>
      <w:r>
        <w:rPr>
          <w:b w:val="0"/>
          <w:i w:val="0"/>
        </w:rPr>
        <w:t xml:space="preserve">, ESLint y el build de producción sin errores. </w:t>
      </w:r>
      <w:r>
        <w:rPr>
          <w:b/>
          <w:i w:val="0"/>
          <w:color w:val="1B7F4C"/>
        </w:rPr>
        <w:t>[CONFIRMADO]</w:t>
      </w:r>
      <w:r>
        <w:rPr>
          <w:b w:val="0"/>
          <w:i w:val="0"/>
        </w:rPr>
        <w:t xml:space="preserve"> No hay integración continua: los resultados se obtuvieron en el equipo del autor y no están respaldados por un registro de CI. </w:t>
      </w:r>
      <w:r>
        <w:rPr>
          <w:b/>
          <w:i w:val="0"/>
          <w:color w:val="B3261E"/>
        </w:rPr>
        <w:t>[PENDIENTE]</w:t>
      </w:r>
    </w:p>
    <w:p>
      <w:pPr>
        <w:pStyle w:val="Heading2"/>
      </w:pPr>
      <w:r>
        <w:t>2.2 Inventario Python (200)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06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1020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Pruebas</w:t>
            </w:r>
          </w:p>
        </w:tc>
        <w:tc>
          <w:tcPr>
            <w:tcW w:type="dxa" w:w="4989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Qué cubre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tests/test_config.py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989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Validación de las variables de LiveKit.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tests/test_project_bootstrap.py</w:t>
            </w:r>
          </w:p>
        </w:tc>
        <w:tc>
          <w:tcPr>
            <w:tcW w:type="dxa" w:w="102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4989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Importaciones y definición del servidor de agentes.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tests/test_llm.py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4989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Componente DeepSeek.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tests/test_llm_gemini.py</w:t>
            </w:r>
          </w:p>
        </w:tc>
        <w:tc>
          <w:tcPr>
            <w:tcW w:type="dxa" w:w="102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15</w:t>
            </w:r>
          </w:p>
        </w:tc>
        <w:tc>
          <w:tcPr>
            <w:tcW w:type="dxa" w:w="4989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Componente Gemini, modelo y credenciales.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tests/test_stt.py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14</w:t>
            </w:r>
          </w:p>
        </w:tc>
        <w:tc>
          <w:tcPr>
            <w:tcW w:type="dxa" w:w="4989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Google Chirp 3: configuración, ADC simulado, errores claros, sin red.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tests/test_tts.py</w:t>
            </w:r>
          </w:p>
        </w:tc>
        <w:tc>
          <w:tcPr>
            <w:tcW w:type="dxa" w:w="102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14</w:t>
            </w:r>
          </w:p>
        </w:tc>
        <w:tc>
          <w:tcPr>
            <w:tcW w:type="dxa" w:w="4989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ElevenLabs: modelo, voz, errores de configuración.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tests/test_pipeline.py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32</w:t>
            </w:r>
          </w:p>
        </w:tc>
        <w:tc>
          <w:tcPr>
            <w:tcW w:type="dxa" w:w="4989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Composición de la sesión, selección de proveedor, observabilidad, entrypoint.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tests/test_metrics.py</w:t>
            </w:r>
          </w:p>
        </w:tc>
        <w:tc>
          <w:tcPr>
            <w:tcW w:type="dxa" w:w="102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40</w:t>
            </w:r>
          </w:p>
        </w:tc>
        <w:tc>
          <w:tcPr>
            <w:tcW w:type="dxa" w:w="4989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Métricas de latencia sin exponer contenido.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tests/test_latency_settings.py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4989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Modelo y thinking de Gemini, sensibilidad de Chirp, manejo de turnos.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tests/test_personas.py</w:t>
            </w:r>
          </w:p>
        </w:tc>
        <w:tc>
          <w:tcPr>
            <w:tcW w:type="dxa" w:w="102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26</w:t>
            </w:r>
          </w:p>
        </w:tc>
        <w:tc>
          <w:tcPr>
            <w:tcW w:type="dxa" w:w="4989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Siete personas, metadatos, coincidencia de identificadores con la web, reglas de cobranza.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tests/test_voices.py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28</w:t>
            </w:r>
          </w:p>
        </w:tc>
        <w:tc>
          <w:tcPr>
            <w:tcW w:type="dxa" w:w="4989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Voz por persona, prioridad de la voz, idioma y precalentamiento.</w:t>
            </w:r>
          </w:p>
        </w:tc>
      </w:tr>
    </w:tbl>
    <w:p>
      <w:pPr>
        <w:spacing w:after="40"/>
      </w:pPr>
    </w:p>
    <w:p>
      <w:pPr>
        <w:pStyle w:val="Heading2"/>
      </w:pPr>
      <w:r>
        <w:t>2.3 Inventario web (91)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06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1020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Pruebas</w:t>
            </w:r>
          </w:p>
        </w:tc>
        <w:tc>
          <w:tcPr>
            <w:tcW w:type="dxa" w:w="4989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Qué cubre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config.test.ts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4989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Configuración del servidor y validación de secretos.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login.test.ts</w:t>
            </w:r>
          </w:p>
        </w:tc>
        <w:tc>
          <w:tcPr>
            <w:tcW w:type="dxa" w:w="102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4989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Código de acceso, origen, sesión.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session.test.ts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989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Estado de la sesión.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livekit-token.test.ts</w:t>
            </w:r>
          </w:p>
        </w:tc>
        <w:tc>
          <w:tcPr>
            <w:tcW w:type="dxa" w:w="102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989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Token con despacho forzado y permisos mínimos.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netlify-runtime.test.ts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989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Contexto de las funciones (regresión del incidente HTTP 500).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client-secrets.test.ts</w:t>
            </w:r>
          </w:p>
        </w:tc>
        <w:tc>
          <w:tcPr>
            <w:tcW w:type="dxa" w:w="102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4989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Ningún secreto en el cliente.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csp-headers.test.ts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989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Generación de la CSP con hashes.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voice-controls.test.tsx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0A5C4D"/>
                <w:sz w:val="15"/>
              </w:rPr>
              <w:t>voice-session.test.tsx</w:t>
            </w:r>
          </w:p>
        </w:tc>
        <w:tc>
          <w:tcPr>
            <w:tcW w:type="dxa" w:w="102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2 + 6</w:t>
            </w:r>
          </w:p>
        </w:tc>
        <w:tc>
          <w:tcPr>
            <w:tcW w:type="dxa" w:w="4989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Ciclo de vida de la sesión de voz.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personas.test.ts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17</w:t>
            </w:r>
          </w:p>
        </w:tc>
        <w:tc>
          <w:tcPr>
            <w:tcW w:type="dxa" w:w="4989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Siete personas, despacho por metadato, lista cerrada, rechazo de valores inválidos, cuerpo limitado.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origin.test.ts</w:t>
            </w:r>
          </w:p>
        </w:tc>
        <w:tc>
          <w:tcPr>
            <w:tcW w:type="dxa" w:w="102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989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Comparación exacta de uno o varios orígenes.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vercel-postbuild.test.ts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989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 xml:space="preserve">CSP como </w:t>
            </w:r>
            <w:r>
              <w:rPr>
                <w:rFonts w:ascii="Consolas" w:hAnsi="Consolas" w:eastAsia="Consolas"/>
                <w:color w:val="0A5C4D"/>
                <w:sz w:val="15"/>
              </w:rPr>
              <w:t>&lt;meta&gt;</w:t>
            </w:r>
            <w:r>
              <w:rPr>
                <w:b w:val="0"/>
                <w:i w:val="0"/>
                <w:sz w:val="17"/>
              </w:rPr>
              <w:t xml:space="preserve"> con hashes.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conversation-panel.test.tsx</w:t>
            </w:r>
          </w:p>
        </w:tc>
        <w:tc>
          <w:tcPr>
            <w:tcW w:type="dxa" w:w="102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15</w:t>
            </w:r>
          </w:p>
        </w:tc>
        <w:tc>
          <w:tcPr>
            <w:tcW w:type="dxa" w:w="4989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Transcripción, deduplicación por segmento, micrófono, silencio, estados del dial.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history.test.ts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4989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Historial local: guardar, límite, borrar, datos corruptos.</w:t>
            </w:r>
          </w:p>
        </w:tc>
      </w:tr>
    </w:tbl>
    <w:p>
      <w:pPr>
        <w:spacing w:after="40"/>
      </w:pPr>
    </w:p>
    <w:p>
      <w:pPr>
        <w:pStyle w:val="Heading1"/>
      </w:pPr>
      <w:r>
        <w:t>3. Verificaciones manuales con proveedores reales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238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Script</w:t>
            </w:r>
          </w:p>
        </w:tc>
        <w:tc>
          <w:tcPr>
            <w:tcW w:type="dxa" w:w="3288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Qué hace</w:t>
            </w:r>
          </w:p>
        </w:tc>
        <w:tc>
          <w:tcPr>
            <w:tcW w:type="dxa" w:w="3402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Resultado registrado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scripts/check_google_stt.py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Envía un WAV al STT con la configuración del proyecto; sale con código 0, 1 o 2 y no imprime mensajes del proveedor.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16-oct: frase sintética de 4,24 s transcrita correctamente (es-US, ubicación us); resultado final ≈1,1 s después del fin de la frase. Tras la revisión del PR #6 se comprobaron los códigos de salida: 0 (éxito), 1 (ubicación inválida, error controlado sin mensaje del proveedor) y 2 (WAV o configuración inválidos).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scripts/check_elevenlabs_tts.py</w:t>
            </w:r>
          </w:p>
        </w:tc>
        <w:tc>
          <w:tcPr>
            <w:tcW w:type="dxa" w:w="328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Una síntesis real de una frase breve; informa primer audio y total.</w:t>
            </w:r>
          </w:p>
        </w:tc>
        <w:tc>
          <w:tcPr>
            <w:tcW w:type="dxa" w:w="3402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8-oct (David): primer audio ≈0,69 s </w:t>
            </w:r>
            <w:r>
              <w:rPr>
                <w:b/>
                <w:i w:val="0"/>
                <w:color w:val="555555"/>
                <w:sz w:val="16"/>
              </w:rPr>
              <w:t>[REPORTADO POR EL EQUIPO]</w:t>
            </w:r>
            <w:r>
              <w:rPr>
                <w:b w:val="0"/>
                <w:i w:val="0"/>
                <w:sz w:val="16"/>
              </w:rPr>
              <w:t>. 30-oct: primer audio 0,48–0,52 s con la voz chilena y el plugin de LiveKit.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scripts/check_gemini_llm.py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0A5C4D"/>
                <w:sz w:val="14"/>
              </w:rPr>
              <w:t>check_deepseek_llm.py</w:t>
            </w:r>
          </w:p>
        </w:tc>
        <w:tc>
          <w:tcPr>
            <w:tcW w:type="dxa" w:w="328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Una solicitud real de texto.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Gemini y DeepSeek respondieron en las verificaciones del equipo </w:t>
            </w:r>
            <w:r>
              <w:rPr>
                <w:b/>
                <w:i w:val="0"/>
                <w:color w:val="555555"/>
                <w:sz w:val="16"/>
              </w:rPr>
              <w:t>[REPORTADO POR EL EQUIPO]</w:t>
            </w:r>
            <w:r>
              <w:rPr>
                <w:b w:val="0"/>
                <w:i w:val="0"/>
                <w:sz w:val="16"/>
              </w:rPr>
              <w:t>.</w:t>
            </w:r>
          </w:p>
        </w:tc>
      </w:tr>
    </w:tbl>
    <w:p>
      <w:pPr>
        <w:spacing w:after="40"/>
      </w:pPr>
    </w:p>
    <w:p>
      <w:pPr>
        <w:pStyle w:val="Heading1"/>
      </w:pPr>
      <w:r>
        <w:t>4. Mediciones de rendimiento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406"/>
      </w:tblGrid>
      <w:tr>
        <w:tc>
          <w:tcPr>
            <w:tcW w:type="dxa" w:w="9406"/>
            <w:shd w:val="clear" w:color="auto" w:fill="FFF6E5"/>
          </w:tcPr>
          <w:p>
            <w:pPr>
              <w:spacing w:after="0"/>
            </w:pPr>
            <w:r>
              <w:rPr>
                <w:b/>
                <w:i w:val="0"/>
                <w:sz w:val="20"/>
              </w:rPr>
              <w:t>Cómo leer esta sección.</w:t>
            </w:r>
            <w:r>
              <w:rPr>
                <w:b w:val="0"/>
                <w:i w:val="0"/>
                <w:sz w:val="20"/>
              </w:rPr>
              <w:t xml:space="preserve"> Son mediciones propias, con pocas muestras, desde Chile y con audio sintético o voz humana según el caso. Sirven para </w:t>
            </w:r>
            <w:r>
              <w:rPr>
                <w:b/>
                <w:i w:val="0"/>
                <w:sz w:val="20"/>
              </w:rPr>
              <w:t>elegir entre opciones</w:t>
            </w:r>
            <w:r>
              <w:rPr>
                <w:b w:val="0"/>
                <w:i w:val="0"/>
                <w:sz w:val="20"/>
              </w:rPr>
              <w:t xml:space="preserve">, no como benchmark. Solo la sección 4.4 queda respaldada por un archivo (E01); las demás </w:t>
            </w:r>
            <w:r>
              <w:rPr>
                <w:b/>
                <w:i w:val="0"/>
                <w:color w:val="555555"/>
                <w:sz w:val="20"/>
              </w:rPr>
              <w:t>[REPORTADO POR EL EQUIPO]</w:t>
            </w:r>
            <w:r>
              <w:rPr>
                <w:b w:val="0"/>
                <w:i w:val="0"/>
                <w:sz w:val="20"/>
              </w:rPr>
              <w:t xml:space="preserve"> provienen de la salida de scripts que no se archivó.</w:t>
            </w:r>
          </w:p>
        </w:tc>
      </w:tr>
    </w:tbl>
    <w:p>
      <w:pPr>
        <w:spacing w:after="40"/>
      </w:pPr>
    </w:p>
    <w:p>
      <w:pPr>
        <w:pStyle w:val="Heading2"/>
      </w:pPr>
      <w:r>
        <w:t>4.1 Modelos de Gemini (tiempo hasta el primer token)</w:t>
      </w:r>
    </w:p>
    <w:p>
      <w:pPr>
        <w:spacing w:after="40"/>
      </w:pPr>
      <w:r>
        <w:rPr>
          <w:b w:val="0"/>
          <w:i w:val="0"/>
        </w:rPr>
        <w:t>Mismo prompt y misma clave; mediana de 4 corridas; 30-oct-2026.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628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272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Thinking por defecto</w:t>
            </w:r>
          </w:p>
        </w:tc>
        <w:tc>
          <w:tcPr>
            <w:tcW w:type="dxa" w:w="272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Thinking mínimo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6"/>
              </w:rPr>
              <w:t>gemini-3.8-flash</w:t>
            </w:r>
            <w:r>
              <w:rPr>
                <w:b w:val="0"/>
                <w:i w:val="0"/>
                <w:sz w:val="18"/>
              </w:rPr>
              <w:t xml:space="preserve"> (anterior)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3,64 s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No soportado (HTTP 400)</w:t>
            </w:r>
          </w:p>
        </w:tc>
      </w:tr>
      <w:tr>
        <w:trPr>
          <w:cantSplit w:val="true"/>
        </w:trPr>
        <w:tc>
          <w:tcPr>
            <w:tcW w:type="dxa" w:w="3628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6"/>
              </w:rPr>
              <w:t>gemini-3.6-flash</w:t>
            </w:r>
          </w:p>
        </w:tc>
        <w:tc>
          <w:tcPr>
            <w:tcW w:type="dxa" w:w="272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2,44 s</w:t>
            </w:r>
          </w:p>
        </w:tc>
        <w:tc>
          <w:tcPr>
            <w:tcW w:type="dxa" w:w="272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1,99 s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6"/>
              </w:rPr>
              <w:t>gemini-3.5-flash-lite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1,80 s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1,66 s</w:t>
            </w:r>
          </w:p>
        </w:tc>
      </w:tr>
      <w:tr>
        <w:trPr>
          <w:cantSplit w:val="true"/>
        </w:trPr>
        <w:tc>
          <w:tcPr>
            <w:tcW w:type="dxa" w:w="3628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6"/>
              </w:rPr>
              <w:t>gemini-3.1-flash-lite</w:t>
            </w:r>
            <w:r>
              <w:rPr>
                <w:b w:val="0"/>
                <w:i w:val="0"/>
                <w:sz w:val="18"/>
              </w:rPr>
              <w:t xml:space="preserve"> (</w:t>
            </w:r>
            <w:r>
              <w:rPr>
                <w:b/>
                <w:i w:val="0"/>
                <w:sz w:val="18"/>
              </w:rPr>
              <w:t>elegido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72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1,82 s</w:t>
            </w:r>
          </w:p>
        </w:tc>
        <w:tc>
          <w:tcPr>
            <w:tcW w:type="dxa" w:w="2721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sz w:val="18"/>
              </w:rPr>
              <w:t>1,55 s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0"/>
        </w:rPr>
        <w:t>Los modelos de la familia 2.5 no estuvieron disponibles con la clave usada (HTTP 404). La variación entre corridas fue de varias décimas de segundo.</w:t>
      </w:r>
    </w:p>
    <w:p>
      <w:pPr>
        <w:pStyle w:val="Heading2"/>
      </w:pPr>
      <w:r>
        <w:t>4.2 ElevenLabs: modelos y arranque en frío de las voces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238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187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Primer audio (HTTP)</w:t>
            </w:r>
          </w:p>
        </w:tc>
        <w:tc>
          <w:tcPr>
            <w:tcW w:type="dxa" w:w="238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Primer audio (plugin de LiveKit)</w:t>
            </w:r>
          </w:p>
        </w:tc>
        <w:tc>
          <w:tcPr>
            <w:tcW w:type="dxa" w:w="2438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Observación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eleven_flash_v2_5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0,28–0,33 s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0,48–0,49 s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El más rápido.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eleven_v4_turbo</w:t>
            </w:r>
            <w:r>
              <w:rPr>
                <w:b w:val="0"/>
                <w:i w:val="0"/>
                <w:sz w:val="17"/>
              </w:rPr>
              <w:t xml:space="preserve"> (elegido)</w:t>
            </w:r>
          </w:p>
        </w:tc>
        <w:tc>
          <w:tcPr>
            <w:tcW w:type="dxa" w:w="187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0,34–0,52 s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0,50–0,52 s</w:t>
            </w:r>
          </w:p>
        </w:tc>
        <w:tc>
          <w:tcPr>
            <w:tcW w:type="dxa" w:w="243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Casi igual de rápido; mejor calidad.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eleven_v3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0,67 s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La documentación del proveedor indica que no soporta el WebSocket de tiempo real.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eleven_v4</w:t>
            </w:r>
          </w:p>
        </w:tc>
        <w:tc>
          <w:tcPr>
            <w:tcW w:type="dxa" w:w="187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0,75 s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243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Ídem.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eleven_multilingual_v2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0,64–0,80 s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Arranque en frío:</w:t>
      </w:r>
      <w:r>
        <w:rPr>
          <w:b w:val="0"/>
          <w:i w:val="0"/>
        </w:rPr>
        <w:t xml:space="preserve"> la primera síntesis con cada una de las 12 voces chilenas probadas tardó </w:t>
      </w:r>
      <w:r>
        <w:rPr>
          <w:b/>
          <w:i w:val="0"/>
        </w:rPr>
        <w:t>3,8 a 6,4 s</w:t>
      </w:r>
      <w:r>
        <w:rPr>
          <w:b w:val="0"/>
          <w:i w:val="0"/>
        </w:rPr>
        <w:t xml:space="preserve">; desde la segunda bajó a </w:t>
      </w:r>
      <w:r>
        <w:rPr>
          <w:b/>
          <w:i w:val="0"/>
        </w:rPr>
        <w:t>0,28–0,47 s</w:t>
      </w:r>
      <w:r>
        <w:rPr>
          <w:b w:val="0"/>
          <w:i w:val="0"/>
        </w:rPr>
        <w:t>. Por eso el worker precalienta las voces al iniciar (PR #16).</w:t>
      </w:r>
    </w:p>
    <w:p>
      <w:pPr>
        <w:pStyle w:val="Heading2"/>
      </w:pPr>
      <w:r>
        <w:t>4.3 Google Chirp 3: sensibilidad de fin de habla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2948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Configuración</w:t>
            </w:r>
          </w:p>
        </w:tc>
        <w:tc>
          <w:tcPr>
            <w:tcW w:type="dxa" w:w="3855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Resultado final tras terminar la frase</w:t>
            </w:r>
          </w:p>
        </w:tc>
        <w:tc>
          <w:tcPr>
            <w:tcW w:type="dxa" w:w="2268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Muestras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6"/>
              </w:rPr>
              <w:t>SHORT</w:t>
            </w:r>
            <w:r>
              <w:rPr>
                <w:b w:val="0"/>
                <w:i w:val="0"/>
                <w:sz w:val="18"/>
              </w:rPr>
              <w:t xml:space="preserve"> (elegida)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1,12 s y 1,19 s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6"/>
              </w:rPr>
              <w:t>SUPERSHORT</w:t>
            </w:r>
          </w:p>
        </w:tc>
        <w:tc>
          <w:tcPr>
            <w:tcW w:type="dxa" w:w="385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0,96 s y 1,13 s</w:t>
            </w:r>
          </w:p>
        </w:tc>
        <w:tc>
          <w:tcPr>
            <w:tcW w:type="dxa" w:w="226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2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0"/>
        </w:rPr>
        <w:t xml:space="preserve">La diferencia está dentro del ruido de la medición y </w:t>
      </w:r>
      <w:r>
        <w:rPr>
          <w:rFonts w:ascii="Consolas" w:hAnsi="Consolas" w:eastAsia="Consolas"/>
          <w:color w:val="0A5C4D"/>
          <w:sz w:val="18"/>
        </w:rPr>
        <w:t>SUPERSHORT</w:t>
      </w:r>
      <w:r>
        <w:rPr>
          <w:b w:val="0"/>
          <w:i w:val="0"/>
          <w:sz w:val="20"/>
        </w:rPr>
        <w:t xml:space="preserve"> aumenta el riesgo de cortar a quien habla; por eso no se adoptó.</w:t>
      </w:r>
    </w:p>
    <w:p>
      <w:pPr>
        <w:pStyle w:val="Heading2"/>
      </w:pPr>
      <w:r>
        <w:t>4.4 Latencia de voz a voz en sesiones reales (30-oct)</w:t>
      </w:r>
    </w:p>
    <w:p>
      <w:pPr>
        <w:jc w:val="both"/>
      </w:pPr>
      <w:r>
        <w:rPr>
          <w:b w:val="0"/>
          <w:i w:val="0"/>
        </w:rPr>
        <w:t xml:space="preserve">Fuente: log del worker, métricas del PR #9 (extracto E01). Se registraron 5 sesiones y 22 turnos; 13 turnos tienen </w:t>
      </w:r>
      <w:r>
        <w:rPr>
          <w:rFonts w:ascii="Consolas" w:hAnsi="Consolas" w:eastAsia="Consolas"/>
          <w:color w:val="0A5C4D"/>
          <w:sz w:val="20"/>
        </w:rPr>
        <w:t>e2e_latency_s</w:t>
      </w:r>
      <w:r>
        <w:rPr>
          <w:b w:val="0"/>
          <w:i w:val="0"/>
        </w:rPr>
        <w:t xml:space="preserve"> (los demás son saludos o turnos interrumpidos antes de responder). Las sesiones mezclan audio sintético y voz humana; el log no las distingue.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 w:val="true"/>
        </w:trPr>
        <w:tc>
          <w:tcPr>
            <w:tcW w:type="dxa" w:w="3175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Métrica (segundos)</w:t>
            </w:r>
          </w:p>
        </w:tc>
        <w:tc>
          <w:tcPr>
            <w:tcW w:type="dxa" w:w="567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077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Mediana</w:t>
            </w:r>
          </w:p>
        </w:tc>
        <w:tc>
          <w:tcPr>
            <w:tcW w:type="dxa" w:w="964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Media</w:t>
            </w:r>
          </w:p>
        </w:tc>
        <w:tc>
          <w:tcPr>
            <w:tcW w:type="dxa" w:w="850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Mín.</w:t>
            </w:r>
          </w:p>
        </w:tc>
        <w:tc>
          <w:tcPr>
            <w:tcW w:type="dxa" w:w="850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Máx.</w:t>
            </w:r>
          </w:p>
        </w:tc>
        <w:tc>
          <w:tcPr>
            <w:tcW w:type="dxa" w:w="907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P90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Voz a voz (</w:t>
            </w:r>
            <w:r>
              <w:rPr>
                <w:rFonts w:ascii="Consolas" w:hAnsi="Consolas" w:eastAsia="Consolas"/>
                <w:color w:val="0A5C4D"/>
                <w:sz w:val="15"/>
              </w:rPr>
              <w:t>e2e_latency_s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2,59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2,61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0,48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4,08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3,33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Espera de la transcripción final</w:t>
            </w:r>
          </w:p>
        </w:tc>
        <w:tc>
          <w:tcPr>
            <w:tcW w:type="dxa" w:w="56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107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1,21</w:t>
            </w:r>
          </w:p>
        </w:tc>
        <w:tc>
          <w:tcPr>
            <w:tcW w:type="dxa" w:w="96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1,16</w:t>
            </w:r>
          </w:p>
        </w:tc>
        <w:tc>
          <w:tcPr>
            <w:tcW w:type="dxa" w:w="85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0,00</w:t>
            </w:r>
          </w:p>
        </w:tc>
        <w:tc>
          <w:tcPr>
            <w:tcW w:type="dxa" w:w="85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2,55</w:t>
            </w:r>
          </w:p>
        </w:tc>
        <w:tc>
          <w:tcPr>
            <w:tcW w:type="dxa" w:w="90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1,37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Detección del fin de turno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1,48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1,33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0,46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2,56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1,50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Primer token del LLM</w:t>
            </w:r>
          </w:p>
        </w:tc>
        <w:tc>
          <w:tcPr>
            <w:tcW w:type="dxa" w:w="56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17</w:t>
            </w:r>
          </w:p>
        </w:tc>
        <w:tc>
          <w:tcPr>
            <w:tcW w:type="dxa" w:w="107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0,93</w:t>
            </w:r>
          </w:p>
        </w:tc>
        <w:tc>
          <w:tcPr>
            <w:tcW w:type="dxa" w:w="96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1,07</w:t>
            </w:r>
          </w:p>
        </w:tc>
        <w:tc>
          <w:tcPr>
            <w:tcW w:type="dxa" w:w="85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0,72</w:t>
            </w:r>
          </w:p>
        </w:tc>
        <w:tc>
          <w:tcPr>
            <w:tcW w:type="dxa" w:w="85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1,76</w:t>
            </w:r>
          </w:p>
        </w:tc>
        <w:tc>
          <w:tcPr>
            <w:tcW w:type="dxa" w:w="90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1,35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Primer audio (TTS)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22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0,31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0,32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0,28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0,45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0,38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08000" cy="2261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ia_por_etap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261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F7273"/>
          <w:sz w:val="18"/>
        </w:rPr>
        <w:t>Figura 1. Latencia por etapa frente al requisito. El reporte del 26-oct (≈5,11 s) no tiene logs archivados.</w:t>
      </w:r>
    </w:p>
    <w:p>
      <w:pPr>
        <w:pStyle w:val="ListBullet"/>
        <w:spacing w:after="40"/>
      </w:pPr>
      <w:r>
        <w:rPr>
          <w:b/>
          <w:i w:val="0"/>
        </w:rPr>
        <w:t>Requisito de 1 s:</w:t>
      </w:r>
      <w:r>
        <w:rPr>
          <w:b w:val="0"/>
          <w:i w:val="0"/>
        </w:rPr>
        <w:t xml:space="preserve"> solo 1 de 13 turnos lo cumplió (0,48 s, una interrupción en la que la transcripción ya estaba disponible); la mediana (2,59 s) no lo cumple. </w:t>
      </w:r>
      <w:r>
        <w:rPr>
          <w:b/>
          <w:i w:val="0"/>
        </w:rPr>
        <w:t>No se cumple.</w:t>
      </w:r>
    </w:p>
    <w:p>
      <w:pPr>
        <w:pStyle w:val="ListBullet"/>
        <w:spacing w:after="40"/>
      </w:pPr>
      <w:r>
        <w:rPr>
          <w:b/>
          <w:i w:val="0"/>
        </w:rPr>
        <w:t>Riesgo de corte (&gt; 3 s):</w:t>
      </w:r>
      <w:r>
        <w:rPr>
          <w:b w:val="0"/>
          <w:i w:val="0"/>
        </w:rPr>
        <w:t xml:space="preserve"> 3 de 13 turnos (≈23 %).</w:t>
      </w:r>
    </w:p>
    <w:p>
      <w:pPr>
        <w:pStyle w:val="ListBullet"/>
        <w:spacing w:after="40"/>
      </w:pPr>
      <w:r>
        <w:rPr>
          <w:b/>
          <w:i w:val="0"/>
        </w:rPr>
        <w:t>Etapa dominante:</w:t>
      </w:r>
      <w:r>
        <w:rPr>
          <w:b w:val="0"/>
          <w:i w:val="0"/>
        </w:rPr>
        <w:t xml:space="preserve"> la espera de la transcripción final (mediana ≈1,2 s), seguida del primer token del LLM (≈0,9 s). El primer audio ya está optimizado (≈0,3 s).</w:t>
      </w:r>
    </w:p>
    <w:p>
      <w:pPr>
        <w:pStyle w:val="ListBullet"/>
        <w:spacing w:after="40"/>
      </w:pPr>
      <w:r>
        <w:rPr>
          <w:b/>
          <w:i w:val="0"/>
        </w:rPr>
        <w:t>Interrupciones:</w:t>
      </w:r>
      <w:r>
        <w:rPr>
          <w:b w:val="0"/>
          <w:i w:val="0"/>
        </w:rPr>
        <w:t xml:space="preserve"> 10 de 22 turnos se marcaron como interrumpidos; hoy no se puede distinguir una interrupción deseada de una falsa (eco o ruido).</w:t>
      </w:r>
    </w:p>
    <w:p>
      <w:pPr>
        <w:pStyle w:val="ListBullet"/>
        <w:spacing w:after="40"/>
      </w:pPr>
      <w:r>
        <w:rPr>
          <w:b/>
          <w:i w:val="0"/>
        </w:rPr>
        <w:t>Inicio de la sesión: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color w:val="0A5C4D"/>
          <w:sz w:val="20"/>
        </w:rPr>
        <w:t>startup_s</w:t>
      </w:r>
      <w:r>
        <w:rPr>
          <w:b w:val="0"/>
          <w:i w:val="0"/>
        </w:rPr>
        <w:t xml:space="preserve">, mediana de 0,42 s, medido desde justo antes de </w:t>
      </w:r>
      <w:r>
        <w:rPr>
          <w:rFonts w:ascii="Consolas" w:hAnsi="Consolas" w:eastAsia="Consolas"/>
          <w:color w:val="0A5C4D"/>
          <w:sz w:val="20"/>
        </w:rPr>
        <w:t>session.start</w:t>
      </w:r>
      <w:r>
        <w:rPr>
          <w:b w:val="0"/>
          <w:i w:val="0"/>
        </w:rPr>
        <w:t>; no incluye la inicialización del proceso del runner.</w:t>
      </w:r>
    </w:p>
    <w:p>
      <w:pPr>
        <w:pStyle w:val="Heading2"/>
      </w:pPr>
      <w:r>
        <w:t>4.5 Comparación con la medición del 26 de octubre</w:t>
      </w:r>
    </w:p>
    <w:p>
      <w:pPr>
        <w:jc w:val="both"/>
      </w:pPr>
      <w:r>
        <w:rPr>
          <w:b w:val="0"/>
          <w:i w:val="0"/>
        </w:rPr>
        <w:t xml:space="preserve">La validación del PR #15 reportó tres turnos con </w:t>
      </w:r>
      <w:r>
        <w:rPr>
          <w:rFonts w:ascii="Consolas" w:hAnsi="Consolas" w:eastAsia="Consolas"/>
          <w:color w:val="0A5C4D"/>
          <w:sz w:val="20"/>
        </w:rPr>
        <w:t>e2e_latency_s</w:t>
      </w:r>
      <w:r>
        <w:rPr>
          <w:b w:val="0"/>
          <w:i w:val="0"/>
        </w:rPr>
        <w:t xml:space="preserve"> de 5,36 s, 5,47 s y 4,50 s (promedio 5,11 s) y un runner que tardó 11,56 s en iniciar, sin logs archivados </w:t>
      </w:r>
      <w:r>
        <w:rPr>
          <w:b/>
          <w:i w:val="0"/>
          <w:color w:val="555555"/>
        </w:rPr>
        <w:t>[REPORTADO POR EL EQUIPO]</w:t>
      </w:r>
      <w:r>
        <w:rPr>
          <w:b w:val="0"/>
          <w:i w:val="0"/>
        </w:rPr>
        <w:t xml:space="preserve">. La diferencia con la medición del 30-oct (mediana 2,59 s) es coherente con los cambios del PR #16 (modelo de LLM más rápido, endpointing, precalentamiento), pero </w:t>
      </w:r>
      <w:r>
        <w:rPr>
          <w:b/>
          <w:i w:val="0"/>
        </w:rPr>
        <w:t>no puede atribuirse la mejora a una causa concreta</w:t>
      </w:r>
      <w:r>
        <w:rPr>
          <w:b w:val="0"/>
          <w:i w:val="0"/>
        </w:rPr>
        <w:t xml:space="preserve">: no hay una prueba controlada que cambie una variable a la vez. </w:t>
      </w:r>
      <w:r>
        <w:rPr>
          <w:b/>
          <w:i w:val="0"/>
          <w:color w:val="9A6700"/>
        </w:rPr>
        <w:t>[INFERENCIA]</w:t>
      </w:r>
    </w:p>
    <w:p>
      <w:pPr>
        <w:pStyle w:val="Heading1"/>
      </w:pPr>
      <w:r>
        <w:t>5. Catálogo de casos de prueba</w:t>
      </w:r>
    </w:p>
    <w:p>
      <w:pPr>
        <w:jc w:val="both"/>
      </w:pPr>
      <w:r>
        <w:rPr>
          <w:b w:val="0"/>
          <w:i w:val="0"/>
        </w:rPr>
        <w:t xml:space="preserve">Estado: </w:t>
      </w:r>
      <w:r>
        <w:rPr>
          <w:b/>
          <w:i w:val="0"/>
        </w:rPr>
        <w:t>OK</w:t>
      </w:r>
      <w:r>
        <w:rPr>
          <w:b w:val="0"/>
          <w:i w:val="0"/>
        </w:rPr>
        <w:t xml:space="preserve"> ejecutada y aprobada · </w:t>
      </w:r>
      <w:r>
        <w:rPr>
          <w:b/>
          <w:i w:val="0"/>
        </w:rPr>
        <w:t>OK</w:t>
      </w:r>
      <w:r>
        <w:rPr>
          <w:b w:val="0"/>
          <w:i w:val="0"/>
        </w:rPr>
        <w:t xml:space="preserve">* aprobada con observación · </w:t>
      </w:r>
      <w:r>
        <w:rPr>
          <w:b/>
          <w:i w:val="0"/>
        </w:rPr>
        <w:t>No cumple</w:t>
      </w:r>
      <w:r>
        <w:rPr>
          <w:b w:val="0"/>
          <w:i w:val="0"/>
        </w:rPr>
        <w:t xml:space="preserve"> · </w:t>
      </w:r>
      <w:r>
        <w:rPr>
          <w:b/>
          <w:i w:val="0"/>
        </w:rPr>
        <w:t>Auto</w:t>
      </w:r>
      <w:r>
        <w:rPr>
          <w:b w:val="0"/>
          <w:i w:val="0"/>
        </w:rPr>
        <w:t xml:space="preserve"> cubierta por pruebas automáticas · </w:t>
      </w:r>
      <w:r>
        <w:rPr>
          <w:b/>
          <w:i w:val="0"/>
        </w:rPr>
        <w:t>Pend.</w:t>
      </w:r>
      <w:r>
        <w:rPr>
          <w:b w:val="0"/>
          <w:i w:val="0"/>
        </w:rPr>
        <w:t xml:space="preserve"> pendiente de ejecutar o sin acceso.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680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608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Caso</w:t>
            </w:r>
          </w:p>
        </w:tc>
        <w:tc>
          <w:tcPr>
            <w:tcW w:type="dxa" w:w="238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Resultado esperado</w:t>
            </w:r>
          </w:p>
        </w:tc>
        <w:tc>
          <w:tcPr>
            <w:tcW w:type="dxa" w:w="1020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38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Evidencia / observación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TC-01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Conversación completa con un agente desde el navegador (varios turnos).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El agente saluda, entiende y responde por voz; la sesión termina sin errores.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OK*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Sesiones del 30-oct; latencia sobre el requisito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TC-02</w:t>
            </w:r>
          </w:p>
        </w:tc>
        <w:tc>
          <w:tcPr>
            <w:tcW w:type="dxa" w:w="260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Saludo inicial al conectar con cada persona.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El agente saluda con su voz antes de que la persona hable.</w:t>
            </w:r>
          </w:p>
        </w:tc>
        <w:tc>
          <w:tcPr>
            <w:tcW w:type="dxa" w:w="102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OK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Primer audio 0,3–0,4 s con la voz precalentada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TC-03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Transcripción en español de una frase conocida.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El texto coincide con la frase dicha.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OK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Frases sintéticas y voz humana (E01, logs)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TC-04</w:t>
            </w:r>
          </w:p>
        </w:tc>
        <w:tc>
          <w:tcPr>
            <w:tcW w:type="dxa" w:w="260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Respuesta breve y coherente del LLM en su rol.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Máx. dos frases; mantiene el personaje y el contexto.</w:t>
            </w:r>
          </w:p>
        </w:tc>
        <w:tc>
          <w:tcPr>
            <w:tcW w:type="dxa" w:w="102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OK*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Una respuesta superó el largo pedido; prompt endurecido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TC-05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Voz chilena aceptable (naturalidad, acento, claridad).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Aprobación de un panel auditivo.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Pend.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Muestras generadas; sin evaluación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TC-06</w:t>
            </w:r>
          </w:p>
        </w:tc>
        <w:tc>
          <w:tcPr>
            <w:tcW w:type="dxa" w:w="260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Una persona no válida es rechazada por el servidor.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HTTP 400 y sin cambio de agente.</w:t>
            </w:r>
          </w:p>
        </w:tc>
        <w:tc>
          <w:tcPr>
            <w:tcW w:type="dxa" w:w="102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Auto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3"/>
              </w:rPr>
              <w:t>personas.test.ts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TC-07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Código de acceso incorrecto.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HTTP 401.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Auto + OK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Prueba en producción el 30-oct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TC-08</w:t>
            </w:r>
          </w:p>
        </w:tc>
        <w:tc>
          <w:tcPr>
            <w:tcW w:type="dxa" w:w="260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Origen ajeno al permitido.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HTTP 403.</w:t>
            </w:r>
          </w:p>
        </w:tc>
        <w:tc>
          <w:tcPr>
            <w:tcW w:type="dxa" w:w="102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Auto + OK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Prueba en producción el 30-oct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TC-09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Token sin sesión.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HTTP 401.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Auto + OK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Prueba en producción el 30-oct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TC-10</w:t>
            </w:r>
          </w:p>
        </w:tc>
        <w:tc>
          <w:tcPr>
            <w:tcW w:type="dxa" w:w="260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Encabezados de seguridad y CSP presentes.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 xml:space="preserve">CSP con hashes, </w:t>
            </w:r>
            <w:r>
              <w:rPr>
                <w:rFonts w:ascii="Consolas" w:hAnsi="Consolas" w:eastAsia="Consolas"/>
                <w:color w:val="0A5C4D"/>
                <w:sz w:val="13"/>
              </w:rPr>
              <w:t>X-Frame-Options: DENY</w:t>
            </w:r>
            <w:r>
              <w:rPr>
                <w:b w:val="0"/>
                <w:i w:val="0"/>
                <w:sz w:val="15"/>
              </w:rPr>
              <w:t>, nosniff.</w:t>
            </w:r>
          </w:p>
        </w:tc>
        <w:tc>
          <w:tcPr>
            <w:tcW w:type="dxa" w:w="102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Auto + OK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3"/>
              </w:rPr>
              <w:t>csp-headers.test.ts</w:t>
            </w:r>
            <w:r>
              <w:rPr>
                <w:b w:val="0"/>
                <w:i w:val="0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0A5C4D"/>
                <w:sz w:val="13"/>
              </w:rPr>
              <w:t>vercel-postbuild.test.ts</w:t>
            </w:r>
            <w:r>
              <w:rPr>
                <w:b w:val="0"/>
                <w:i w:val="0"/>
                <w:sz w:val="15"/>
              </w:rPr>
              <w:t>; respuesta de producción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TC-11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La transcripción no duplica las líneas del usuario.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Una línea por intervención.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Auto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 xml:space="preserve">Prueba con parcial y final del mismo segmento; verificación visual </w:t>
            </w:r>
            <w:r>
              <w:rPr>
                <w:b/>
                <w:i w:val="0"/>
                <w:color w:val="B3261E"/>
                <w:sz w:val="15"/>
              </w:rPr>
              <w:t>[PENDIENTE]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TC-12</w:t>
            </w:r>
          </w:p>
        </w:tc>
        <w:tc>
          <w:tcPr>
            <w:tcW w:type="dxa" w:w="260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Cambiar de micrófono durante la llamada.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La llamada continúa con el micrófono elegido.</w:t>
            </w:r>
          </w:p>
        </w:tc>
        <w:tc>
          <w:tcPr>
            <w:tcW w:type="dxa" w:w="102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Auto / Pend.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 xml:space="preserve">Se listó el micrófono real; el cambio real </w:t>
            </w:r>
            <w:r>
              <w:rPr>
                <w:b/>
                <w:i w:val="0"/>
                <w:color w:val="B3261E"/>
                <w:sz w:val="15"/>
              </w:rPr>
              <w:t>[PENDIENTE]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TC-13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Silenciar y reactivar el micrófono.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El agente no escucha mientras está silenciado; la interfaz lo indica.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Auto / Pend.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 xml:space="preserve">Verificación real </w:t>
            </w:r>
            <w:r>
              <w:rPr>
                <w:b/>
                <w:i w:val="0"/>
                <w:color w:val="B3261E"/>
                <w:sz w:val="15"/>
              </w:rPr>
              <w:t>[PENDIENTE]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TC-14</w:t>
            </w:r>
          </w:p>
        </w:tc>
        <w:tc>
          <w:tcPr>
            <w:tcW w:type="dxa" w:w="260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Latencia de voz a voz ≤ 1 s.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Percentil acordado ≤ 1 s.</w:t>
            </w:r>
          </w:p>
        </w:tc>
        <w:tc>
          <w:tcPr>
            <w:tcW w:type="dxa" w:w="102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No cumple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Mediana 2,59 s (n=13)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TC-15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Eco, ruido e interrupciones falsas.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El agente no se interrumpe sin que la persona hable.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Pend.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Sin pruebas con altavoces ni ruido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TC-16</w:t>
            </w:r>
          </w:p>
        </w:tc>
        <w:tc>
          <w:tcPr>
            <w:tcW w:type="dxa" w:w="260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Llamada telefónica real vía Asterisk.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La llamada se completa y registra su latencia.</w:t>
            </w:r>
          </w:p>
        </w:tc>
        <w:tc>
          <w:tcPr>
            <w:tcW w:type="dxa" w:w="102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Pend.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Sin acceso al entorno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TC-17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El agente de cobranza confirma identidad y es respetuoso.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No menciona la deuda a terceros; sin amenazas.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OK*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Probado con la voz sintética; faltan casos límite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TC-18</w:t>
            </w:r>
          </w:p>
        </w:tc>
        <w:tc>
          <w:tcPr>
            <w:tcW w:type="dxa" w:w="260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Historial local: guardar, descargar y borrar.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Se conserva en el navegador y no se envía fuera.</w:t>
            </w:r>
          </w:p>
        </w:tc>
        <w:tc>
          <w:tcPr>
            <w:tcW w:type="dxa" w:w="102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Auto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3"/>
              </w:rPr>
              <w:t>history.test.ts</w:t>
            </w:r>
          </w:p>
        </w:tc>
      </w:tr>
    </w:tbl>
    <w:p>
      <w:pPr>
        <w:spacing w:after="40"/>
      </w:pPr>
    </w:p>
    <w:p>
      <w:pPr>
        <w:pStyle w:val="Heading1"/>
      </w:pPr>
      <w:r>
        <w:t>6. Protocolo propuesto de medición de latencia</w:t>
      </w:r>
    </w:p>
    <w:p>
      <w:pPr>
        <w:jc w:val="both"/>
      </w:pPr>
      <w:r>
        <w:rPr>
          <w:b/>
          <w:i w:val="0"/>
          <w:color w:val="1F5FA8"/>
        </w:rPr>
        <w:t>[PROPUESTA]</w:t>
      </w:r>
      <w:r>
        <w:rPr>
          <w:b w:val="0"/>
          <w:i w:val="0"/>
        </w:rPr>
        <w:t xml:space="preserve"> Para poder afirmar si se cumple el requisito de Alloxentric hay que acordar una medición repetible. Esto es lo que el equipo propone validar con el cliente: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703"/>
        <w:gridCol w:w="4703"/>
      </w:tblGrid>
      <w:tr>
        <w:trPr>
          <w:tblHeader w:val="true"/>
        </w:trPr>
        <w:tc>
          <w:tcPr>
            <w:tcW w:type="dxa" w:w="238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690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Propuesta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/>
                <w:i w:val="0"/>
                <w:sz w:val="18"/>
              </w:rPr>
              <w:t>Evento de inicio</w:t>
            </w:r>
          </w:p>
        </w:tc>
        <w:tc>
          <w:tcPr>
            <w:tcW w:type="dxa" w:w="669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Instante en que el VAD detecta el fin de la frase de la persona.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sz w:val="18"/>
              </w:rPr>
              <w:t>Evento de término</w:t>
            </w:r>
          </w:p>
        </w:tc>
        <w:tc>
          <w:tcPr>
            <w:tcW w:type="dxa" w:w="669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 xml:space="preserve">Instante en que el agente empieza a emitir audio (el valor </w:t>
            </w:r>
            <w:r>
              <w:rPr>
                <w:rFonts w:ascii="Consolas" w:hAnsi="Consolas" w:eastAsia="Consolas"/>
                <w:color w:val="0A5C4D"/>
                <w:sz w:val="16"/>
              </w:rPr>
              <w:t>e2e_latency_s</w:t>
            </w:r>
            <w:r>
              <w:rPr>
                <w:b w:val="0"/>
                <w:i w:val="0"/>
                <w:sz w:val="18"/>
              </w:rPr>
              <w:t xml:space="preserve"> del SDK).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/>
                <w:i w:val="0"/>
                <w:sz w:val="18"/>
              </w:rPr>
              <w:t>Muestra mínima</w:t>
            </w:r>
          </w:p>
        </w:tc>
        <w:tc>
          <w:tcPr>
            <w:tcW w:type="dxa" w:w="669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Al menos 30 turnos con dato, repartidos en 3 o más sesiones, con voz humana y distintos agentes.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sz w:val="18"/>
              </w:rPr>
              <w:t>Estadísticos a informar</w:t>
            </w:r>
          </w:p>
        </w:tc>
        <w:tc>
          <w:tcPr>
            <w:tcW w:type="dxa" w:w="669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Mediana, percentil 90, porcentaje de turnos sobre 1 s y sobre 3 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/>
                <w:i w:val="0"/>
                <w:sz w:val="18"/>
              </w:rPr>
              <w:t>Condiciones a registrar</w:t>
            </w:r>
          </w:p>
        </w:tc>
        <w:tc>
          <w:tcPr>
            <w:tcW w:type="dxa" w:w="669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Versión del código (commit), proveedores y modelos, red, dispositivo, navegador y hora.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sz w:val="18"/>
              </w:rPr>
              <w:t>Evidencia</w:t>
            </w:r>
          </w:p>
        </w:tc>
        <w:tc>
          <w:tcPr>
            <w:tcW w:type="dxa" w:w="669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Extracto numérico del log de cada sesión archivado en el repositorio de evidencias, sin conversaciones ni secretos.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/>
                <w:i w:val="0"/>
                <w:sz w:val="18"/>
              </w:rPr>
              <w:t>Umbral</w:t>
            </w:r>
          </w:p>
        </w:tc>
        <w:tc>
          <w:tcPr>
            <w:tcW w:type="dxa" w:w="6690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B3261E"/>
                <w:sz w:val="18"/>
              </w:rPr>
              <w:t>[PENDIENTE]</w:t>
            </w:r>
            <w:r>
              <w:rPr>
                <w:b w:val="0"/>
                <w:i w:val="0"/>
                <w:sz w:val="18"/>
              </w:rPr>
              <w:t xml:space="preserve"> A definir con Alloxentric (≤ 1 s según Max; indicar si es mediana o P90).</w:t>
            </w:r>
          </w:p>
        </w:tc>
      </w:tr>
    </w:tbl>
    <w:p>
      <w:pPr>
        <w:spacing w:after="40"/>
      </w:pPr>
    </w:p>
    <w:p>
      <w:pPr>
        <w:pStyle w:val="Heading1"/>
      </w:pPr>
      <w:r>
        <w:t>7. Defectos y hallazgos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2835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Hallazgo</w:t>
            </w:r>
          </w:p>
        </w:tc>
        <w:tc>
          <w:tcPr>
            <w:tcW w:type="dxa" w:w="204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Cómo se detectó</w:t>
            </w:r>
          </w:p>
        </w:tc>
        <w:tc>
          <w:tcPr>
            <w:tcW w:type="dxa" w:w="2948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Corrección o decisión</w:t>
            </w:r>
          </w:p>
        </w:tc>
        <w:tc>
          <w:tcPr>
            <w:tcW w:type="dxa" w:w="1247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Líneas del usuario duplicadas en la transcripción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Prueba con voz humana; captura de los streams de LiveKit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Agrupar por </w:t>
            </w:r>
            <w:r>
              <w:rPr>
                <w:rFonts w:ascii="Consolas" w:hAnsi="Consolas" w:eastAsia="Consolas"/>
                <w:color w:val="0A5C4D"/>
                <w:sz w:val="14"/>
              </w:rPr>
              <w:t>lk.segment_id</w:t>
            </w:r>
            <w:r>
              <w:rPr>
                <w:b w:val="0"/>
                <w:i w:val="0"/>
                <w:sz w:val="16"/>
              </w:rPr>
              <w:t>; prueba automática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Corregido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HTTP 500 por contexto de funciones (Netlify)</w:t>
            </w:r>
          </w:p>
        </w:tc>
        <w:tc>
          <w:tcPr>
            <w:tcW w:type="dxa" w:w="204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Despliegue manual</w:t>
            </w:r>
          </w:p>
        </w:tc>
        <w:tc>
          <w:tcPr>
            <w:tcW w:type="dxa" w:w="294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 #13 con pruebas de regresión</w:t>
            </w:r>
          </w:p>
        </w:tc>
        <w:tc>
          <w:tcPr>
            <w:tcW w:type="dxa" w:w="124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Corregido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HTTP 502 por empaquetado pnpm en Windows (Netlify)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Despliegue manual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Documentado en </w:t>
            </w:r>
            <w:r>
              <w:rPr>
                <w:rFonts w:ascii="Consolas" w:hAnsi="Consolas" w:eastAsia="Consolas"/>
                <w:color w:val="0A5C4D"/>
                <w:sz w:val="14"/>
              </w:rPr>
              <w:t>docs/incidents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Corregido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ERR_MODULE_NOT_FOUND</w:t>
            </w:r>
            <w:r>
              <w:rPr>
                <w:b w:val="0"/>
                <w:i w:val="0"/>
                <w:sz w:val="16"/>
              </w:rPr>
              <w:t xml:space="preserve"> en las funciones de Vercel</w:t>
            </w:r>
          </w:p>
        </w:tc>
        <w:tc>
          <w:tcPr>
            <w:tcW w:type="dxa" w:w="204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Primer despliegue</w:t>
            </w:r>
          </w:p>
        </w:tc>
        <w:tc>
          <w:tcPr>
            <w:tcW w:type="dxa" w:w="294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Empaquetar cada función con esbuild</w:t>
            </w:r>
          </w:p>
        </w:tc>
        <w:tc>
          <w:tcPr>
            <w:tcW w:type="dxa" w:w="124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Corregido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Despliegue bloqueado por el autor del commit (Vercel Hobby)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Estado «Blocked»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Desplegar desde una carpeta sin metadatos de otro autor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Resuelto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Primera síntesis de cada voz tarda 4–6 s</w:t>
            </w:r>
          </w:p>
        </w:tc>
        <w:tc>
          <w:tcPr>
            <w:tcW w:type="dxa" w:w="204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Medición de 12 voces</w:t>
            </w:r>
          </w:p>
        </w:tc>
        <w:tc>
          <w:tcPr>
            <w:tcW w:type="dxa" w:w="294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Precalentamiento al iniciar el worker</w:t>
            </w:r>
          </w:p>
        </w:tc>
        <w:tc>
          <w:tcPr>
            <w:tcW w:type="dxa" w:w="124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Mitigado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gemini-3.8-flash</w:t>
            </w:r>
            <w:r>
              <w:rPr>
                <w:b w:val="0"/>
                <w:i w:val="0"/>
                <w:sz w:val="16"/>
              </w:rPr>
              <w:t xml:space="preserve"> no admite thinking mínimo y es el más lento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Medición de modelos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Cambio a </w:t>
            </w:r>
            <w:r>
              <w:rPr>
                <w:rFonts w:ascii="Consolas" w:hAnsi="Consolas" w:eastAsia="Consolas"/>
                <w:color w:val="0A5C4D"/>
                <w:sz w:val="14"/>
              </w:rPr>
              <w:t>gemini-3.1-flash-lite</w:t>
            </w:r>
            <w:r>
              <w:rPr>
                <w:b w:val="0"/>
                <w:i w:val="0"/>
                <w:sz w:val="16"/>
              </w:rPr>
              <w:t xml:space="preserve">; variable </w:t>
            </w:r>
            <w:r>
              <w:rPr>
                <w:rFonts w:ascii="Consolas" w:hAnsi="Consolas" w:eastAsia="Consolas"/>
                <w:color w:val="0A5C4D"/>
                <w:sz w:val="14"/>
              </w:rPr>
              <w:t>GEMINI_THINKING_LEVEL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Corregido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El script de verificación de Chirp 3 imprimía el mensaje del proveedor y no fallaba con código distinto de 0</w:t>
            </w:r>
          </w:p>
        </w:tc>
        <w:tc>
          <w:tcPr>
            <w:tcW w:type="dxa" w:w="204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Revisión del PR #6 por Fernando</w:t>
            </w:r>
          </w:p>
        </w:tc>
        <w:tc>
          <w:tcPr>
            <w:tcW w:type="dxa" w:w="294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Códigos de salida 0/1/2 y mensajes sin detalles; se silencian los logs del plugin</w:t>
            </w:r>
          </w:p>
        </w:tc>
        <w:tc>
          <w:tcPr>
            <w:tcW w:type="dxa" w:w="124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Corregido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Netlify CLI no corre en Windows sin permisos de enlaces simbólicos (EPERM)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Prueba local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Servidor local de desarrollo alternativo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Resuelto (solo local)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Latencia por sobre el requisito</w:t>
            </w:r>
          </w:p>
        </w:tc>
        <w:tc>
          <w:tcPr>
            <w:tcW w:type="dxa" w:w="204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Mediciones del 30-oct</w:t>
            </w:r>
          </w:p>
        </w:tc>
        <w:tc>
          <w:tcPr>
            <w:tcW w:type="dxa" w:w="294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Palancas en D01 §6; decisión con Alloxentric</w:t>
            </w:r>
          </w:p>
        </w:tc>
        <w:tc>
          <w:tcPr>
            <w:tcW w:type="dxa" w:w="1247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sz w:val="16"/>
              </w:rPr>
              <w:t>Abierto</w:t>
            </w:r>
          </w:p>
        </w:tc>
      </w:tr>
    </w:tbl>
    <w:p>
      <w:pPr>
        <w:spacing w:after="40"/>
      </w:pPr>
    </w:p>
    <w:p>
      <w:pPr>
        <w:pStyle w:val="Heading1"/>
      </w:pPr>
      <w:r>
        <w:t>8. Limitaciones</w:t>
      </w:r>
    </w:p>
    <w:p>
      <w:pPr>
        <w:pStyle w:val="ListBullet"/>
        <w:spacing w:after="40"/>
      </w:pPr>
      <w:r>
        <w:rPr>
          <w:b w:val="0"/>
          <w:i w:val="0"/>
        </w:rPr>
        <w:t>Muestra pequeña y una sola ubicación de red; no hay pruebas de usuarios concurrentes ni de sesiones largas.</w:t>
      </w:r>
    </w:p>
    <w:p>
      <w:pPr>
        <w:pStyle w:val="ListBullet"/>
        <w:spacing w:after="40"/>
      </w:pPr>
      <w:r>
        <w:rPr>
          <w:b w:val="0"/>
          <w:i w:val="0"/>
        </w:rPr>
        <w:t>Las mediciones de las secciones 4.1 a 4.3 no tienen archivo de respaldo; solo se archivó el extracto E01 de la sección 4.4.</w:t>
      </w:r>
    </w:p>
    <w:p>
      <w:pPr>
        <w:pStyle w:val="ListBullet"/>
        <w:spacing w:after="40"/>
      </w:pPr>
      <w:r>
        <w:rPr>
          <w:b w:val="0"/>
          <w:i w:val="0"/>
        </w:rPr>
        <w:t>No se han probado otros navegadores ni dispositivos móviles.</w:t>
      </w:r>
    </w:p>
    <w:p>
      <w:pPr>
        <w:pStyle w:val="ListBullet"/>
        <w:spacing w:after="40"/>
      </w:pPr>
      <w:r>
        <w:rPr>
          <w:b w:val="0"/>
          <w:i w:val="0"/>
        </w:rPr>
        <w:t>No hay integración continua ni informe automático de cobertura.</w:t>
      </w:r>
    </w:p>
    <w:p>
      <w:pPr>
        <w:pStyle w:val="ListBullet"/>
        <w:spacing w:after="40"/>
      </w:pPr>
      <w:r>
        <w:rPr>
          <w:b w:val="0"/>
          <w:i w:val="0"/>
        </w:rPr>
        <w:t>Las pruebas de cobranza usan datos ficticios y no sustituyen la validación con el guion oficial.</w:t>
      </w:r>
    </w:p>
    <w:p>
      <w:pPr>
        <w:pStyle w:val="Heading1"/>
      </w:pPr>
      <w:r>
        <w:t>9. Evidencia archivada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907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4082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4082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E01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E01_Evidencia_Metricas_Latencia_2026-10-30.txt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5 sesiones y 22 turnos del worker, solo valores numéricos de latencia y uso; sin texto de conversaciones, audio ni secretos.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304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F7273"/>
        <w:sz w:val="17"/>
      </w:rPr>
      <w:t xml:space="preserve">Alloxentric Real Time Agent — Plan de pruebas y resultados   |   Página </w:t>
    </w:r>
    <w:r>
      <w:rPr>
        <w:color w:val="6F7273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6F7273"/>
        <w:sz w:val="17"/>
      </w:rPr>
      <w:t xml:space="preserve"> de </w:t>
    </w:r>
    <w:r>
      <w:rPr>
        <w:color w:val="6F7273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4444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A7D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A7D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y resultados — Alloxentric Real Time Agent</dc:title>
  <dc:subject/>
  <dc:creator>Equipo DART_14 — Alloxentric Real Time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