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1725C9" w14:textId="77777777" w:rsidR="0003309E" w:rsidRDefault="0003309E" w:rsidP="0003309E">
      <w:bookmarkStart w:id="0" w:name="_GoBack"/>
      <w:bookmarkEnd w:id="0"/>
    </w:p>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62B29CFD" w14:textId="12228CA9" w:rsidR="0003309E" w:rsidRDefault="0003309E" w:rsidP="00585A13">
            <w:pPr>
              <w:jc w:val="both"/>
              <w:rPr>
                <w:rFonts w:ascii="Calibri" w:hAnsi="Calibri" w:cs="Arial"/>
                <w:i/>
                <w:color w:val="548DD4"/>
                <w:sz w:val="20"/>
                <w:szCs w:val="20"/>
                <w:lang w:eastAsia="es-CL"/>
              </w:rPr>
            </w:pPr>
            <w:r w:rsidRPr="00711C16">
              <w:rPr>
                <w:rFonts w:ascii="Calibri" w:hAnsi="Calibri" w:cs="Arial"/>
                <w:i/>
                <w:color w:val="548DD4"/>
                <w:sz w:val="20"/>
                <w:szCs w:val="20"/>
                <w:lang w:eastAsia="es-CL"/>
              </w:rPr>
              <w:t xml:space="preserve">En esta </w:t>
            </w:r>
            <w:r>
              <w:rPr>
                <w:rFonts w:ascii="Calibri" w:hAnsi="Calibri" w:cs="Arial"/>
                <w:i/>
                <w:color w:val="548DD4"/>
                <w:sz w:val="20"/>
                <w:szCs w:val="20"/>
                <w:lang w:eastAsia="es-CL"/>
              </w:rPr>
              <w:t>sección</w:t>
            </w:r>
            <w:r w:rsidRPr="00711C16">
              <w:rPr>
                <w:rFonts w:ascii="Calibri" w:hAnsi="Calibri" w:cs="Arial"/>
                <w:i/>
                <w:color w:val="548DD4"/>
                <w:sz w:val="20"/>
                <w:szCs w:val="20"/>
                <w:lang w:eastAsia="es-CL"/>
              </w:rPr>
              <w:t xml:space="preserve"> deberá</w:t>
            </w:r>
            <w:r>
              <w:rPr>
                <w:rFonts w:ascii="Calibri" w:hAnsi="Calibri" w:cs="Arial"/>
                <w:i/>
                <w:color w:val="548DD4"/>
                <w:sz w:val="20"/>
                <w:szCs w:val="20"/>
                <w:lang w:eastAsia="es-CL"/>
              </w:rPr>
              <w:t>s</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realizar un resumen de los avances que has realizado en tu proyecto APT. </w:t>
            </w:r>
            <w:r w:rsidR="009E52DF">
              <w:rPr>
                <w:rFonts w:ascii="Calibri" w:hAnsi="Calibri" w:cs="Arial"/>
                <w:i/>
                <w:color w:val="548DD4"/>
                <w:sz w:val="20"/>
                <w:szCs w:val="20"/>
                <w:lang w:eastAsia="es-CL"/>
              </w:rPr>
              <w:t xml:space="preserve">Relata </w:t>
            </w:r>
            <w:r w:rsidR="00FD5149">
              <w:rPr>
                <w:rFonts w:ascii="Calibri" w:hAnsi="Calibri" w:cs="Arial"/>
                <w:i/>
                <w:color w:val="548DD4"/>
                <w:sz w:val="20"/>
                <w:szCs w:val="20"/>
                <w:lang w:eastAsia="es-CL"/>
              </w:rPr>
              <w:t xml:space="preserve">brevemente </w:t>
            </w:r>
            <w:r w:rsidR="009E52DF">
              <w:rPr>
                <w:rFonts w:ascii="Calibri" w:hAnsi="Calibri" w:cs="Arial"/>
                <w:i/>
                <w:color w:val="548DD4"/>
                <w:sz w:val="20"/>
                <w:szCs w:val="20"/>
                <w:lang w:eastAsia="es-CL"/>
              </w:rPr>
              <w:t xml:space="preserve">qué </w:t>
            </w:r>
            <w:r w:rsidR="00FD5149">
              <w:rPr>
                <w:rFonts w:ascii="Calibri" w:hAnsi="Calibri" w:cs="Arial"/>
                <w:i/>
                <w:color w:val="548DD4"/>
                <w:sz w:val="20"/>
                <w:szCs w:val="20"/>
                <w:lang w:eastAsia="es-CL"/>
              </w:rPr>
              <w:t xml:space="preserve">actividades </w:t>
            </w:r>
            <w:r w:rsidR="009E52DF">
              <w:rPr>
                <w:rFonts w:ascii="Calibri" w:hAnsi="Calibri" w:cs="Arial"/>
                <w:i/>
                <w:color w:val="548DD4"/>
                <w:sz w:val="20"/>
                <w:szCs w:val="20"/>
                <w:lang w:eastAsia="es-CL"/>
              </w:rPr>
              <w:t>del proyecto has llevado a cabo y qué objetivos específicos has cumplido hasta el minuto y de qué manera.</w:t>
            </w:r>
          </w:p>
          <w:p w14:paraId="6C70E0C9" w14:textId="2A0F6A62" w:rsidR="0003309E" w:rsidRPr="00711C16" w:rsidRDefault="0003309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En caso que hayas realizado ajustes a los objetivos o metodología, debes incluir dichos apartados nuevamente en este informe, señalando cuáles son dichos ajustes.</w:t>
            </w:r>
          </w:p>
          <w:p>
            <w:pPr>
              <w:keepNext/>
              <w:spacing w:after="40" w:before="160" w:line="240" w:lineRule="auto"/>
              <w:jc w:val="left"/>
            </w:pPr>
            <w:r>
              <w:rPr>
                <w:rFonts w:ascii="Calibri" w:hAnsi="Calibri" w:cs="Calibri"/>
                <w:b/>
                <w:i w:val="0"/>
                <w:color w:val="1F3864"/>
                <w:sz w:val="20"/>
              </w:rPr>
              <w:t>Identificación y fecha de corte</w:t>
            </w:r>
          </w:p>
          <w:p>
            <w:pPr>
              <w:spacing w:after="60" w:before="0" w:line="240" w:lineRule="auto"/>
              <w:jc w:val="both"/>
            </w:pPr>
            <w:r>
              <w:rPr>
                <w:rFonts w:ascii="Calibri" w:hAnsi="Calibri" w:cs="Calibri"/>
                <w:b w:val="0"/>
                <w:i w:val="0"/>
                <w:sz w:val="20"/>
              </w:rPr>
              <w:t>Proyecto Alloxentric Real Time Agent. Equipo DART_14: Juan Díaz, Fernando Olguea y David Sepúlveda. Fecha de corte: 10 de octubre de 2026 (semana 9 del calendario académico). Este informe separa lo que está implementado de forma individual de lo que está integrado y validado, y marca como pendiente lo que el equipo aún debe confirmar.</w:t>
            </w:r>
          </w:p>
          <w:p>
            <w:pPr>
              <w:keepNext/>
              <w:spacing w:after="40" w:before="120" w:line="240" w:lineRule="auto"/>
              <w:jc w:val="left"/>
            </w:pPr>
            <w:r>
              <w:rPr>
                <w:rFonts w:ascii="Calibri" w:hAnsi="Calibri" w:cs="Calibri"/>
                <w:b/>
                <w:i w:val="0"/>
                <w:color w:val="1F3864"/>
                <w:sz w:val="20"/>
              </w:rPr>
              <w:t>Estado general del proyecto</w:t>
            </w:r>
          </w:p>
          <w:p>
            <w:pPr>
              <w:spacing w:after="60" w:before="0" w:line="240" w:lineRule="auto"/>
              <w:jc w:val="both"/>
            </w:pPr>
            <w:r>
              <w:rPr>
                <w:rFonts w:ascii="Calibri" w:hAnsi="Calibri" w:cs="Calibri"/>
                <w:b w:val="0"/>
                <w:i w:val="0"/>
                <w:sz w:val="20"/>
              </w:rPr>
              <w:t>El equipo desarrolla un MVP funcional de un agente conversacional de voz en tiempo real para el escenario de cobranza, cuyo flujo conversacional toma como referencia el flujo de Hites proporcionado por Alloxentric. El proyecto está en la etapa de construcción de componentes (actividad A6, semanas 7 a 13 del plan). La base de LiveKit, DeepSeek y ElevenLabs están implementados y fusionados en el repositorio técnico, cada uno de forma individual. Speechmatics todavía no está validado y el pipeline completo no está integrado, por lo que el agente aún no sostiene una conversación de voz de punta a punta. La plataforma SaaS empresarial completa queda fuera del alcance del MVP, lo que es coherente con las exclusiones definidas en Fase 1 (no construir una plataforma de campañas).</w:t>
            </w:r>
          </w:p>
          <w:p>
            <w:pPr>
              <w:keepNext/>
              <w:spacing w:after="40" w:before="120" w:line="240" w:lineRule="auto"/>
              <w:jc w:val="left"/>
            </w:pPr>
            <w:r>
              <w:rPr>
                <w:rFonts w:ascii="Calibri" w:hAnsi="Calibri" w:cs="Calibri"/>
                <w:b/>
                <w:i w:val="0"/>
                <w:color w:val="1F3864"/>
                <w:sz w:val="20"/>
              </w:rPr>
              <w:t>Actividades de gestión y preparación</w:t>
            </w:r>
          </w:p>
          <w:p>
            <w:pPr>
              <w:spacing w:after="60" w:before="0" w:line="240" w:lineRule="auto"/>
              <w:jc w:val="both"/>
            </w:pPr>
            <w:r>
              <w:rPr>
                <w:rFonts w:ascii="Calibri" w:hAnsi="Calibri" w:cs="Calibri"/>
                <w:b w:val="0"/>
                <w:i w:val="0"/>
                <w:sz w:val="20"/>
              </w:rPr>
              <w:t xml:space="preserve">Entre el 23 de septiembre y el 8 de octubre se creó el repositorio técnico, se definieron los lineamientos de desarrollo y se acordó una estrategia Git con ramas por ticket (DART-14-1.4 a 1.6), Pull Requests hacia la rama principal y revisión entre integrantes (PR #1, EV-002). El seguimiento de las tareas se realiza en CoreStream y GitHub, y el equipo mantiene reuniones semanales de seguimiento con Karina, representante de Alloxentric. </w:t>
            </w:r>
            <w:r>
              <w:rPr>
                <w:rFonts w:ascii="Calibri" w:hAnsi="Calibri" w:cs="Calibri"/>
                <w:b/>
                <w:i w:val="0"/>
                <w:sz w:val="20"/>
              </w:rPr>
              <w:t>[PENDIENTE DE VALIDACIÓN]</w:t>
            </w:r>
            <w:r>
              <w:rPr>
                <w:rFonts w:ascii="Calibri" w:hAnsi="Calibri" w:cs="Calibri"/>
                <w:b w:val="0"/>
                <w:i w:val="0"/>
                <w:sz w:val="20"/>
              </w:rPr>
              <w:t xml:space="preserve"> Las actas o registros de CoreStream y de esas reuniones no están adjuntos a este informe.</w:t>
            </w:r>
          </w:p>
          <w:p>
            <w:pPr>
              <w:keepNext/>
              <w:spacing w:after="40" w:before="120" w:line="240" w:lineRule="auto"/>
              <w:jc w:val="left"/>
            </w:pPr>
            <w:r>
              <w:rPr>
                <w:rFonts w:ascii="Calibri" w:hAnsi="Calibri" w:cs="Calibri"/>
                <w:b/>
                <w:i w:val="0"/>
                <w:color w:val="1F3864"/>
                <w:sz w:val="20"/>
              </w:rPr>
              <w:t>Avances técnicos y componentes implementados</w:t>
            </w:r>
          </w:p>
          <w:p>
            <w:pPr>
              <w:spacing w:after="40" w:before="0" w:line="240" w:lineRule="auto"/>
              <w:ind w:left="280" w:hanging="200"/>
              <w:jc w:val="both"/>
            </w:pPr>
            <w:r>
              <w:rPr>
                <w:rFonts w:ascii="Calibri" w:hAnsi="Calibri" w:cs="Calibri"/>
                <w:b w:val="0"/>
                <w:i w:val="0"/>
                <w:sz w:val="20"/>
              </w:rPr>
              <w:t>• Base LiveKit Agents (Fernando): entorno Python con dependencias fijadas, esqueleto de agente y validación de configuración (PR #2, fusionado el 7 de octubre; EV-003, EV-004). Es la base del agente y todavía no incluye un pipeline conversacional.</w:t>
            </w:r>
          </w:p>
          <w:p>
            <w:pPr>
              <w:spacing w:after="40" w:before="0" w:line="240" w:lineRule="auto"/>
              <w:ind w:left="280" w:hanging="200"/>
              <w:jc w:val="both"/>
            </w:pPr>
            <w:r>
              <w:rPr>
                <w:rFonts w:ascii="Calibri" w:hAnsi="Calibri" w:cs="Calibri"/>
                <w:b w:val="0"/>
                <w:i w:val="0"/>
                <w:sz w:val="20"/>
              </w:rPr>
              <w:t>• DeepSeek LLM (Fernando): componente construido con el plugin oficial de LiveKit, con modelo y configuración explícitos, 9 pruebas que no usan la red y un script de verificación manual (PR #3, fusionado el 8 de octubre; EV-005 a EV-007).</w:t>
            </w:r>
          </w:p>
          <w:p>
            <w:pPr>
              <w:spacing w:after="40" w:before="0" w:line="240" w:lineRule="auto"/>
              <w:ind w:left="280" w:hanging="200"/>
              <w:jc w:val="both"/>
            </w:pPr>
            <w:r>
              <w:rPr>
                <w:rFonts w:ascii="Calibri" w:hAnsi="Calibri" w:cs="Calibri"/>
                <w:b w:val="0"/>
                <w:i w:val="0"/>
                <w:sz w:val="20"/>
              </w:rPr>
              <w:t>• ElevenLabs TTS (David): componente construido con el plugin oficial, con 14 pruebas que no usan la red y un script de verificación manual (PR #4, fusionado el 8 de octubre; EV-010 a EV-012).</w:t>
            </w:r>
          </w:p>
          <w:p>
            <w:pPr>
              <w:spacing w:after="40" w:before="0" w:line="240" w:lineRule="auto"/>
              <w:ind w:left="280" w:hanging="200"/>
              <w:jc w:val="both"/>
            </w:pPr>
            <w:r>
              <w:rPr>
                <w:rFonts w:ascii="Calibri" w:hAnsi="Calibri" w:cs="Calibri"/>
                <w:b w:val="0"/>
                <w:i w:val="0"/>
                <w:sz w:val="20"/>
              </w:rPr>
              <w:t>• Speechmatics STT (Juan): no validado a la fecha de corte; no hay código de este componente fusionado en la rama principal del repositorio técnico. Juan se comprometió a tenerlo listo para la reunión del miércoles 14 de octubre. Ese compromiso no equivale a una implementación completada.</w:t>
            </w:r>
          </w:p>
          <w:p>
            <w:pPr>
              <w:spacing w:after="40" w:before="80" w:line="240" w:lineRule="auto"/>
              <w:jc w:val="both"/>
            </w:pPr>
            <w:r>
              <w:rPr>
                <w:rFonts w:ascii="Calibri" w:hAnsi="Calibri" w:cs="Calibri"/>
                <w:b w:val="0"/>
                <w:i w:val="0"/>
                <w:sz w:val="20"/>
              </w:rPr>
              <w:t>Estado por componente a la fecha de corte:</w:t>
            </w:r>
          </w:p>
          <w:tbl>
            <w:tblPr>
              <w:tblStyle w:val="Tablaconcuadrcula"/>
              <w:tblW w:type="auto" w:w="0"/>
              <w:tblLayout w:type="fixed"/>
              <w:tblLook w:firstColumn="1" w:firstRow="1" w:lastColumn="0" w:lastRow="0" w:noHBand="0" w:noVBand="1" w:val="04A0"/>
              <w:tblLayout w:type="fixed"/>
            </w:tblPr>
            <w:tblGrid>
              <w:gridCol w:w="1185"/>
              <w:gridCol w:w="1185"/>
              <w:gridCol w:w="1185"/>
              <w:gridCol w:w="1185"/>
              <w:gridCol w:w="1185"/>
              <w:gridCol w:w="1185"/>
            </w:tblGrid>
            <w:tr>
              <w:trPr>
                <w:tblHeader/>
              </w:trPr>
              <w:tc>
                <w:tcPr>
                  <w:tcW w:type="dxa" w:w="1350"/>
                  <w:shd w:val="clear" w:color="auto" w:fill="D9E2F3"/>
                </w:tcPr>
                <w:p>
                  <w:pPr>
                    <w:spacing w:after="20" w:before="20" w:line="240" w:lineRule="auto"/>
                    <w:jc w:val="left"/>
                  </w:pPr>
                  <w:r>
                    <w:rPr>
                      <w:rFonts w:ascii="Calibri" w:hAnsi="Calibri" w:cs="Calibri"/>
                      <w:b/>
                      <w:i w:val="0"/>
                      <w:sz w:val="16"/>
                    </w:rPr>
                    <w:t>Componente</w:t>
                  </w:r>
                </w:p>
              </w:tc>
              <w:tc>
                <w:tcPr>
                  <w:tcW w:type="dxa" w:w="850"/>
                  <w:shd w:val="clear" w:color="auto" w:fill="D9E2F3"/>
                </w:tcPr>
                <w:p>
                  <w:pPr>
                    <w:spacing w:after="20" w:before="20" w:line="240" w:lineRule="auto"/>
                    <w:jc w:val="left"/>
                  </w:pPr>
                  <w:r>
                    <w:rPr>
                      <w:rFonts w:ascii="Calibri" w:hAnsi="Calibri" w:cs="Calibri"/>
                      <w:b/>
                      <w:i w:val="0"/>
                      <w:sz w:val="16"/>
                    </w:rPr>
                    <w:t>Responsable</w:t>
                  </w:r>
                </w:p>
              </w:tc>
              <w:tc>
                <w:tcPr>
                  <w:tcW w:type="dxa" w:w="1000"/>
                  <w:shd w:val="clear" w:color="auto" w:fill="D9E2F3"/>
                </w:tcPr>
                <w:p>
                  <w:pPr>
                    <w:spacing w:after="20" w:before="20" w:line="240" w:lineRule="auto"/>
                    <w:jc w:val="left"/>
                  </w:pPr>
                  <w:r>
                    <w:rPr>
                      <w:rFonts w:ascii="Calibri" w:hAnsi="Calibri" w:cs="Calibri"/>
                      <w:b/>
                      <w:i w:val="0"/>
                      <w:sz w:val="16"/>
                    </w:rPr>
                    <w:t>Implementado</w:t>
                  </w:r>
                </w:p>
              </w:tc>
              <w:tc>
                <w:tcPr>
                  <w:tcW w:type="dxa" w:w="1800"/>
                  <w:shd w:val="clear" w:color="auto" w:fill="D9E2F3"/>
                </w:tcPr>
                <w:p>
                  <w:pPr>
                    <w:spacing w:after="20" w:before="20" w:line="240" w:lineRule="auto"/>
                    <w:jc w:val="left"/>
                  </w:pPr>
                  <w:r>
                    <w:rPr>
                      <w:rFonts w:ascii="Calibri" w:hAnsi="Calibri" w:cs="Calibri"/>
                      <w:b/>
                      <w:i w:val="0"/>
                      <w:sz w:val="16"/>
                    </w:rPr>
                    <w:t>Probado</w:t>
                  </w:r>
                </w:p>
              </w:tc>
              <w:tc>
                <w:tcPr>
                  <w:tcW w:type="dxa" w:w="950"/>
                  <w:shd w:val="clear" w:color="auto" w:fill="D9E2F3"/>
                </w:tcPr>
                <w:p>
                  <w:pPr>
                    <w:spacing w:after="20" w:before="20" w:line="240" w:lineRule="auto"/>
                    <w:jc w:val="left"/>
                  </w:pPr>
                  <w:r>
                    <w:rPr>
                      <w:rFonts w:ascii="Calibri" w:hAnsi="Calibri" w:cs="Calibri"/>
                      <w:b/>
                      <w:i w:val="0"/>
                      <w:sz w:val="16"/>
                    </w:rPr>
                    <w:t>Fusionado</w:t>
                  </w:r>
                </w:p>
              </w:tc>
              <w:tc>
                <w:tcPr>
                  <w:tcW w:type="dxa" w:w="850"/>
                  <w:shd w:val="clear" w:color="auto" w:fill="D9E2F3"/>
                </w:tcPr>
                <w:p>
                  <w:pPr>
                    <w:spacing w:after="20" w:before="20" w:line="240" w:lineRule="auto"/>
                    <w:jc w:val="left"/>
                  </w:pPr>
                  <w:r>
                    <w:rPr>
                      <w:rFonts w:ascii="Calibri" w:hAnsi="Calibri" w:cs="Calibri"/>
                      <w:b/>
                      <w:i w:val="0"/>
                      <w:sz w:val="16"/>
                    </w:rPr>
                    <w:t>Integrado</w:t>
                  </w:r>
                </w:p>
              </w:tc>
            </w:tr>
            <w:tr>
              <w:trPr>
                <w:cantSplit/>
              </w:trPr>
              <w:tc>
                <w:tcPr>
                  <w:tcW w:type="dxa" w:w="1350"/>
                </w:tcPr>
                <w:p>
                  <w:pPr>
                    <w:spacing w:after="20" w:before="20" w:line="240" w:lineRule="auto"/>
                    <w:jc w:val="left"/>
                  </w:pPr>
                  <w:r>
                    <w:rPr>
                      <w:rFonts w:ascii="Calibri" w:hAnsi="Calibri" w:cs="Calibri"/>
                      <w:b w:val="0"/>
                      <w:i w:val="0"/>
                      <w:sz w:val="16"/>
                    </w:rPr>
                    <w:t>Base LiveKit</w:t>
                  </w:r>
                </w:p>
              </w:tc>
              <w:tc>
                <w:tcPr>
                  <w:tcW w:type="dxa" w:w="850"/>
                </w:tcPr>
                <w:p>
                  <w:pPr>
                    <w:spacing w:after="20" w:before="20" w:line="240" w:lineRule="auto"/>
                    <w:jc w:val="left"/>
                  </w:pPr>
                  <w:r>
                    <w:rPr>
                      <w:rFonts w:ascii="Calibri" w:hAnsi="Calibri" w:cs="Calibri"/>
                      <w:b w:val="0"/>
                      <w:i w:val="0"/>
                      <w:sz w:val="16"/>
                    </w:rPr>
                    <w:t>Fernando</w:t>
                  </w:r>
                </w:p>
              </w:tc>
              <w:tc>
                <w:tcPr>
                  <w:tcW w:type="dxa" w:w="1000"/>
                </w:tcPr>
                <w:p>
                  <w:pPr>
                    <w:spacing w:after="20" w:before="20" w:line="240" w:lineRule="auto"/>
                    <w:jc w:val="left"/>
                  </w:pPr>
                  <w:r>
                    <w:rPr>
                      <w:rFonts w:ascii="Calibri" w:hAnsi="Calibri" w:cs="Calibri"/>
                      <w:b w:val="0"/>
                      <w:i w:val="0"/>
                      <w:sz w:val="16"/>
                    </w:rPr>
                    <w:t>Sí (esqueleto)</w:t>
                  </w:r>
                </w:p>
              </w:tc>
              <w:tc>
                <w:tcPr>
                  <w:tcW w:type="dxa" w:w="1800"/>
                </w:tcPr>
                <w:p>
                  <w:pPr>
                    <w:spacing w:after="20" w:before="20" w:line="240" w:lineRule="auto"/>
                    <w:jc w:val="left"/>
                  </w:pPr>
                  <w:r>
                    <w:rPr>
                      <w:rFonts w:ascii="Calibri" w:hAnsi="Calibri" w:cs="Calibri"/>
                      <w:b w:val="0"/>
                      <w:i w:val="0"/>
                      <w:sz w:val="16"/>
                    </w:rPr>
                    <w:t>Pruebas unitarias sin red</w:t>
                  </w:r>
                </w:p>
              </w:tc>
              <w:tc>
                <w:tcPr>
                  <w:tcW w:type="dxa" w:w="950"/>
                </w:tcPr>
                <w:p>
                  <w:pPr>
                    <w:spacing w:after="20" w:before="20" w:line="240" w:lineRule="auto"/>
                    <w:jc w:val="left"/>
                  </w:pPr>
                  <w:r>
                    <w:rPr>
                      <w:rFonts w:ascii="Calibri" w:hAnsi="Calibri" w:cs="Calibri"/>
                      <w:b w:val="0"/>
                      <w:i w:val="0"/>
                      <w:sz w:val="16"/>
                    </w:rPr>
                    <w:t>Sí (PR #2)</w:t>
                  </w:r>
                </w:p>
              </w:tc>
              <w:tc>
                <w:tcPr>
                  <w:tcW w:type="dxa" w:w="850"/>
                </w:tcPr>
                <w:p>
                  <w:pPr>
                    <w:spacing w:after="20" w:before="20" w:line="240" w:lineRule="auto"/>
                    <w:jc w:val="left"/>
                  </w:pPr>
                  <w:r>
                    <w:rPr>
                      <w:rFonts w:ascii="Calibri" w:hAnsi="Calibri" w:cs="Calibri"/>
                      <w:b w:val="0"/>
                      <w:i w:val="0"/>
                      <w:sz w:val="16"/>
                    </w:rPr>
                    <w:t>No</w:t>
                  </w:r>
                </w:p>
              </w:tc>
            </w:tr>
            <w:tr>
              <w:trPr>
                <w:cantSplit/>
              </w:trPr>
              <w:tc>
                <w:tcPr>
                  <w:tcW w:type="dxa" w:w="1350"/>
                </w:tcPr>
                <w:p>
                  <w:pPr>
                    <w:spacing w:after="20" w:before="20" w:line="240" w:lineRule="auto"/>
                    <w:jc w:val="left"/>
                  </w:pPr>
                  <w:r>
                    <w:rPr>
                      <w:rFonts w:ascii="Calibri" w:hAnsi="Calibri" w:cs="Calibri"/>
                      <w:b w:val="0"/>
                      <w:i w:val="0"/>
                      <w:sz w:val="16"/>
                    </w:rPr>
                    <w:t>Speechmatics STT</w:t>
                  </w:r>
                </w:p>
              </w:tc>
              <w:tc>
                <w:tcPr>
                  <w:tcW w:type="dxa" w:w="850"/>
                </w:tcPr>
                <w:p>
                  <w:pPr>
                    <w:spacing w:after="20" w:before="20" w:line="240" w:lineRule="auto"/>
                    <w:jc w:val="left"/>
                  </w:pPr>
                  <w:r>
                    <w:rPr>
                      <w:rFonts w:ascii="Calibri" w:hAnsi="Calibri" w:cs="Calibri"/>
                      <w:b w:val="0"/>
                      <w:i w:val="0"/>
                      <w:sz w:val="16"/>
                    </w:rPr>
                    <w:t>Juan</w:t>
                  </w:r>
                </w:p>
              </w:tc>
              <w:tc>
                <w:tcPr>
                  <w:tcW w:type="dxa" w:w="1000"/>
                </w:tcPr>
                <w:p>
                  <w:pPr>
                    <w:spacing w:after="20" w:before="20" w:line="240" w:lineRule="auto"/>
                    <w:jc w:val="left"/>
                  </w:pPr>
                  <w:r>
                    <w:rPr>
                      <w:rFonts w:ascii="Calibri" w:hAnsi="Calibri" w:cs="Calibri"/>
                      <w:b w:val="0"/>
                      <w:i w:val="0"/>
                      <w:sz w:val="16"/>
                    </w:rPr>
                    <w:t>No validado</w:t>
                  </w:r>
                </w:p>
              </w:tc>
              <w:tc>
                <w:tcPr>
                  <w:tcW w:type="dxa" w:w="1800"/>
                </w:tcPr>
                <w:p>
                  <w:pPr>
                    <w:spacing w:after="20" w:before="20" w:line="240" w:lineRule="auto"/>
                    <w:jc w:val="left"/>
                  </w:pPr>
                  <w:r>
                    <w:rPr>
                      <w:rFonts w:ascii="Calibri" w:hAnsi="Calibri" w:cs="Calibri"/>
                      <w:b w:val="0"/>
                      <w:i w:val="0"/>
                      <w:sz w:val="16"/>
                    </w:rPr>
                    <w:t>No</w:t>
                  </w:r>
                </w:p>
              </w:tc>
              <w:tc>
                <w:tcPr>
                  <w:tcW w:type="dxa" w:w="950"/>
                </w:tcPr>
                <w:p>
                  <w:pPr>
                    <w:spacing w:after="20" w:before="20" w:line="240" w:lineRule="auto"/>
                    <w:jc w:val="left"/>
                  </w:pPr>
                  <w:r>
                    <w:rPr>
                      <w:rFonts w:ascii="Calibri" w:hAnsi="Calibri" w:cs="Calibri"/>
                      <w:b w:val="0"/>
                      <w:i w:val="0"/>
                      <w:sz w:val="16"/>
                    </w:rPr>
                    <w:t>No</w:t>
                  </w:r>
                </w:p>
              </w:tc>
              <w:tc>
                <w:tcPr>
                  <w:tcW w:type="dxa" w:w="850"/>
                </w:tcPr>
                <w:p>
                  <w:pPr>
                    <w:spacing w:after="20" w:before="20" w:line="240" w:lineRule="auto"/>
                    <w:jc w:val="left"/>
                  </w:pPr>
                  <w:r>
                    <w:rPr>
                      <w:rFonts w:ascii="Calibri" w:hAnsi="Calibri" w:cs="Calibri"/>
                      <w:b w:val="0"/>
                      <w:i w:val="0"/>
                      <w:sz w:val="16"/>
                    </w:rPr>
                    <w:t>No</w:t>
                  </w:r>
                </w:p>
              </w:tc>
            </w:tr>
            <w:tr>
              <w:trPr>
                <w:cantSplit/>
              </w:trPr>
              <w:tc>
                <w:tcPr>
                  <w:tcW w:type="dxa" w:w="1350"/>
                </w:tcPr>
                <w:p>
                  <w:pPr>
                    <w:spacing w:after="20" w:before="20" w:line="240" w:lineRule="auto"/>
                    <w:jc w:val="left"/>
                  </w:pPr>
                  <w:r>
                    <w:rPr>
                      <w:rFonts w:ascii="Calibri" w:hAnsi="Calibri" w:cs="Calibri"/>
                      <w:b w:val="0"/>
                      <w:i w:val="0"/>
                      <w:sz w:val="16"/>
                    </w:rPr>
                    <w:t>DeepSeek LLM</w:t>
                  </w:r>
                </w:p>
              </w:tc>
              <w:tc>
                <w:tcPr>
                  <w:tcW w:type="dxa" w:w="850"/>
                </w:tcPr>
                <w:p>
                  <w:pPr>
                    <w:spacing w:after="20" w:before="20" w:line="240" w:lineRule="auto"/>
                    <w:jc w:val="left"/>
                  </w:pPr>
                  <w:r>
                    <w:rPr>
                      <w:rFonts w:ascii="Calibri" w:hAnsi="Calibri" w:cs="Calibri"/>
                      <w:b w:val="0"/>
                      <w:i w:val="0"/>
                      <w:sz w:val="16"/>
                    </w:rPr>
                    <w:t>Fernando</w:t>
                  </w:r>
                </w:p>
              </w:tc>
              <w:tc>
                <w:tcPr>
                  <w:tcW w:type="dxa" w:w="1000"/>
                </w:tcPr>
                <w:p>
                  <w:pPr>
                    <w:spacing w:after="20" w:before="20" w:line="240" w:lineRule="auto"/>
                    <w:jc w:val="left"/>
                  </w:pPr>
                  <w:r>
                    <w:rPr>
                      <w:rFonts w:ascii="Calibri" w:hAnsi="Calibri" w:cs="Calibri"/>
                      <w:b w:val="0"/>
                      <w:i w:val="0"/>
                      <w:sz w:val="16"/>
                    </w:rPr>
                    <w:t>Sí</w:t>
                  </w:r>
                </w:p>
              </w:tc>
              <w:tc>
                <w:tcPr>
                  <w:tcW w:type="dxa" w:w="1800"/>
                </w:tcPr>
                <w:p>
                  <w:pPr>
                    <w:spacing w:after="20" w:before="20" w:line="240" w:lineRule="auto"/>
                    <w:jc w:val="left"/>
                  </w:pPr>
                  <w:r>
                    <w:rPr>
                      <w:rFonts w:ascii="Calibri" w:hAnsi="Calibri" w:cs="Calibri"/>
                      <w:b w:val="0"/>
                      <w:i w:val="0"/>
                      <w:sz w:val="16"/>
                    </w:rPr>
                    <w:t>Unitarias sin red y 1 verificación manual*</w:t>
                  </w:r>
                </w:p>
              </w:tc>
              <w:tc>
                <w:tcPr>
                  <w:tcW w:type="dxa" w:w="950"/>
                </w:tcPr>
                <w:p>
                  <w:pPr>
                    <w:spacing w:after="20" w:before="20" w:line="240" w:lineRule="auto"/>
                    <w:jc w:val="left"/>
                  </w:pPr>
                  <w:r>
                    <w:rPr>
                      <w:rFonts w:ascii="Calibri" w:hAnsi="Calibri" w:cs="Calibri"/>
                      <w:b w:val="0"/>
                      <w:i w:val="0"/>
                      <w:sz w:val="16"/>
                    </w:rPr>
                    <w:t>Sí (PR #3)</w:t>
                  </w:r>
                </w:p>
              </w:tc>
              <w:tc>
                <w:tcPr>
                  <w:tcW w:type="dxa" w:w="850"/>
                </w:tcPr>
                <w:p>
                  <w:pPr>
                    <w:spacing w:after="20" w:before="20" w:line="240" w:lineRule="auto"/>
                    <w:jc w:val="left"/>
                  </w:pPr>
                  <w:r>
                    <w:rPr>
                      <w:rFonts w:ascii="Calibri" w:hAnsi="Calibri" w:cs="Calibri"/>
                      <w:b w:val="0"/>
                      <w:i w:val="0"/>
                      <w:sz w:val="16"/>
                    </w:rPr>
                    <w:t>No</w:t>
                  </w:r>
                </w:p>
              </w:tc>
            </w:tr>
            <w:tr>
              <w:trPr>
                <w:cantSplit/>
              </w:trPr>
              <w:tc>
                <w:tcPr>
                  <w:tcW w:type="dxa" w:w="1350"/>
                </w:tcPr>
                <w:p>
                  <w:pPr>
                    <w:spacing w:after="20" w:before="20" w:line="240" w:lineRule="auto"/>
                    <w:jc w:val="left"/>
                  </w:pPr>
                  <w:r>
                    <w:rPr>
                      <w:rFonts w:ascii="Calibri" w:hAnsi="Calibri" w:cs="Calibri"/>
                      <w:b w:val="0"/>
                      <w:i w:val="0"/>
                      <w:sz w:val="16"/>
                    </w:rPr>
                    <w:t>ElevenLabs TTS</w:t>
                  </w:r>
                </w:p>
              </w:tc>
              <w:tc>
                <w:tcPr>
                  <w:tcW w:type="dxa" w:w="850"/>
                </w:tcPr>
                <w:p>
                  <w:pPr>
                    <w:spacing w:after="20" w:before="20" w:line="240" w:lineRule="auto"/>
                    <w:jc w:val="left"/>
                  </w:pPr>
                  <w:r>
                    <w:rPr>
                      <w:rFonts w:ascii="Calibri" w:hAnsi="Calibri" w:cs="Calibri"/>
                      <w:b w:val="0"/>
                      <w:i w:val="0"/>
                      <w:sz w:val="16"/>
                    </w:rPr>
                    <w:t>David</w:t>
                  </w:r>
                </w:p>
              </w:tc>
              <w:tc>
                <w:tcPr>
                  <w:tcW w:type="dxa" w:w="1000"/>
                </w:tcPr>
                <w:p>
                  <w:pPr>
                    <w:spacing w:after="20" w:before="20" w:line="240" w:lineRule="auto"/>
                    <w:jc w:val="left"/>
                  </w:pPr>
                  <w:r>
                    <w:rPr>
                      <w:rFonts w:ascii="Calibri" w:hAnsi="Calibri" w:cs="Calibri"/>
                      <w:b w:val="0"/>
                      <w:i w:val="0"/>
                      <w:sz w:val="16"/>
                    </w:rPr>
                    <w:t>Sí</w:t>
                  </w:r>
                </w:p>
              </w:tc>
              <w:tc>
                <w:tcPr>
                  <w:tcW w:type="dxa" w:w="1800"/>
                </w:tcPr>
                <w:p>
                  <w:pPr>
                    <w:spacing w:after="20" w:before="20" w:line="240" w:lineRule="auto"/>
                    <w:jc w:val="left"/>
                  </w:pPr>
                  <w:r>
                    <w:rPr>
                      <w:rFonts w:ascii="Calibri" w:hAnsi="Calibri" w:cs="Calibri"/>
                      <w:b w:val="0"/>
                      <w:i w:val="0"/>
                      <w:sz w:val="16"/>
                    </w:rPr>
                    <w:t>Unitarias sin red y 1 verificación manual*</w:t>
                  </w:r>
                </w:p>
              </w:tc>
              <w:tc>
                <w:tcPr>
                  <w:tcW w:type="dxa" w:w="950"/>
                </w:tcPr>
                <w:p>
                  <w:pPr>
                    <w:spacing w:after="20" w:before="20" w:line="240" w:lineRule="auto"/>
                    <w:jc w:val="left"/>
                  </w:pPr>
                  <w:r>
                    <w:rPr>
                      <w:rFonts w:ascii="Calibri" w:hAnsi="Calibri" w:cs="Calibri"/>
                      <w:b w:val="0"/>
                      <w:i w:val="0"/>
                      <w:sz w:val="16"/>
                    </w:rPr>
                    <w:t>Sí (PR #4)</w:t>
                  </w:r>
                </w:p>
              </w:tc>
              <w:tc>
                <w:tcPr>
                  <w:tcW w:type="dxa" w:w="850"/>
                </w:tcPr>
                <w:p>
                  <w:pPr>
                    <w:spacing w:after="20" w:before="20" w:line="240" w:lineRule="auto"/>
                    <w:jc w:val="left"/>
                  </w:pPr>
                  <w:r>
                    <w:rPr>
                      <w:rFonts w:ascii="Calibri" w:hAnsi="Calibri" w:cs="Calibri"/>
                      <w:b w:val="0"/>
                      <w:i w:val="0"/>
                      <w:sz w:val="16"/>
                    </w:rPr>
                    <w:t>No</w:t>
                  </w:r>
                </w:p>
              </w:tc>
            </w:tr>
            <w:tr>
              <w:trPr>
                <w:cantSplit/>
              </w:trPr>
              <w:tc>
                <w:tcPr>
                  <w:tcW w:type="dxa" w:w="1350"/>
                </w:tcPr>
                <w:p>
                  <w:pPr>
                    <w:spacing w:after="20" w:before="20" w:line="240" w:lineRule="auto"/>
                    <w:jc w:val="left"/>
                  </w:pPr>
                  <w:r>
                    <w:rPr>
                      <w:rFonts w:ascii="Calibri" w:hAnsi="Calibri" w:cs="Calibri"/>
                      <w:b w:val="0"/>
                      <w:i w:val="0"/>
                      <w:sz w:val="16"/>
                    </w:rPr>
                    <w:t>Pipeline completo</w:t>
                  </w:r>
                </w:p>
              </w:tc>
              <w:tc>
                <w:tcPr>
                  <w:tcW w:type="dxa" w:w="850"/>
                </w:tcPr>
                <w:p>
                  <w:pPr>
                    <w:spacing w:after="20" w:before="20" w:line="240" w:lineRule="auto"/>
                    <w:jc w:val="left"/>
                  </w:pPr>
                  <w:r>
                    <w:rPr>
                      <w:rFonts w:ascii="Calibri" w:hAnsi="Calibri" w:cs="Calibri"/>
                      <w:b w:val="0"/>
                      <w:i w:val="0"/>
                      <w:sz w:val="16"/>
                    </w:rPr>
                    <w:t>Equipo</w:t>
                  </w:r>
                </w:p>
              </w:tc>
              <w:tc>
                <w:tcPr>
                  <w:tcW w:type="dxa" w:w="1000"/>
                </w:tcPr>
                <w:p>
                  <w:pPr>
                    <w:spacing w:after="20" w:before="20" w:line="240" w:lineRule="auto"/>
                    <w:jc w:val="left"/>
                  </w:pPr>
                  <w:r>
                    <w:rPr>
                      <w:rFonts w:ascii="Calibri" w:hAnsi="Calibri" w:cs="Calibri"/>
                      <w:b w:val="0"/>
                      <w:i w:val="0"/>
                      <w:sz w:val="16"/>
                    </w:rPr>
                    <w:t>No</w:t>
                  </w:r>
                </w:p>
              </w:tc>
              <w:tc>
                <w:tcPr>
                  <w:tcW w:type="dxa" w:w="1800"/>
                </w:tcPr>
                <w:p>
                  <w:pPr>
                    <w:spacing w:after="20" w:before="20" w:line="240" w:lineRule="auto"/>
                    <w:jc w:val="left"/>
                  </w:pPr>
                  <w:r>
                    <w:rPr>
                      <w:rFonts w:ascii="Calibri" w:hAnsi="Calibri" w:cs="Calibri"/>
                      <w:b w:val="0"/>
                      <w:i w:val="0"/>
                      <w:sz w:val="16"/>
                    </w:rPr>
                    <w:t>No</w:t>
                  </w:r>
                </w:p>
              </w:tc>
              <w:tc>
                <w:tcPr>
                  <w:tcW w:type="dxa" w:w="950"/>
                </w:tcPr>
                <w:p>
                  <w:pPr>
                    <w:spacing w:after="20" w:before="20" w:line="240" w:lineRule="auto"/>
                    <w:jc w:val="left"/>
                  </w:pPr>
                  <w:r>
                    <w:rPr>
                      <w:rFonts w:ascii="Calibri" w:hAnsi="Calibri" w:cs="Calibri"/>
                      <w:b w:val="0"/>
                      <w:i w:val="0"/>
                      <w:sz w:val="16"/>
                    </w:rPr>
                    <w:t>No</w:t>
                  </w:r>
                </w:p>
              </w:tc>
              <w:tc>
                <w:tcPr>
                  <w:tcW w:type="dxa" w:w="850"/>
                </w:tcPr>
                <w:p>
                  <w:pPr>
                    <w:spacing w:after="20" w:before="20" w:line="240" w:lineRule="auto"/>
                    <w:jc w:val="left"/>
                  </w:pPr>
                  <w:r>
                    <w:rPr>
                      <w:rFonts w:ascii="Calibri" w:hAnsi="Calibri" w:cs="Calibri"/>
                      <w:b w:val="0"/>
                      <w:i w:val="0"/>
                      <w:sz w:val="16"/>
                    </w:rPr>
                    <w:t>No</w:t>
                  </w:r>
                </w:p>
              </w:tc>
            </w:tr>
            <w:tr>
              <w:trPr>
                <w:cantSplit/>
              </w:trPr>
              <w:tc>
                <w:tcPr>
                  <w:tcW w:type="dxa" w:w="1350"/>
                </w:tcPr>
                <w:p>
                  <w:pPr>
                    <w:spacing w:after="20" w:before="20" w:line="240" w:lineRule="auto"/>
                    <w:jc w:val="left"/>
                  </w:pPr>
                  <w:r>
                    <w:rPr>
                      <w:rFonts w:ascii="Calibri" w:hAnsi="Calibri" w:cs="Calibri"/>
                      <w:b w:val="0"/>
                      <w:i w:val="0"/>
                      <w:sz w:val="16"/>
                    </w:rPr>
                    <w:t>Integración Asterisk</w:t>
                  </w:r>
                </w:p>
              </w:tc>
              <w:tc>
                <w:tcPr>
                  <w:tcW w:type="dxa" w:w="850"/>
                </w:tcPr>
                <w:p>
                  <w:pPr>
                    <w:spacing w:after="20" w:before="20" w:line="240" w:lineRule="auto"/>
                    <w:jc w:val="left"/>
                  </w:pPr>
                  <w:r>
                    <w:rPr>
                      <w:rFonts w:ascii="Calibri" w:hAnsi="Calibri" w:cs="Calibri"/>
                      <w:b w:val="0"/>
                      <w:i w:val="0"/>
                      <w:sz w:val="16"/>
                    </w:rPr>
                    <w:t>Equipo</w:t>
                  </w:r>
                </w:p>
              </w:tc>
              <w:tc>
                <w:tcPr>
                  <w:tcW w:type="dxa" w:w="1000"/>
                </w:tcPr>
                <w:p>
                  <w:pPr>
                    <w:spacing w:after="20" w:before="20" w:line="240" w:lineRule="auto"/>
                    <w:jc w:val="left"/>
                  </w:pPr>
                  <w:r>
                    <w:rPr>
                      <w:rFonts w:ascii="Calibri" w:hAnsi="Calibri" w:cs="Calibri"/>
                      <w:b w:val="0"/>
                      <w:i w:val="0"/>
                      <w:sz w:val="16"/>
                    </w:rPr>
                    <w:t>No validada</w:t>
                  </w:r>
                </w:p>
              </w:tc>
              <w:tc>
                <w:tcPr>
                  <w:tcW w:type="dxa" w:w="1800"/>
                </w:tcPr>
                <w:p>
                  <w:pPr>
                    <w:spacing w:after="20" w:before="20" w:line="240" w:lineRule="auto"/>
                    <w:jc w:val="left"/>
                  </w:pPr>
                  <w:r>
                    <w:rPr>
                      <w:rFonts w:ascii="Calibri" w:hAnsi="Calibri" w:cs="Calibri"/>
                      <w:b w:val="0"/>
                      <w:i w:val="0"/>
                      <w:sz w:val="16"/>
                    </w:rPr>
                    <w:t>No</w:t>
                  </w:r>
                </w:p>
              </w:tc>
              <w:tc>
                <w:tcPr>
                  <w:tcW w:type="dxa" w:w="950"/>
                </w:tcPr>
                <w:p>
                  <w:pPr>
                    <w:spacing w:after="20" w:before="20" w:line="240" w:lineRule="auto"/>
                    <w:jc w:val="left"/>
                  </w:pPr>
                  <w:r>
                    <w:rPr>
                      <w:rFonts w:ascii="Calibri" w:hAnsi="Calibri" w:cs="Calibri"/>
                      <w:b w:val="0"/>
                      <w:i w:val="0"/>
                      <w:sz w:val="16"/>
                    </w:rPr>
                    <w:t>No</w:t>
                  </w:r>
                </w:p>
              </w:tc>
              <w:tc>
                <w:tcPr>
                  <w:tcW w:type="dxa" w:w="850"/>
                </w:tcPr>
                <w:p>
                  <w:pPr>
                    <w:spacing w:after="20" w:before="20" w:line="240" w:lineRule="auto"/>
                    <w:jc w:val="left"/>
                  </w:pPr>
                  <w:r>
                    <w:rPr>
                      <w:rFonts w:ascii="Calibri" w:hAnsi="Calibri" w:cs="Calibri"/>
                      <w:b w:val="0"/>
                      <w:i w:val="0"/>
                      <w:sz w:val="16"/>
                    </w:rPr>
                    <w:t>No</w:t>
                  </w:r>
                </w:p>
              </w:tc>
            </w:tr>
          </w:tbl>
          <w:p/>
          <w:p>
            <w:pPr>
              <w:spacing w:after="60" w:before="40" w:line="240" w:lineRule="auto"/>
              <w:jc w:val="both"/>
            </w:pPr>
            <w:r>
              <w:rPr>
                <w:rFonts w:ascii="Calibri" w:hAnsi="Calibri" w:cs="Calibri"/>
                <w:b w:val="0"/>
                <w:i w:val="0"/>
                <w:sz w:val="16"/>
              </w:rPr>
              <w:t>*Resultados informados por el equipo en los PR y el README; no hay logs adjuntos. «Implementado», «probado», «fusionado» e «integrado» son estados distintos: ningún componente está integrado en un flujo de voz.</w:t>
            </w:r>
          </w:p>
          <w:p>
            <w:pPr>
              <w:keepNext/>
              <w:spacing w:after="40" w:before="120" w:line="240" w:lineRule="auto"/>
              <w:jc w:val="left"/>
            </w:pPr>
            <w:r>
              <w:rPr>
                <w:rFonts w:ascii="Calibri" w:hAnsi="Calibri" w:cs="Calibri"/>
                <w:b/>
                <w:i w:val="0"/>
                <w:color w:val="1F3864"/>
                <w:sz w:val="20"/>
              </w:rPr>
              <w:t>Dependencias y estado de integración del MVP</w:t>
            </w:r>
          </w:p>
          <w:p>
            <w:pPr>
              <w:spacing w:after="60" w:before="0" w:line="240" w:lineRule="auto"/>
              <w:jc w:val="both"/>
            </w:pPr>
            <w:r>
              <w:rPr>
                <w:rFonts w:ascii="Calibri" w:hAnsi="Calibri" w:cs="Calibri"/>
                <w:b w:val="0"/>
                <w:i w:val="0"/>
                <w:sz w:val="20"/>
              </w:rPr>
              <w:t>Los componentes dependen unos de otros: el LLM recibe el texto que entrega el STT y el TTS recibe la respuesta del LLM. Mientras Speechmatics no esté validado, DeepSeek y ElevenLabs solo pueden verificarse de forma aislada. Están pendientes el pipeline completo (LiveKit, Speechmatics, DeepSeek, ElevenLabs y de vuelta a LiveKit), las pruebas end-to-end y la medición de latencia end-to-end; la integración con Asterisk no está validada. Las mediciones disponibles corresponden a una ejecución aislada por componente (DeepSeek: cerca de 2,3 s en una llamada, sin precisar qué intervalo se midió; ElevenLabs: primer audio a los 0,69 s y síntesis total de 1,00 s). Con ellas no se puede concluir si se cumple el requisito de respuesta de no más de un segundo definido en Fase 1.</w:t>
            </w:r>
          </w:p>
          <w:p>
            <w:pPr>
              <w:keepNext/>
              <w:spacing w:after="40" w:before="120" w:line="240" w:lineRule="auto"/>
              <w:jc w:val="left"/>
            </w:pPr>
            <w:r>
              <w:rPr>
                <w:rFonts w:ascii="Calibri" w:hAnsi="Calibri" w:cs="Calibri"/>
                <w:b/>
                <w:i w:val="0"/>
                <w:color w:val="1F3864"/>
                <w:sz w:val="20"/>
              </w:rPr>
              <w:t>Riesgos y dificultades</w:t>
            </w:r>
          </w:p>
          <w:p>
            <w:pPr>
              <w:spacing w:after="40" w:before="0" w:line="240" w:lineRule="auto"/>
              <w:ind w:left="280" w:hanging="200"/>
              <w:jc w:val="both"/>
            </w:pPr>
            <w:r>
              <w:rPr>
                <w:rFonts w:ascii="Calibri" w:hAnsi="Calibri" w:cs="Calibri"/>
                <w:b w:val="0"/>
                <w:i w:val="0"/>
                <w:sz w:val="20"/>
              </w:rPr>
              <w:t>• Dependencia de Speechmatics para armar y probar el pipeline; su cierre depende del compromiso del 14 de octubre.</w:t>
            </w:r>
          </w:p>
          <w:p>
            <w:pPr>
              <w:spacing w:after="40" w:before="0" w:line="240" w:lineRule="auto"/>
              <w:ind w:left="280" w:hanging="200"/>
              <w:jc w:val="both"/>
            </w:pPr>
            <w:r>
              <w:rPr>
                <w:rFonts w:ascii="Calibri" w:hAnsi="Calibri" w:cs="Calibri"/>
                <w:b w:val="0"/>
                <w:i w:val="0"/>
                <w:sz w:val="20"/>
              </w:rPr>
              <w:t xml:space="preserve">• Latencia end-to-end sin medir; riesgo de no cumplir el requisito de respuesta rápida al sumar las tres etapas. </w:t>
            </w:r>
            <w:r>
              <w:rPr>
                <w:rFonts w:ascii="Calibri" w:hAnsi="Calibri" w:cs="Calibri"/>
                <w:b/>
                <w:i w:val="0"/>
                <w:sz w:val="20"/>
              </w:rPr>
              <w:t>[INFERENCIA]</w:t>
            </w:r>
          </w:p>
          <w:p>
            <w:pPr>
              <w:spacing w:after="40" w:before="0" w:line="240" w:lineRule="auto"/>
              <w:ind w:left="280" w:hanging="200"/>
              <w:jc w:val="both"/>
            </w:pPr>
            <w:r>
              <w:rPr>
                <w:rFonts w:ascii="Calibri" w:hAnsi="Calibri" w:cs="Calibri"/>
                <w:b w:val="0"/>
                <w:i w:val="0"/>
                <w:sz w:val="20"/>
              </w:rPr>
              <w:t xml:space="preserve">• Integración con Asterisk y entorno de pruebas telefónicas sin validar; dependen de recursos de Alloxentric. </w:t>
            </w:r>
            <w:r>
              <w:rPr>
                <w:rFonts w:ascii="Calibri" w:hAnsi="Calibri" w:cs="Calibri"/>
                <w:b/>
                <w:i w:val="0"/>
                <w:sz w:val="20"/>
              </w:rPr>
              <w:t>[PENDIENTE DE VALIDACIÓN]</w:t>
            </w:r>
          </w:p>
          <w:p>
            <w:pPr>
              <w:spacing w:after="40" w:before="0" w:line="240" w:lineRule="auto"/>
              <w:ind w:left="280" w:hanging="200"/>
              <w:jc w:val="both"/>
            </w:pPr>
            <w:r>
              <w:rPr>
                <w:rFonts w:ascii="Calibri" w:hAnsi="Calibri" w:cs="Calibri"/>
                <w:b w:val="0"/>
                <w:i w:val="0"/>
                <w:sz w:val="20"/>
              </w:rPr>
              <w:t>• Costos de los servicios externos sin medir: el consumo de créditos de ElevenLabs no pudo consultarse con la clave utilizada.</w:t>
            </w:r>
          </w:p>
          <w:p>
            <w:pPr>
              <w:spacing w:after="40" w:before="0" w:line="240" w:lineRule="auto"/>
              <w:ind w:left="280" w:hanging="200"/>
              <w:jc w:val="both"/>
            </w:pPr>
            <w:r>
              <w:rPr>
                <w:rFonts w:ascii="Calibri" w:hAnsi="Calibri" w:cs="Calibri"/>
                <w:b w:val="0"/>
                <w:i w:val="0"/>
                <w:sz w:val="20"/>
              </w:rPr>
              <w:t>• Actividades de análisis, protocolo y diseño (A1, A2, A5) con la ventana inicial vencida y sin evidencia suficiente de cierre.</w:t>
            </w:r>
          </w:p>
          <w:p>
            <w:pPr>
              <w:spacing w:after="40" w:before="0" w:line="240" w:lineRule="auto"/>
              <w:ind w:left="280" w:hanging="200"/>
              <w:jc w:val="both"/>
            </w:pPr>
            <w:r>
              <w:rPr>
                <w:rFonts w:ascii="Calibri" w:hAnsi="Calibri" w:cs="Calibri"/>
                <w:b w:val="0"/>
                <w:i w:val="0"/>
                <w:sz w:val="20"/>
              </w:rPr>
              <w:t>• Registros formales de Scrum y logs de pruebas no disponibles para adjuntar, y revisión entre pares inconsistente: los PR #2 y #4 se fusionaron sin revisión registrada y el PR #3 tiene un comentario de revisión, no una aprobación formal.</w:t>
            </w:r>
          </w:p>
          <w:p>
            <w:pPr>
              <w:keepNext/>
              <w:spacing w:after="40" w:before="120" w:line="240" w:lineRule="auto"/>
              <w:jc w:val="left"/>
            </w:pPr>
            <w:r>
              <w:rPr>
                <w:rFonts w:ascii="Calibri" w:hAnsi="Calibri" w:cs="Calibri"/>
                <w:b/>
                <w:i w:val="0"/>
                <w:color w:val="1F3864"/>
                <w:sz w:val="20"/>
              </w:rPr>
              <w:t>Próximas acciones [PROPUESTA, aún no aprobadas por el equipo]</w:t>
            </w:r>
          </w:p>
          <w:p>
            <w:pPr>
              <w:spacing w:after="40" w:before="0" w:line="240" w:lineRule="auto"/>
              <w:ind w:left="280" w:hanging="200"/>
              <w:jc w:val="both"/>
            </w:pPr>
            <w:r>
              <w:rPr>
                <w:rFonts w:ascii="Calibri" w:hAnsi="Calibri" w:cs="Calibri"/>
                <w:b w:val="0"/>
                <w:i w:val="0"/>
                <w:sz w:val="20"/>
              </w:rPr>
              <w:t>• Validar Speechmatics, usando la reunión del 14 de octubre como punto de control.</w:t>
            </w:r>
          </w:p>
          <w:p>
            <w:pPr>
              <w:spacing w:after="40" w:before="0" w:line="240" w:lineRule="auto"/>
              <w:ind w:left="280" w:hanging="200"/>
              <w:jc w:val="both"/>
            </w:pPr>
            <w:r>
              <w:rPr>
                <w:rFonts w:ascii="Calibri" w:hAnsi="Calibri" w:cs="Calibri"/>
                <w:b w:val="0"/>
                <w:i w:val="0"/>
                <w:sz w:val="20"/>
              </w:rPr>
              <w:t>• Conectar los tres componentes en una sesión de LiveKit y ejecutar la primera prueba end-to-end.</w:t>
            </w:r>
          </w:p>
          <w:p>
            <w:pPr>
              <w:spacing w:after="40" w:before="0" w:line="240" w:lineRule="auto"/>
              <w:ind w:left="280" w:hanging="200"/>
              <w:jc w:val="both"/>
            </w:pPr>
            <w:r>
              <w:rPr>
                <w:rFonts w:ascii="Calibri" w:hAnsi="Calibri" w:cs="Calibri"/>
                <w:b w:val="0"/>
                <w:i w:val="0"/>
                <w:sz w:val="20"/>
              </w:rPr>
              <w:t>• Definir los eventos de inicio y término para medir la latencia y medirla de punta a punta.</w:t>
            </w:r>
          </w:p>
          <w:p>
            <w:pPr>
              <w:spacing w:after="40" w:before="0" w:line="240" w:lineRule="auto"/>
              <w:ind w:left="280" w:hanging="200"/>
              <w:jc w:val="both"/>
            </w:pPr>
            <w:r>
              <w:rPr>
                <w:rFonts w:ascii="Calibri" w:hAnsi="Calibri" w:cs="Calibri"/>
                <w:b w:val="0"/>
                <w:i w:val="0"/>
                <w:sz w:val="20"/>
              </w:rPr>
              <w:t>• Formalizar con Alloxentric el protocolo de comparación de costo y efectividad (A2) y documentar el diseño de integración con el flujo de Hites como referencia (A5).</w:t>
            </w:r>
          </w:p>
          <w:p>
            <w:pPr>
              <w:spacing w:after="40" w:before="0" w:line="240" w:lineRule="auto"/>
              <w:ind w:left="280" w:hanging="200"/>
              <w:jc w:val="both"/>
            </w:pPr>
            <w:r>
              <w:rPr>
                <w:rFonts w:ascii="Calibri" w:hAnsi="Calibri" w:cs="Calibri"/>
                <w:b w:val="0"/>
                <w:i w:val="0"/>
                <w:sz w:val="20"/>
              </w:rPr>
              <w:t>• Definir cómo se probará la telefonía con Asterisk y qué entorno de pruebas se utilizará.</w:t>
            </w:r>
          </w:p>
          <w:p>
            <w:pPr>
              <w:spacing w:after="40" w:before="0" w:line="240" w:lineRule="auto"/>
              <w:ind w:left="280" w:hanging="200"/>
              <w:jc w:val="both"/>
            </w:pPr>
            <w:r>
              <w:rPr>
                <w:rFonts w:ascii="Calibri" w:hAnsi="Calibri" w:cs="Calibri"/>
                <w:b w:val="0"/>
                <w:i w:val="0"/>
                <w:sz w:val="20"/>
              </w:rPr>
              <w:t>• Registrar backlog y revisiones de Scrum, exigir revisión formal de los PR y guardar los logs de las pruebas.</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tcPr>
          <w:p w14:paraId="0DD025FA" w14:textId="77777777" w:rsidR="0003309E" w:rsidRPr="00A370C8" w:rsidRDefault="0003309E" w:rsidP="00585A13">
            <w:pPr>
              <w:jc w:val="both"/>
              <w:rPr>
                <w:rFonts w:ascii="Calibri" w:hAnsi="Calibri" w:cs="Arial"/>
                <w:b/>
                <w:i/>
                <w:color w:val="548DD4"/>
                <w:sz w:val="20"/>
                <w:szCs w:val="20"/>
                <w:lang w:eastAsia="es-CL"/>
              </w:rPr>
            </w:pPr>
            <w:r>
              <w:rPr>
                <w:rFonts w:ascii="Calibri" w:hAnsi="Calibri" w:cs="Arial"/>
                <w:i/>
                <w:color w:val="548DD4"/>
                <w:sz w:val="20"/>
                <w:szCs w:val="20"/>
                <w:lang w:eastAsia="es-CL"/>
              </w:rPr>
              <w:t>Opcional en caso de ajuste</w:t>
            </w:r>
          </w:p>
          <w:p>
            <w:pPr>
              <w:spacing w:after="60" w:before="80" w:line="240" w:lineRule="auto"/>
              <w:jc w:val="both"/>
            </w:pPr>
            <w:r>
              <w:rPr>
                <w:rFonts w:ascii="Calibri" w:hAnsi="Calibri" w:cs="Calibri"/>
                <w:b w:val="0"/>
                <w:i w:val="0"/>
                <w:sz w:val="20"/>
              </w:rPr>
              <w:t>No existe un ajuste aprobado a los objetivos. Se mantienen los objetivos originales de la Fase 1 (guía 1.5, sección 4), que se reproducen a continuación con el avance a la fecha de corte.</w:t>
            </w:r>
          </w:p>
          <w:p>
            <w:pPr>
              <w:keepNext/>
              <w:spacing w:after="40" w:before="120" w:line="240" w:lineRule="auto"/>
              <w:jc w:val="left"/>
            </w:pPr>
            <w:r>
              <w:rPr>
                <w:rFonts w:ascii="Calibri" w:hAnsi="Calibri" w:cs="Calibri"/>
                <w:b/>
                <w:i w:val="0"/>
                <w:color w:val="1F3864"/>
                <w:sz w:val="20"/>
              </w:rPr>
              <w:t>Objetivo general (Fase 1)</w:t>
            </w:r>
          </w:p>
          <w:p>
            <w:pPr>
              <w:spacing w:after="60" w:before="0" w:line="240" w:lineRule="auto"/>
              <w:jc w:val="both"/>
            </w:pPr>
            <w:r>
              <w:rPr>
                <w:rFonts w:ascii="Calibri" w:hAnsi="Calibri" w:cs="Calibri"/>
                <w:b w:val="0"/>
                <w:i w:val="0"/>
                <w:sz w:val="20"/>
              </w:rPr>
              <w:t>Desarrollar y evaluar, durante el periodo académico de 18 semanas, un prototipo de bot de cobranza por voz basado en LiveKit, integrado con Speechmatics, ElevenLabs y la telefonía Asterisk de Alloxentric, para comparar su costo y efectividad por llamada con la solución actual de la empresa, considerando el requisito de respuesta de no más de un segundo y los criterios de calidad acordados para el guion de cobranza.</w:t>
            </w:r>
          </w:p>
          <w:p>
            <w:pPr>
              <w:keepNext/>
              <w:spacing w:after="40" w:before="120" w:line="240" w:lineRule="auto"/>
              <w:jc w:val="left"/>
            </w:pPr>
            <w:r>
              <w:rPr>
                <w:rFonts w:ascii="Calibri" w:hAnsi="Calibri" w:cs="Calibri"/>
                <w:b/>
                <w:i w:val="0"/>
                <w:color w:val="1F3864"/>
                <w:sz w:val="20"/>
              </w:rPr>
              <w:t>Objetivos específicos (Fase 1) y avance</w:t>
            </w:r>
          </w:p>
          <w:p>
            <w:pPr>
              <w:spacing w:after="20" w:before="40" w:line="240" w:lineRule="auto"/>
              <w:jc w:val="both"/>
            </w:pPr>
            <w:r>
              <w:rPr>
                <w:rFonts w:ascii="Calibri" w:hAnsi="Calibri" w:cs="Calibri"/>
                <w:b w:val="0"/>
                <w:i w:val="0"/>
                <w:sz w:val="20"/>
              </w:rPr>
              <w:t>OE1. Analizar y documentar el guion de cobranza proporcionado por Alloxentric, las intenciones que deberá reconocer el bot y los requerimientos funcionales y no funcionales, estableciendo criterios de aceptación y un protocolo de comparación de costos y efectividad con la solución actual.</w:t>
            </w:r>
          </w:p>
          <w:p>
            <w:pPr>
              <w:spacing w:after="60" w:before="0" w:line="240" w:lineRule="auto"/>
              <w:ind w:left="240"/>
              <w:jc w:val="both"/>
            </w:pPr>
            <w:r>
              <w:rPr>
                <w:rFonts w:ascii="Calibri" w:hAnsi="Calibri" w:cs="Calibri"/>
                <w:b w:val="0"/>
                <w:i w:val="0"/>
                <w:sz w:val="20"/>
              </w:rPr>
              <w:t xml:space="preserve">Avance: parcial. Se consolidaron las indicaciones de Alloxentric en los documentos de Fase 1 y, según informó el equipo, se recibió el flujo de Hites como referencia. </w:t>
            </w:r>
            <w:r>
              <w:rPr>
                <w:rFonts w:ascii="Calibri" w:hAnsi="Calibri" w:cs="Calibri"/>
                <w:b/>
                <w:i w:val="0"/>
                <w:sz w:val="20"/>
              </w:rPr>
              <w:t>[PENDIENTE DE VALIDACIÓN]</w:t>
            </w:r>
            <w:r>
              <w:rPr>
                <w:rFonts w:ascii="Calibri" w:hAnsi="Calibri" w:cs="Calibri"/>
                <w:b w:val="0"/>
                <w:i w:val="0"/>
                <w:sz w:val="20"/>
              </w:rPr>
              <w:t xml:space="preserve"> No hay documento de análisis del flujo, criterios de aceptación ni protocolo de comparación en los repositorios.</w:t>
            </w:r>
          </w:p>
          <w:p>
            <w:pPr>
              <w:spacing w:after="20" w:before="40" w:line="240" w:lineRule="auto"/>
              <w:jc w:val="both"/>
            </w:pPr>
            <w:r>
              <w:rPr>
                <w:rFonts w:ascii="Calibri" w:hAnsi="Calibri" w:cs="Calibri"/>
                <w:b w:val="0"/>
                <w:i w:val="0"/>
                <w:sz w:val="20"/>
              </w:rPr>
              <w:t>OE2. Diseñar la integración de LiveKit, Speechmatics, ElevenLabs y Asterisk, definiendo el flujo conversacional basado inicialmente en intenciones y las decisiones técnicas necesarias para atender el requisito de baja latencia.</w:t>
            </w:r>
          </w:p>
          <w:p>
            <w:pPr>
              <w:spacing w:after="60" w:before="0" w:line="240" w:lineRule="auto"/>
              <w:ind w:left="240"/>
              <w:jc w:val="both"/>
            </w:pPr>
            <w:r>
              <w:rPr>
                <w:rFonts w:ascii="Calibri" w:hAnsi="Calibri" w:cs="Calibri"/>
                <w:b w:val="0"/>
                <w:i w:val="0"/>
                <w:sz w:val="20"/>
              </w:rPr>
              <w:t>Avance: parcial. Hay decisiones técnicas documentadas (plugins oficiales, modelos explícitos, configuración por variables de entorno; EV-009), pero no hay diagramas de integración ni el flujo conversacional documentado, y la integración con Asterisk no está validada.</w:t>
            </w:r>
          </w:p>
          <w:p>
            <w:pPr>
              <w:spacing w:after="20" w:before="40" w:line="240" w:lineRule="auto"/>
              <w:jc w:val="both"/>
            </w:pPr>
            <w:r>
              <w:rPr>
                <w:rFonts w:ascii="Calibri" w:hAnsi="Calibri" w:cs="Calibri"/>
                <w:b w:val="0"/>
                <w:i w:val="0"/>
                <w:sz w:val="20"/>
              </w:rPr>
              <w:t>OE3. Implementar un prototipo funcional de bot de cobranza que ejecute el guion acordado, reconozca las intenciones definidas y utilice una voz adecuada al contexto chileno, considerando un LLM únicamente si las pruebas justifican su necesidad y Alloxentric acuerda su incorporación.</w:t>
            </w:r>
          </w:p>
          <w:p>
            <w:pPr>
              <w:spacing w:after="60" w:before="0" w:line="240" w:lineRule="auto"/>
              <w:ind w:left="240"/>
              <w:jc w:val="both"/>
            </w:pPr>
            <w:r>
              <w:rPr>
                <w:rFonts w:ascii="Calibri" w:hAnsi="Calibri" w:cs="Calibri"/>
                <w:b w:val="0"/>
                <w:i w:val="0"/>
                <w:sz w:val="20"/>
              </w:rPr>
              <w:t>Avance: en curso. Base LiveKit, DeepSeek y ElevenLabs están implementados y fusionados de forma individual. Speechmatics no está validado y no hay pipeline ni flujo de cobranza ejecutándose de punta a punta.</w:t>
            </w:r>
          </w:p>
          <w:p>
            <w:pPr>
              <w:spacing w:after="20" w:before="40" w:line="240" w:lineRule="auto"/>
              <w:jc w:val="both"/>
            </w:pPr>
            <w:r>
              <w:rPr>
                <w:rFonts w:ascii="Calibri" w:hAnsi="Calibri" w:cs="Calibri"/>
                <w:b w:val="0"/>
                <w:i w:val="0"/>
                <w:sz w:val="20"/>
              </w:rPr>
              <w:t>OE4. Planificar y gestionar el proyecto mediante Scrum, manteniendo la priorización del trabajo, el seguimiento de avances, riesgos y dependencias, y la trazabilidad de las contribuciones de cada integrante.</w:t>
            </w:r>
          </w:p>
          <w:p>
            <w:pPr>
              <w:spacing w:after="60" w:before="0" w:line="240" w:lineRule="auto"/>
              <w:ind w:left="240"/>
              <w:jc w:val="both"/>
            </w:pPr>
            <w:r>
              <w:rPr>
                <w:rFonts w:ascii="Calibri" w:hAnsi="Calibri" w:cs="Calibri"/>
                <w:b w:val="0"/>
                <w:i w:val="0"/>
                <w:sz w:val="20"/>
              </w:rPr>
              <w:t>Avance: en curso. Estrategia Git con Pull Requests por ticket, seguimiento en GitHub y CoreStream y reuniones semanales con Karina. Faltan registros formales de Scrum para adjuntar.</w:t>
            </w:r>
          </w:p>
          <w:p>
            <w:pPr>
              <w:spacing w:after="20" w:before="40" w:line="240" w:lineRule="auto"/>
              <w:jc w:val="both"/>
            </w:pPr>
            <w:r>
              <w:rPr>
                <w:rFonts w:ascii="Calibri" w:hAnsi="Calibri" w:cs="Calibri"/>
                <w:b w:val="0"/>
                <w:i w:val="0"/>
                <w:sz w:val="20"/>
              </w:rPr>
              <w:t>OE5. Ejecutar pruebas funcionales, de integración y de interacción por voz, coordinadas con Alloxentric, para verificar el cumplimiento del guion, el reconocimiento de intenciones, la adecuación de la voz y el requisito de respuesta de no más de un segundo, según el procedimiento de medición acordado.</w:t>
            </w:r>
          </w:p>
          <w:p>
            <w:pPr>
              <w:spacing w:after="60" w:before="0" w:line="240" w:lineRule="auto"/>
              <w:ind w:left="240"/>
              <w:jc w:val="both"/>
            </w:pPr>
            <w:r>
              <w:rPr>
                <w:rFonts w:ascii="Calibri" w:hAnsi="Calibri" w:cs="Calibri"/>
                <w:b w:val="0"/>
                <w:i w:val="0"/>
                <w:sz w:val="20"/>
              </w:rPr>
              <w:t>Avance: inicial. Pruebas unitarias sin red (32 informadas en el PR #4) y una verificación manual por componente. Pendientes las pruebas end-to-end, de integración, de voz y de latencia end-to-end.</w:t>
            </w:r>
          </w:p>
          <w:p>
            <w:pPr>
              <w:spacing w:after="20" w:before="40" w:line="240" w:lineRule="auto"/>
              <w:jc w:val="both"/>
            </w:pPr>
            <w:r>
              <w:rPr>
                <w:rFonts w:ascii="Calibri" w:hAnsi="Calibri" w:cs="Calibri"/>
                <w:b w:val="0"/>
                <w:i w:val="0"/>
                <w:sz w:val="20"/>
              </w:rPr>
              <w:t>OE6. Comparar el costo y la efectividad por llamada del prototipo con los datos de referencia de la solución actual, bajo condiciones equivalentes acordadas con Alloxentric, y documentar los resultados, las limitaciones y las recomendaciones de utilización.</w:t>
            </w:r>
          </w:p>
          <w:p>
            <w:pPr>
              <w:spacing w:after="60" w:before="0" w:line="240" w:lineRule="auto"/>
              <w:ind w:left="240"/>
              <w:jc w:val="both"/>
            </w:pPr>
            <w:r>
              <w:rPr>
                <w:rFonts w:ascii="Calibri" w:hAnsi="Calibri" w:cs="Calibri"/>
                <w:b w:val="0"/>
                <w:i w:val="0"/>
                <w:sz w:val="20"/>
              </w:rPr>
              <w:t>Avance: no iniciado. Depende del protocolo (A2), del pipeline integrado y de datos de referencia de la solución actual. El objetivo se mantiene sin cambios.</w:t>
            </w:r>
          </w:p>
          <w:p>
            <w:pPr>
              <w:keepNext/>
              <w:spacing w:after="40" w:before="120" w:line="240" w:lineRule="auto"/>
              <w:jc w:val="left"/>
            </w:pPr>
            <w:r>
              <w:rPr>
                <w:rFonts w:ascii="Calibri" w:hAnsi="Calibri" w:cs="Calibri"/>
                <w:b/>
                <w:i w:val="0"/>
                <w:color w:val="1F3864"/>
                <w:sz w:val="20"/>
              </w:rPr>
              <w:t>Diferencias entre la planificación inicial y las decisiones técnicas posteriores</w:t>
            </w:r>
          </w:p>
          <w:p>
            <w:pPr>
              <w:spacing w:after="40" w:before="0" w:line="240" w:lineRule="auto"/>
              <w:ind w:left="280" w:hanging="200"/>
              <w:jc w:val="both"/>
            </w:pPr>
            <w:r>
              <w:rPr>
                <w:rFonts w:ascii="Calibri" w:hAnsi="Calibri" w:cs="Calibri"/>
                <w:b w:val="0"/>
                <w:i w:val="0"/>
                <w:sz w:val="20"/>
              </w:rPr>
              <w:t xml:space="preserve">• LLM: el plan indicaba evitar un LLM inicialmente y considerarlo solo si las pruebas lo justificaban y Alloxentric acordaba su incorporación. Hoy DeepSeek forma parte del flujo técnico del MVP y existe un componente implementado. </w:t>
            </w:r>
            <w:r>
              <w:rPr>
                <w:rFonts w:ascii="Calibri" w:hAnsi="Calibri" w:cs="Calibri"/>
                <w:b/>
                <w:i w:val="0"/>
                <w:sz w:val="20"/>
              </w:rPr>
              <w:t>[PENDIENTE DE VALIDACIÓN]</w:t>
            </w:r>
            <w:r>
              <w:rPr>
                <w:rFonts w:ascii="Calibri" w:hAnsi="Calibri" w:cs="Calibri"/>
                <w:b w:val="0"/>
                <w:i w:val="0"/>
                <w:sz w:val="20"/>
              </w:rPr>
              <w:t xml:space="preserve"> Este informe no cuenta con un registro de aprobación formal con fecha; se presenta como una diferencia respecto del plan y no como un ajuste aprobado.</w:t>
            </w:r>
          </w:p>
          <w:p>
            <w:pPr>
              <w:spacing w:after="40" w:before="0" w:line="240" w:lineRule="auto"/>
              <w:ind w:left="280" w:hanging="200"/>
              <w:jc w:val="both"/>
            </w:pPr>
            <w:r>
              <w:rPr>
                <w:rFonts w:ascii="Calibri" w:hAnsi="Calibri" w:cs="Calibri"/>
                <w:b w:val="0"/>
                <w:i w:val="0"/>
                <w:sz w:val="20"/>
              </w:rPr>
              <w:t>• Caso de uso: se mantiene cobranza. El flujo de Hites se usa solo como referencia conversacional; no se afirma ni se asume una integración productiva con Hites.</w:t>
            </w:r>
          </w:p>
          <w:p>
            <w:pPr>
              <w:spacing w:after="40" w:before="0" w:line="240" w:lineRule="auto"/>
              <w:ind w:left="280" w:hanging="200"/>
              <w:jc w:val="both"/>
            </w:pPr>
            <w:r>
              <w:rPr>
                <w:rFonts w:ascii="Calibri" w:hAnsi="Calibri" w:cs="Calibri"/>
                <w:b w:val="0"/>
                <w:i w:val="0"/>
                <w:sz w:val="20"/>
              </w:rPr>
              <w:t>• Alcance: MVP funcional de voz en tiempo real, sin plataforma SaaS completa, coherente con las exclusiones de Fase 1.</w:t>
            </w:r>
          </w:p>
          <w:p>
            <w:pPr>
              <w:spacing w:after="40" w:before="0" w:line="240" w:lineRule="auto"/>
              <w:ind w:left="280" w:hanging="200"/>
              <w:jc w:val="both"/>
            </w:pPr>
            <w:r>
              <w:rPr>
                <w:rFonts w:ascii="Calibri" w:hAnsi="Calibri" w:cs="Calibri"/>
                <w:b w:val="0"/>
                <w:i w:val="0"/>
                <w:sz w:val="20"/>
              </w:rPr>
              <w:t>• Comparación de costo y efectividad: el objetivo se mantiene. No se ha iniciado y depende de A2 y de contar con el pipeline integrado.</w:t>
            </w:r>
          </w:p>
          <w:p>
            <w:pPr>
              <w:spacing w:after="40" w:before="0" w:line="240" w:lineRule="auto"/>
              <w:ind w:left="280" w:hanging="200"/>
              <w:jc w:val="both"/>
            </w:pPr>
            <w:r>
              <w:rPr>
                <w:rFonts w:ascii="Calibri" w:hAnsi="Calibri" w:cs="Calibri"/>
                <w:b w:val="0"/>
                <w:i w:val="0"/>
                <w:sz w:val="20"/>
              </w:rPr>
              <w:t>• Calendario: A2 y A5 están con retraso respecto de su ventana y A1 sigue abierta. La construcción (A6) y las pruebas (A7) están dentro de su ventana.</w:t>
            </w:r>
          </w:p>
          <w:p>
            <w:pPr>
              <w:spacing w:after="40" w:before="0" w:line="240" w:lineRule="auto"/>
              <w:ind w:left="280" w:hanging="200"/>
              <w:jc w:val="both"/>
            </w:pPr>
            <w:r>
              <w:rPr>
                <w:rFonts w:ascii="Calibri" w:hAnsi="Calibri" w:cs="Calibri"/>
                <w:b w:val="0"/>
                <w:i w:val="0"/>
                <w:sz w:val="20"/>
              </w:rPr>
              <w:t>• Telefonía: el plan incluía la telefonía Asterisk como recurso; su integración no está validada a la fecha.</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tcPr>
          <w:p w14:paraId="0908C15F" w14:textId="77777777" w:rsidR="0003309E" w:rsidRPr="00711C16" w:rsidRDefault="0003309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Opcional en caso de ajuste</w:t>
            </w:r>
          </w:p>
          <w:p>
            <w:pPr>
              <w:spacing w:after="60" w:before="80" w:line="240" w:lineRule="auto"/>
              <w:jc w:val="both"/>
            </w:pPr>
            <w:r>
              <w:rPr>
                <w:rFonts w:ascii="Calibri" w:hAnsi="Calibri" w:cs="Calibri"/>
                <w:b w:val="0"/>
                <w:i w:val="0"/>
                <w:sz w:val="20"/>
              </w:rPr>
              <w:t>No se propone un cambio de metodología. La metodología declarada en Fase 1 fue Scrum, con Juan Díaz como Product Owner y desarrollador, Fernando Olguea como líder de proyecto y desarrollador y David Sepúlveda como Scrum Master y desarrollador.</w:t>
            </w:r>
          </w:p>
          <w:p>
            <w:pPr>
              <w:keepNext/>
              <w:spacing w:after="40" w:before="120" w:line="240" w:lineRule="auto"/>
              <w:jc w:val="left"/>
            </w:pPr>
            <w:r>
              <w:rPr>
                <w:rFonts w:ascii="Calibri" w:hAnsi="Calibri" w:cs="Calibri"/>
                <w:b/>
                <w:i w:val="0"/>
                <w:color w:val="1F3864"/>
                <w:sz w:val="20"/>
              </w:rPr>
              <w:t>Prácticas efectivamente evidenciadas</w:t>
            </w:r>
          </w:p>
          <w:p>
            <w:pPr>
              <w:spacing w:after="40" w:before="0" w:line="240" w:lineRule="auto"/>
              <w:ind w:left="280" w:hanging="200"/>
              <w:jc w:val="both"/>
            </w:pPr>
            <w:r>
              <w:rPr>
                <w:rFonts w:ascii="Calibri" w:hAnsi="Calibri" w:cs="Calibri"/>
                <w:b w:val="0"/>
                <w:i w:val="0"/>
                <w:sz w:val="20"/>
              </w:rPr>
              <w:t>• Trabajo en ramas por ticket (DART-14-1.4 a 1.6), Pull Requests hacia la rama principal y commits con convención (EV-002, EV-014).</w:t>
            </w:r>
          </w:p>
          <w:p>
            <w:pPr>
              <w:spacing w:after="40" w:before="0" w:line="240" w:lineRule="auto"/>
              <w:ind w:left="280" w:hanging="200"/>
              <w:jc w:val="both"/>
            </w:pPr>
            <w:r>
              <w:rPr>
                <w:rFonts w:ascii="Calibri" w:hAnsi="Calibri" w:cs="Calibri"/>
                <w:b w:val="0"/>
                <w:i w:val="0"/>
                <w:sz w:val="20"/>
              </w:rPr>
              <w:t>• Responsabilidades por componente: Fernando (coordinación, gestión Git y DeepSeek), Juan (Speechmatics) y David (ElevenLabs).</w:t>
            </w:r>
          </w:p>
          <w:p>
            <w:pPr>
              <w:spacing w:after="40" w:before="0" w:line="240" w:lineRule="auto"/>
              <w:ind w:left="280" w:hanging="200"/>
              <w:jc w:val="both"/>
            </w:pPr>
            <w:r>
              <w:rPr>
                <w:rFonts w:ascii="Calibri" w:hAnsi="Calibri" w:cs="Calibri"/>
                <w:b w:val="0"/>
                <w:i w:val="0"/>
                <w:sz w:val="20"/>
              </w:rPr>
              <w:t>• Seguimiento de actividades en CoreStream y GitHub, y reuniones semanales de seguimiento con Karina (informado por el equipo; registros no adjuntos).</w:t>
            </w:r>
          </w:p>
          <w:p>
            <w:pPr>
              <w:spacing w:after="40" w:before="0" w:line="240" w:lineRule="auto"/>
              <w:ind w:left="280" w:hanging="200"/>
              <w:jc w:val="both"/>
            </w:pPr>
            <w:r>
              <w:rPr>
                <w:rFonts w:ascii="Calibri" w:hAnsi="Calibri" w:cs="Calibri"/>
                <w:b w:val="0"/>
                <w:i w:val="0"/>
                <w:sz w:val="20"/>
              </w:rPr>
              <w:t>• Revisión entre pares en el PR #3 (EV-008) y documentación de pendientes y limitaciones en el README y los PR (EV-015).</w:t>
            </w:r>
          </w:p>
          <w:p>
            <w:pPr>
              <w:spacing w:after="40" w:before="0" w:line="240" w:lineRule="auto"/>
              <w:ind w:left="280" w:hanging="200"/>
              <w:jc w:val="both"/>
            </w:pPr>
            <w:r>
              <w:rPr>
                <w:rFonts w:ascii="Calibri" w:hAnsi="Calibri" w:cs="Calibri"/>
                <w:b w:val="0"/>
                <w:i w:val="0"/>
                <w:sz w:val="20"/>
              </w:rPr>
              <w:t>• Pruebas unitarias sin red por componente y una verificación manual por componente (EV-004, EV-006, EV-011, EV-007, EV-012).</w:t>
            </w:r>
          </w:p>
          <w:p>
            <w:pPr>
              <w:keepNext/>
              <w:spacing w:after="40" w:before="120" w:line="240" w:lineRule="auto"/>
              <w:jc w:val="left"/>
            </w:pPr>
            <w:r>
              <w:rPr>
                <w:rFonts w:ascii="Calibri" w:hAnsi="Calibri" w:cs="Calibri"/>
                <w:b/>
                <w:i w:val="0"/>
                <w:color w:val="1F3864"/>
                <w:sz w:val="20"/>
              </w:rPr>
              <w:t>Reconocimiento de brechas</w:t>
            </w:r>
          </w:p>
          <w:p>
            <w:pPr>
              <w:spacing w:after="60" w:before="0" w:line="240" w:lineRule="auto"/>
              <w:jc w:val="both"/>
            </w:pPr>
            <w:r>
              <w:rPr>
                <w:rFonts w:ascii="Calibri" w:hAnsi="Calibri" w:cs="Calibri"/>
                <w:b w:val="0"/>
                <w:i w:val="0"/>
                <w:sz w:val="20"/>
              </w:rPr>
              <w:t xml:space="preserve">No contamos con registros formales de planificación de Sprints, Sprint Backlog, revisiones de Sprint ni retrospectivas que podamos adjuntar, por lo que no afirmamos haber aplicado todas las ceremonias de Scrum. El diario 2.1 de David también reconoce esta brecha. La duración de los Sprints y la definición de terminado, pendientes en Fase 1, no constan como formalizadas. </w:t>
            </w:r>
            <w:r>
              <w:rPr>
                <w:rFonts w:ascii="Calibri" w:hAnsi="Calibri" w:cs="Calibri"/>
                <w:b/>
                <w:i w:val="0"/>
                <w:sz w:val="20"/>
              </w:rPr>
              <w:t>[PENDIENTE DE VALIDACIÓN]</w:t>
            </w:r>
            <w:r>
              <w:rPr>
                <w:rFonts w:ascii="Calibri" w:hAnsi="Calibri" w:cs="Calibri"/>
                <w:b w:val="0"/>
                <w:i w:val="0"/>
                <w:sz w:val="20"/>
              </w:rPr>
              <w:t xml:space="preserve"> </w:t>
            </w:r>
            <w:r>
              <w:rPr>
                <w:rFonts w:ascii="Calibri" w:hAnsi="Calibri" w:cs="Calibri"/>
                <w:b/>
                <w:i w:val="0"/>
                <w:sz w:val="20"/>
              </w:rPr>
              <w:t>[PROPUESTA]</w:t>
            </w:r>
            <w:r>
              <w:rPr>
                <w:rFonts w:ascii="Calibri" w:hAnsi="Calibri" w:cs="Calibri"/>
                <w:b w:val="0"/>
                <w:i w:val="0"/>
                <w:sz w:val="20"/>
              </w:rPr>
              <w:t xml:space="preserve"> Registrar el backlog y las revisiones desde la próxima semana y exigir revisión formal de los Pull Requests.</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tcPr>
          <w:p w14:paraId="2C28AC8B" w14:textId="7676AFBF" w:rsidR="0003309E" w:rsidRDefault="0003309E" w:rsidP="00585A13">
            <w:pPr>
              <w:jc w:val="both"/>
              <w:rPr>
                <w:rFonts w:ascii="Calibri" w:hAnsi="Calibri" w:cs="Arial"/>
                <w:i/>
                <w:color w:val="548DD4"/>
                <w:sz w:val="20"/>
                <w:szCs w:val="20"/>
                <w:lang w:eastAsia="es-CL"/>
              </w:rPr>
            </w:pPr>
            <w:r w:rsidRPr="006906DA">
              <w:rPr>
                <w:rFonts w:ascii="Calibri" w:hAnsi="Calibri" w:cs="Arial"/>
                <w:i/>
                <w:color w:val="548DD4"/>
                <w:sz w:val="20"/>
                <w:szCs w:val="20"/>
                <w:lang w:eastAsia="es-CL"/>
              </w:rPr>
              <w:t>Describe la</w:t>
            </w:r>
            <w:r>
              <w:rPr>
                <w:rFonts w:ascii="Calibri" w:hAnsi="Calibri" w:cs="Arial"/>
                <w:i/>
                <w:color w:val="548DD4"/>
                <w:sz w:val="20"/>
                <w:szCs w:val="20"/>
                <w:lang w:eastAsia="es-CL"/>
              </w:rPr>
              <w:t>(</w:t>
            </w:r>
            <w:r w:rsidRPr="006906DA">
              <w:rPr>
                <w:rFonts w:ascii="Calibri" w:hAnsi="Calibri" w:cs="Arial"/>
                <w:i/>
                <w:color w:val="548DD4"/>
                <w:sz w:val="20"/>
                <w:szCs w:val="20"/>
                <w:lang w:eastAsia="es-CL"/>
              </w:rPr>
              <w:t>s</w:t>
            </w:r>
            <w:r>
              <w:rPr>
                <w:rFonts w:ascii="Calibri" w:hAnsi="Calibri" w:cs="Arial"/>
                <w:i/>
                <w:color w:val="548DD4"/>
                <w:sz w:val="20"/>
                <w:szCs w:val="20"/>
                <w:lang w:eastAsia="es-CL"/>
              </w:rPr>
              <w:t>)</w:t>
            </w:r>
            <w:r w:rsidRPr="006906DA">
              <w:rPr>
                <w:rFonts w:ascii="Calibri" w:hAnsi="Calibri" w:cs="Arial"/>
                <w:i/>
                <w:color w:val="548DD4"/>
                <w:sz w:val="20"/>
                <w:szCs w:val="20"/>
                <w:lang w:eastAsia="es-CL"/>
              </w:rPr>
              <w:t xml:space="preserve"> evidencia</w:t>
            </w:r>
            <w:r>
              <w:rPr>
                <w:rFonts w:ascii="Calibri" w:hAnsi="Calibri" w:cs="Arial"/>
                <w:i/>
                <w:color w:val="548DD4"/>
                <w:sz w:val="20"/>
                <w:szCs w:val="20"/>
                <w:lang w:eastAsia="es-CL"/>
              </w:rPr>
              <w:t>(</w:t>
            </w:r>
            <w:r w:rsidRPr="006906DA">
              <w:rPr>
                <w:rFonts w:ascii="Calibri" w:hAnsi="Calibri" w:cs="Arial"/>
                <w:i/>
                <w:color w:val="548DD4"/>
                <w:sz w:val="20"/>
                <w:szCs w:val="20"/>
                <w:lang w:eastAsia="es-CL"/>
              </w:rPr>
              <w:t>s</w:t>
            </w:r>
            <w:r>
              <w:rPr>
                <w:rFonts w:ascii="Calibri" w:hAnsi="Calibri" w:cs="Arial"/>
                <w:i/>
                <w:color w:val="548DD4"/>
                <w:sz w:val="20"/>
                <w:szCs w:val="20"/>
                <w:lang w:eastAsia="es-CL"/>
              </w:rPr>
              <w:t>)</w:t>
            </w:r>
            <w:r w:rsidRPr="006906DA">
              <w:rPr>
                <w:rFonts w:ascii="Calibri" w:hAnsi="Calibri" w:cs="Arial"/>
                <w:i/>
                <w:color w:val="548DD4"/>
                <w:sz w:val="20"/>
                <w:szCs w:val="20"/>
                <w:lang w:eastAsia="es-CL"/>
              </w:rPr>
              <w:t xml:space="preserve"> que </w:t>
            </w:r>
            <w:r>
              <w:rPr>
                <w:rFonts w:ascii="Calibri" w:hAnsi="Calibri" w:cs="Arial"/>
                <w:i/>
                <w:color w:val="548DD4"/>
                <w:sz w:val="20"/>
                <w:szCs w:val="20"/>
                <w:lang w:eastAsia="es-CL"/>
              </w:rPr>
              <w:t xml:space="preserve">presentarás en este informe de avance y justifica </w:t>
            </w:r>
            <w:r w:rsidR="00695E7C">
              <w:rPr>
                <w:rFonts w:ascii="Calibri" w:hAnsi="Calibri" w:cs="Arial"/>
                <w:i/>
                <w:color w:val="548DD4"/>
                <w:sz w:val="20"/>
                <w:szCs w:val="20"/>
                <w:lang w:eastAsia="es-CL"/>
              </w:rPr>
              <w:t xml:space="preserve">de qué manera </w:t>
            </w:r>
            <w:r w:rsidRPr="006906DA">
              <w:rPr>
                <w:rFonts w:ascii="Calibri" w:hAnsi="Calibri" w:cs="Arial"/>
                <w:i/>
                <w:color w:val="548DD4"/>
                <w:sz w:val="20"/>
                <w:szCs w:val="20"/>
                <w:lang w:eastAsia="es-CL"/>
              </w:rPr>
              <w:t>esta</w:t>
            </w:r>
            <w:r>
              <w:rPr>
                <w:rFonts w:ascii="Calibri" w:hAnsi="Calibri" w:cs="Arial"/>
                <w:i/>
                <w:color w:val="548DD4"/>
                <w:sz w:val="20"/>
                <w:szCs w:val="20"/>
                <w:lang w:eastAsia="es-CL"/>
              </w:rPr>
              <w:t>(</w:t>
            </w:r>
            <w:r w:rsidRPr="006906DA">
              <w:rPr>
                <w:rFonts w:ascii="Calibri" w:hAnsi="Calibri" w:cs="Arial"/>
                <w:i/>
                <w:color w:val="548DD4"/>
                <w:sz w:val="20"/>
                <w:szCs w:val="20"/>
                <w:lang w:eastAsia="es-CL"/>
              </w:rPr>
              <w:t>s</w:t>
            </w:r>
            <w:r>
              <w:rPr>
                <w:rFonts w:ascii="Calibri" w:hAnsi="Calibri" w:cs="Arial"/>
                <w:i/>
                <w:color w:val="548DD4"/>
                <w:sz w:val="20"/>
                <w:szCs w:val="20"/>
                <w:lang w:eastAsia="es-CL"/>
              </w:rPr>
              <w:t>)</w:t>
            </w:r>
            <w:r w:rsidRPr="006906DA">
              <w:rPr>
                <w:rFonts w:ascii="Calibri" w:hAnsi="Calibri" w:cs="Arial"/>
                <w:i/>
                <w:color w:val="548DD4"/>
                <w:sz w:val="20"/>
                <w:szCs w:val="20"/>
                <w:lang w:eastAsia="es-CL"/>
              </w:rPr>
              <w:t xml:space="preserve"> evidencia</w:t>
            </w:r>
            <w:r>
              <w:rPr>
                <w:rFonts w:ascii="Calibri" w:hAnsi="Calibri" w:cs="Arial"/>
                <w:i/>
                <w:color w:val="548DD4"/>
                <w:sz w:val="20"/>
                <w:szCs w:val="20"/>
                <w:lang w:eastAsia="es-CL"/>
              </w:rPr>
              <w:t>(</w:t>
            </w:r>
            <w:r w:rsidRPr="006906DA">
              <w:rPr>
                <w:rFonts w:ascii="Calibri" w:hAnsi="Calibri" w:cs="Arial"/>
                <w:i/>
                <w:color w:val="548DD4"/>
                <w:sz w:val="20"/>
                <w:szCs w:val="20"/>
                <w:lang w:eastAsia="es-CL"/>
              </w:rPr>
              <w:t>s</w:t>
            </w:r>
            <w:r>
              <w:rPr>
                <w:rFonts w:ascii="Calibri" w:hAnsi="Calibri" w:cs="Arial"/>
                <w:i/>
                <w:color w:val="548DD4"/>
                <w:sz w:val="20"/>
                <w:szCs w:val="20"/>
                <w:lang w:eastAsia="es-CL"/>
              </w:rPr>
              <w:t>)</w:t>
            </w:r>
            <w:r w:rsidRPr="006906DA">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permite(n) </w:t>
            </w:r>
            <w:r w:rsidRPr="006906DA">
              <w:rPr>
                <w:rFonts w:ascii="Calibri" w:hAnsi="Calibri" w:cs="Arial"/>
                <w:i/>
                <w:color w:val="548DD4"/>
                <w:sz w:val="20"/>
                <w:szCs w:val="20"/>
                <w:lang w:eastAsia="es-CL"/>
              </w:rPr>
              <w:t>da</w:t>
            </w:r>
            <w:r>
              <w:rPr>
                <w:rFonts w:ascii="Calibri" w:hAnsi="Calibri" w:cs="Arial"/>
                <w:i/>
                <w:color w:val="548DD4"/>
                <w:sz w:val="20"/>
                <w:szCs w:val="20"/>
                <w:lang w:eastAsia="es-CL"/>
              </w:rPr>
              <w:t>r</w:t>
            </w:r>
            <w:r w:rsidRPr="006906DA">
              <w:rPr>
                <w:rFonts w:ascii="Calibri" w:hAnsi="Calibri" w:cs="Arial"/>
                <w:i/>
                <w:color w:val="548DD4"/>
                <w:sz w:val="20"/>
                <w:szCs w:val="20"/>
                <w:lang w:eastAsia="es-CL"/>
              </w:rPr>
              <w:t xml:space="preserve"> cuenta del </w:t>
            </w:r>
            <w:r w:rsidR="009E52DF">
              <w:rPr>
                <w:rFonts w:ascii="Calibri" w:hAnsi="Calibri" w:cs="Arial"/>
                <w:i/>
                <w:color w:val="548DD4"/>
                <w:sz w:val="20"/>
                <w:szCs w:val="20"/>
                <w:lang w:eastAsia="es-CL"/>
              </w:rPr>
              <w:t>desarrollo</w:t>
            </w:r>
            <w:r w:rsidR="009E52DF" w:rsidRPr="006906DA">
              <w:rPr>
                <w:rFonts w:ascii="Calibri" w:hAnsi="Calibri" w:cs="Arial"/>
                <w:i/>
                <w:color w:val="548DD4"/>
                <w:sz w:val="20"/>
                <w:szCs w:val="20"/>
                <w:lang w:eastAsia="es-CL"/>
              </w:rPr>
              <w:t xml:space="preserve"> </w:t>
            </w:r>
            <w:r w:rsidRPr="006906DA">
              <w:rPr>
                <w:rFonts w:ascii="Calibri" w:hAnsi="Calibri" w:cs="Arial"/>
                <w:i/>
                <w:color w:val="548DD4"/>
                <w:sz w:val="20"/>
                <w:szCs w:val="20"/>
                <w:lang w:eastAsia="es-CL"/>
              </w:rPr>
              <w:t>del proyecto.</w:t>
            </w:r>
          </w:p>
          <w:p w14:paraId="7B20E46B" w14:textId="77777777" w:rsidR="0003309E" w:rsidRDefault="0003309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En caso de ser pertinente </w:t>
            </w:r>
            <w:r w:rsidRPr="006906DA">
              <w:rPr>
                <w:rFonts w:ascii="Calibri" w:hAnsi="Calibri" w:cs="Arial"/>
                <w:i/>
                <w:color w:val="548DD4"/>
                <w:sz w:val="20"/>
                <w:szCs w:val="20"/>
                <w:lang w:eastAsia="es-CL"/>
              </w:rPr>
              <w:t>explica cómo resguardaste la calidad de tu Proyecto APT a partir de aspectos propios de tu disciplina (correcta aplicación de metodologías, actividades, herramientas, recursos propios, etc.).</w:t>
            </w:r>
          </w:p>
          <w:p w14:paraId="51E5B895" w14:textId="77777777" w:rsidR="0003309E" w:rsidRPr="00A370C8" w:rsidRDefault="0003309E" w:rsidP="00585A13">
            <w:pPr>
              <w:jc w:val="both"/>
              <w:rPr>
                <w:rFonts w:ascii="Calibri" w:hAnsi="Calibri" w:cs="Arial"/>
                <w:b/>
                <w:i/>
                <w:color w:val="548DD4"/>
                <w:sz w:val="20"/>
                <w:szCs w:val="20"/>
                <w:lang w:eastAsia="es-CL"/>
              </w:rPr>
            </w:pPr>
            <w:r w:rsidRPr="002C5C85">
              <w:rPr>
                <w:rFonts w:ascii="Calibri" w:hAnsi="Calibri" w:cs="Arial"/>
                <w:i/>
                <w:color w:val="548DD4"/>
                <w:sz w:val="20"/>
                <w:szCs w:val="20"/>
                <w:lang w:eastAsia="es-CL"/>
              </w:rPr>
              <w:t>En este apartado adjuntar la(s) evidencia(s) seleccionada(s) para ser evaluada por el docente.</w:t>
            </w:r>
          </w:p>
          <w:p>
            <w:pPr>
              <w:spacing w:after="60" w:before="80" w:line="240" w:lineRule="auto"/>
              <w:jc w:val="both"/>
            </w:pPr>
            <w:r>
              <w:rPr>
                <w:rFonts w:ascii="Calibri" w:hAnsi="Calibri" w:cs="Calibri"/>
                <w:b w:val="0"/>
                <w:i w:val="0"/>
                <w:sz w:val="20"/>
              </w:rPr>
              <w:t>Se seleccionaron evidencias verificables que remiten a Pull Requests, commits y archivos del repositorio técnico (fernandoknvz/alloxentric-real-time-agent, privado) y del repositorio académico (fernandoknvz/Capstone). Permiten comprobar qué se construyó, cuándo y por quién, y distinguir lo implementado de lo integrado. Los resultados de pruebas y mediciones son los informados por el equipo en los PR y el README; no se adjuntan logs porque no están guardados en los repositorios. No se incluyen claves, credenciales ni datos personales o confidenciales de Alloxentric. El material de Hites no se adjunta: su flujo se usa solo como referencia.</w:t>
            </w:r>
          </w:p>
          <w:tbl>
            <w:tblPr>
              <w:tblStyle w:val="Tablaconcuadrcula"/>
              <w:tblW w:type="auto" w:w="0"/>
              <w:tblLayout w:type="fixed"/>
              <w:tblLook w:firstColumn="1" w:firstRow="1" w:lastColumn="0" w:lastRow="0" w:noHBand="0" w:noVBand="1" w:val="04A0"/>
              <w:tblLayout w:type="fixed"/>
            </w:tblPr>
            <w:tblGrid>
              <w:gridCol w:w="1778"/>
              <w:gridCol w:w="1778"/>
              <w:gridCol w:w="1778"/>
              <w:gridCol w:w="1778"/>
            </w:tblGrid>
            <w:tr>
              <w:trPr>
                <w:tblHeader/>
              </w:trPr>
              <w:tc>
                <w:tcPr>
                  <w:tcW w:type="dxa" w:w="2250"/>
                  <w:shd w:val="clear" w:color="auto" w:fill="D9E2F3"/>
                </w:tcPr>
                <w:p>
                  <w:pPr>
                    <w:spacing w:after="20" w:before="20" w:line="240" w:lineRule="auto"/>
                    <w:jc w:val="left"/>
                  </w:pPr>
                  <w:r>
                    <w:rPr>
                      <w:rFonts w:ascii="Calibri" w:hAnsi="Calibri" w:cs="Calibri"/>
                      <w:b/>
                      <w:i w:val="0"/>
                      <w:sz w:val="16"/>
                    </w:rPr>
                    <w:t>ID y qué demuestra</w:t>
                  </w:r>
                </w:p>
              </w:tc>
              <w:tc>
                <w:tcPr>
                  <w:tcW w:type="dxa" w:w="1000"/>
                  <w:shd w:val="clear" w:color="auto" w:fill="D9E2F3"/>
                </w:tcPr>
                <w:p>
                  <w:pPr>
                    <w:spacing w:after="20" w:before="20" w:line="240" w:lineRule="auto"/>
                    <w:jc w:val="left"/>
                  </w:pPr>
                  <w:r>
                    <w:rPr>
                      <w:rFonts w:ascii="Calibri" w:hAnsi="Calibri" w:cs="Calibri"/>
                      <w:b/>
                      <w:i w:val="0"/>
                      <w:sz w:val="16"/>
                    </w:rPr>
                    <w:t>Actividad / Objetivo</w:t>
                  </w:r>
                </w:p>
              </w:tc>
              <w:tc>
                <w:tcPr>
                  <w:tcW w:type="dxa" w:w="2250"/>
                  <w:shd w:val="clear" w:color="auto" w:fill="D9E2F3"/>
                </w:tcPr>
                <w:p>
                  <w:pPr>
                    <w:spacing w:after="20" w:before="20" w:line="240" w:lineRule="auto"/>
                    <w:jc w:val="left"/>
                  </w:pPr>
                  <w:r>
                    <w:rPr>
                      <w:rFonts w:ascii="Calibri" w:hAnsi="Calibri" w:cs="Calibri"/>
                      <w:b/>
                      <w:i w:val="0"/>
                      <w:sz w:val="16"/>
                    </w:rPr>
                    <w:t>Ubicación verificable</w:t>
                  </w:r>
                </w:p>
              </w:tc>
              <w:tc>
                <w:tcPr>
                  <w:tcW w:type="dxa" w:w="1300"/>
                  <w:shd w:val="clear" w:color="auto" w:fill="D9E2F3"/>
                </w:tcPr>
                <w:p>
                  <w:pPr>
                    <w:spacing w:after="20" w:before="20" w:line="240" w:lineRule="auto"/>
                    <w:jc w:val="left"/>
                  </w:pPr>
                  <w:r>
                    <w:rPr>
                      <w:rFonts w:ascii="Calibri" w:hAnsi="Calibri" w:cs="Calibri"/>
                      <w:b/>
                      <w:i w:val="0"/>
                      <w:sz w:val="16"/>
                    </w:rPr>
                    <w:t>Limitaciones</w:t>
                  </w:r>
                </w:p>
              </w:tc>
            </w:tr>
            <w:tr>
              <w:trPr>
                <w:cantSplit/>
              </w:trPr>
              <w:tc>
                <w:tcPr>
                  <w:tcW w:type="dxa" w:w="2250"/>
                </w:tcPr>
                <w:p>
                  <w:pPr>
                    <w:spacing w:after="20" w:before="20" w:line="240" w:lineRule="auto"/>
                    <w:jc w:val="left"/>
                  </w:pPr>
                  <w:r>
                    <w:rPr>
                      <w:rFonts w:ascii="Calibri" w:hAnsi="Calibri" w:cs="Calibri"/>
                      <w:b w:val="0"/>
                      <w:i w:val="0"/>
                      <w:sz w:val="16"/>
                    </w:rPr>
                    <w:t>EV-002 Estrategia Git y trabajo colaborativo</w:t>
                  </w:r>
                </w:p>
              </w:tc>
              <w:tc>
                <w:tcPr>
                  <w:tcW w:type="dxa" w:w="1000"/>
                </w:tcPr>
                <w:p>
                  <w:pPr>
                    <w:spacing w:after="20" w:before="20" w:line="240" w:lineRule="auto"/>
                    <w:jc w:val="left"/>
                  </w:pPr>
                  <w:r>
                    <w:rPr>
                      <w:rFonts w:ascii="Calibri" w:hAnsi="Calibri" w:cs="Calibri"/>
                      <w:b w:val="0"/>
                      <w:i w:val="0"/>
                      <w:sz w:val="16"/>
                    </w:rPr>
                    <w:t>A4, A9 / OE4</w:t>
                  </w:r>
                </w:p>
              </w:tc>
              <w:tc>
                <w:tcPr>
                  <w:tcW w:type="dxa" w:w="2250"/>
                </w:tcPr>
                <w:p>
                  <w:pPr>
                    <w:spacing w:after="20" w:before="20" w:line="240" w:lineRule="auto"/>
                    <w:jc w:val="left"/>
                  </w:pPr>
                  <w:r>
                    <w:rPr>
                      <w:rFonts w:ascii="Calibri" w:hAnsi="Calibri" w:cs="Calibri"/>
                      <w:b w:val="0"/>
                      <w:i w:val="0"/>
                      <w:sz w:val="16"/>
                    </w:rPr>
                    <w:t>Repo técnico: PR #1 (fusionado el 3 oct), commit 909e6bf, docs/GIT_WORKFLOW.md</w:t>
                  </w:r>
                </w:p>
              </w:tc>
              <w:tc>
                <w:tcPr>
                  <w:tcW w:type="dxa" w:w="1300"/>
                </w:tcPr>
                <w:p>
                  <w:pPr>
                    <w:spacing w:after="20" w:before="20" w:line="240" w:lineRule="auto"/>
                    <w:jc w:val="left"/>
                  </w:pPr>
                  <w:r>
                    <w:rPr>
                      <w:rFonts w:ascii="Calibri" w:hAnsi="Calibri" w:cs="Calibri"/>
                      <w:b w:val="0"/>
                      <w:i w:val="0"/>
                      <w:sz w:val="16"/>
                    </w:rPr>
                    <w:t>No hay actas de aprobación en el repositorio.</w:t>
                  </w:r>
                </w:p>
              </w:tc>
            </w:tr>
            <w:tr>
              <w:trPr>
                <w:cantSplit/>
              </w:trPr>
              <w:tc>
                <w:tcPr>
                  <w:tcW w:type="dxa" w:w="2250"/>
                </w:tcPr>
                <w:p>
                  <w:pPr>
                    <w:spacing w:after="20" w:before="20" w:line="240" w:lineRule="auto"/>
                    <w:jc w:val="left"/>
                  </w:pPr>
                  <w:r>
                    <w:rPr>
                      <w:rFonts w:ascii="Calibri" w:hAnsi="Calibri" w:cs="Calibri"/>
                      <w:b w:val="0"/>
                      <w:i w:val="0"/>
                      <w:sz w:val="16"/>
                    </w:rPr>
                    <w:t>EV-003 Entorno Python/uv y esqueleto de agente LiveKit</w:t>
                  </w:r>
                </w:p>
              </w:tc>
              <w:tc>
                <w:tcPr>
                  <w:tcW w:type="dxa" w:w="1000"/>
                </w:tcPr>
                <w:p>
                  <w:pPr>
                    <w:spacing w:after="20" w:before="20" w:line="240" w:lineRule="auto"/>
                    <w:jc w:val="left"/>
                  </w:pPr>
                  <w:r>
                    <w:rPr>
                      <w:rFonts w:ascii="Calibri" w:hAnsi="Calibri" w:cs="Calibri"/>
                      <w:b w:val="0"/>
                      <w:i w:val="0"/>
                      <w:sz w:val="16"/>
                    </w:rPr>
                    <w:t>A6 / OE3</w:t>
                  </w:r>
                </w:p>
              </w:tc>
              <w:tc>
                <w:tcPr>
                  <w:tcW w:type="dxa" w:w="2250"/>
                </w:tcPr>
                <w:p>
                  <w:pPr>
                    <w:spacing w:after="20" w:before="20" w:line="240" w:lineRule="auto"/>
                    <w:jc w:val="left"/>
                  </w:pPr>
                  <w:r>
                    <w:rPr>
                      <w:rFonts w:ascii="Calibri" w:hAnsi="Calibri" w:cs="Calibri"/>
                      <w:b w:val="0"/>
                      <w:i w:val="0"/>
                      <w:sz w:val="16"/>
                    </w:rPr>
                    <w:t>PR #2 (fusionado el 7 oct), commit 987a29f, agent.py, config.py, pyproject.toml</w:t>
                  </w:r>
                </w:p>
              </w:tc>
              <w:tc>
                <w:tcPr>
                  <w:tcW w:type="dxa" w:w="1300"/>
                </w:tcPr>
                <w:p>
                  <w:pPr>
                    <w:spacing w:after="20" w:before="20" w:line="240" w:lineRule="auto"/>
                    <w:jc w:val="left"/>
                  </w:pPr>
                  <w:r>
                    <w:rPr>
                      <w:rFonts w:ascii="Calibri" w:hAnsi="Calibri" w:cs="Calibri"/>
                      <w:b w:val="0"/>
                      <w:i w:val="0"/>
                      <w:sz w:val="16"/>
                    </w:rPr>
                    <w:t>Sin pipeline ni registro de ejecución en una sala real.</w:t>
                  </w:r>
                </w:p>
              </w:tc>
            </w:tr>
            <w:tr>
              <w:trPr>
                <w:cantSplit/>
              </w:trPr>
              <w:tc>
                <w:tcPr>
                  <w:tcW w:type="dxa" w:w="2250"/>
                </w:tcPr>
                <w:p>
                  <w:pPr>
                    <w:spacing w:after="20" w:before="20" w:line="240" w:lineRule="auto"/>
                    <w:jc w:val="left"/>
                  </w:pPr>
                  <w:r>
                    <w:rPr>
                      <w:rFonts w:ascii="Calibri" w:hAnsi="Calibri" w:cs="Calibri"/>
                      <w:b w:val="0"/>
                      <w:i w:val="0"/>
                      <w:sz w:val="16"/>
                    </w:rPr>
                    <w:t>EV-004 Pruebas de configuración y arranque</w:t>
                  </w:r>
                </w:p>
              </w:tc>
              <w:tc>
                <w:tcPr>
                  <w:tcW w:type="dxa" w:w="1000"/>
                </w:tcPr>
                <w:p>
                  <w:pPr>
                    <w:spacing w:after="20" w:before="20" w:line="240" w:lineRule="auto"/>
                    <w:jc w:val="left"/>
                  </w:pPr>
                  <w:r>
                    <w:rPr>
                      <w:rFonts w:ascii="Calibri" w:hAnsi="Calibri" w:cs="Calibri"/>
                      <w:b w:val="0"/>
                      <w:i w:val="0"/>
                      <w:sz w:val="16"/>
                    </w:rPr>
                    <w:t>A7 / OE5</w:t>
                  </w:r>
                </w:p>
              </w:tc>
              <w:tc>
                <w:tcPr>
                  <w:tcW w:type="dxa" w:w="2250"/>
                </w:tcPr>
                <w:p>
                  <w:pPr>
                    <w:spacing w:after="20" w:before="20" w:line="240" w:lineRule="auto"/>
                    <w:jc w:val="left"/>
                  </w:pPr>
                  <w:r>
                    <w:rPr>
                      <w:rFonts w:ascii="Calibri" w:hAnsi="Calibri" w:cs="Calibri"/>
                      <w:b w:val="0"/>
                      <w:i w:val="0"/>
                      <w:sz w:val="16"/>
                    </w:rPr>
                    <w:t>tests/test_config.py, tests/test_project_bootstrap.py; «9/9» en el PR #2</w:t>
                  </w:r>
                </w:p>
              </w:tc>
              <w:tc>
                <w:tcPr>
                  <w:tcW w:type="dxa" w:w="1300"/>
                </w:tcPr>
                <w:p>
                  <w:pPr>
                    <w:spacing w:after="20" w:before="20" w:line="240" w:lineRule="auto"/>
                    <w:jc w:val="left"/>
                  </w:pPr>
                  <w:r>
                    <w:rPr>
                      <w:rFonts w:ascii="Calibri" w:hAnsi="Calibri" w:cs="Calibri"/>
                      <w:b w:val="0"/>
                      <w:i w:val="0"/>
                      <w:sz w:val="16"/>
                    </w:rPr>
                    <w:t>Resultado informado, sin log.</w:t>
                  </w:r>
                </w:p>
              </w:tc>
            </w:tr>
            <w:tr>
              <w:trPr>
                <w:cantSplit/>
              </w:trPr>
              <w:tc>
                <w:tcPr>
                  <w:tcW w:type="dxa" w:w="2250"/>
                </w:tcPr>
                <w:p>
                  <w:pPr>
                    <w:spacing w:after="20" w:before="20" w:line="240" w:lineRule="auto"/>
                    <w:jc w:val="left"/>
                  </w:pPr>
                  <w:r>
                    <w:rPr>
                      <w:rFonts w:ascii="Calibri" w:hAnsi="Calibri" w:cs="Calibri"/>
                      <w:b w:val="0"/>
                      <w:i w:val="0"/>
                      <w:sz w:val="16"/>
                    </w:rPr>
                    <w:t>EV-005 Componente LLM DeepSeek</w:t>
                  </w:r>
                </w:p>
              </w:tc>
              <w:tc>
                <w:tcPr>
                  <w:tcW w:type="dxa" w:w="1000"/>
                </w:tcPr>
                <w:p>
                  <w:pPr>
                    <w:spacing w:after="20" w:before="20" w:line="240" w:lineRule="auto"/>
                    <w:jc w:val="left"/>
                  </w:pPr>
                  <w:r>
                    <w:rPr>
                      <w:rFonts w:ascii="Calibri" w:hAnsi="Calibri" w:cs="Calibri"/>
                      <w:b w:val="0"/>
                      <w:i w:val="0"/>
                      <w:sz w:val="16"/>
                    </w:rPr>
                    <w:t>A6 / OE3</w:t>
                  </w:r>
                </w:p>
              </w:tc>
              <w:tc>
                <w:tcPr>
                  <w:tcW w:type="dxa" w:w="2250"/>
                </w:tcPr>
                <w:p>
                  <w:pPr>
                    <w:spacing w:after="20" w:before="20" w:line="240" w:lineRule="auto"/>
                    <w:jc w:val="left"/>
                  </w:pPr>
                  <w:r>
                    <w:rPr>
                      <w:rFonts w:ascii="Calibri" w:hAnsi="Calibri" w:cs="Calibri"/>
                      <w:b w:val="0"/>
                      <w:i w:val="0"/>
                      <w:sz w:val="16"/>
                    </w:rPr>
                    <w:t>PR #3 (fusionado el 8 oct), commit 247924b, llm.py, config.py</w:t>
                  </w:r>
                </w:p>
              </w:tc>
              <w:tc>
                <w:tcPr>
                  <w:tcW w:type="dxa" w:w="1300"/>
                </w:tcPr>
                <w:p>
                  <w:pPr>
                    <w:spacing w:after="20" w:before="20" w:line="240" w:lineRule="auto"/>
                    <w:jc w:val="left"/>
                  </w:pPr>
                  <w:r>
                    <w:rPr>
                      <w:rFonts w:ascii="Calibri" w:hAnsi="Calibri" w:cs="Calibri"/>
                      <w:b w:val="0"/>
                      <w:i w:val="0"/>
                      <w:sz w:val="16"/>
                    </w:rPr>
                    <w:t>No integrado; respaldo de la decisión pendiente.</w:t>
                  </w:r>
                </w:p>
              </w:tc>
            </w:tr>
            <w:tr>
              <w:trPr>
                <w:cantSplit/>
              </w:trPr>
              <w:tc>
                <w:tcPr>
                  <w:tcW w:type="dxa" w:w="2250"/>
                </w:tcPr>
                <w:p>
                  <w:pPr>
                    <w:spacing w:after="20" w:before="20" w:line="240" w:lineRule="auto"/>
                    <w:jc w:val="left"/>
                  </w:pPr>
                  <w:r>
                    <w:rPr>
                      <w:rFonts w:ascii="Calibri" w:hAnsi="Calibri" w:cs="Calibri"/>
                      <w:b w:val="0"/>
                      <w:i w:val="0"/>
                      <w:sz w:val="16"/>
                    </w:rPr>
                    <w:t>EV-006 Pruebas unitarias del LLM</w:t>
                  </w:r>
                </w:p>
              </w:tc>
              <w:tc>
                <w:tcPr>
                  <w:tcW w:type="dxa" w:w="1000"/>
                </w:tcPr>
                <w:p>
                  <w:pPr>
                    <w:spacing w:after="20" w:before="20" w:line="240" w:lineRule="auto"/>
                    <w:jc w:val="left"/>
                  </w:pPr>
                  <w:r>
                    <w:rPr>
                      <w:rFonts w:ascii="Calibri" w:hAnsi="Calibri" w:cs="Calibri"/>
                      <w:b w:val="0"/>
                      <w:i w:val="0"/>
                      <w:sz w:val="16"/>
                    </w:rPr>
                    <w:t>A7 / OE5</w:t>
                  </w:r>
                </w:p>
              </w:tc>
              <w:tc>
                <w:tcPr>
                  <w:tcW w:type="dxa" w:w="2250"/>
                </w:tcPr>
                <w:p>
                  <w:pPr>
                    <w:spacing w:after="20" w:before="20" w:line="240" w:lineRule="auto"/>
                    <w:jc w:val="left"/>
                  </w:pPr>
                  <w:r>
                    <w:rPr>
                      <w:rFonts w:ascii="Calibri" w:hAnsi="Calibri" w:cs="Calibri"/>
                      <w:b w:val="0"/>
                      <w:i w:val="0"/>
                      <w:sz w:val="16"/>
                    </w:rPr>
                    <w:t>tests/test_llm.py (9 casos); «18/18» en el PR #3</w:t>
                  </w:r>
                </w:p>
              </w:tc>
              <w:tc>
                <w:tcPr>
                  <w:tcW w:type="dxa" w:w="1300"/>
                </w:tcPr>
                <w:p>
                  <w:pPr>
                    <w:spacing w:after="20" w:before="20" w:line="240" w:lineRule="auto"/>
                    <w:jc w:val="left"/>
                  </w:pPr>
                  <w:r>
                    <w:rPr>
                      <w:rFonts w:ascii="Calibri" w:hAnsi="Calibri" w:cs="Calibri"/>
                      <w:b w:val="0"/>
                      <w:i w:val="0"/>
                      <w:sz w:val="16"/>
                    </w:rPr>
                    <w:t>Informado, sin log.</w:t>
                  </w:r>
                </w:p>
              </w:tc>
            </w:tr>
            <w:tr>
              <w:trPr>
                <w:cantSplit/>
              </w:trPr>
              <w:tc>
                <w:tcPr>
                  <w:tcW w:type="dxa" w:w="2250"/>
                </w:tcPr>
                <w:p>
                  <w:pPr>
                    <w:spacing w:after="20" w:before="20" w:line="240" w:lineRule="auto"/>
                    <w:jc w:val="left"/>
                  </w:pPr>
                  <w:r>
                    <w:rPr>
                      <w:rFonts w:ascii="Calibri" w:hAnsi="Calibri" w:cs="Calibri"/>
                      <w:b w:val="0"/>
                      <w:i w:val="0"/>
                      <w:sz w:val="16"/>
                    </w:rPr>
                    <w:t>EV-007 Verificación manual de DeepSeek</w:t>
                  </w:r>
                </w:p>
              </w:tc>
              <w:tc>
                <w:tcPr>
                  <w:tcW w:type="dxa" w:w="1000"/>
                </w:tcPr>
                <w:p>
                  <w:pPr>
                    <w:spacing w:after="20" w:before="20" w:line="240" w:lineRule="auto"/>
                    <w:jc w:val="left"/>
                  </w:pPr>
                  <w:r>
                    <w:rPr>
                      <w:rFonts w:ascii="Calibri" w:hAnsi="Calibri" w:cs="Calibri"/>
                      <w:b w:val="0"/>
                      <w:i w:val="0"/>
                      <w:sz w:val="16"/>
                    </w:rPr>
                    <w:t>A7 / OE5</w:t>
                  </w:r>
                </w:p>
              </w:tc>
              <w:tc>
                <w:tcPr>
                  <w:tcW w:type="dxa" w:w="2250"/>
                </w:tcPr>
                <w:p>
                  <w:pPr>
                    <w:spacing w:after="20" w:before="20" w:line="240" w:lineRule="auto"/>
                    <w:jc w:val="left"/>
                  </w:pPr>
                  <w:r>
                    <w:rPr>
                      <w:rFonts w:ascii="Calibri" w:hAnsi="Calibri" w:cs="Calibri"/>
                      <w:b w:val="0"/>
                      <w:i w:val="0"/>
                      <w:sz w:val="16"/>
                    </w:rPr>
                    <w:t>scripts/check_deepseek_llm.py; resultado en el cuerpo del PR #3</w:t>
                  </w:r>
                </w:p>
              </w:tc>
              <w:tc>
                <w:tcPr>
                  <w:tcW w:type="dxa" w:w="1300"/>
                </w:tcPr>
                <w:p>
                  <w:pPr>
                    <w:spacing w:after="20" w:before="20" w:line="240" w:lineRule="auto"/>
                    <w:jc w:val="left"/>
                  </w:pPr>
                  <w:r>
                    <w:rPr>
                      <w:rFonts w:ascii="Calibri" w:hAnsi="Calibri" w:cs="Calibri"/>
                      <w:b w:val="0"/>
                      <w:i w:val="0"/>
                      <w:sz w:val="16"/>
                    </w:rPr>
                    <w:t>Una ejecución; el intervalo medido no está precisado.</w:t>
                  </w:r>
                </w:p>
              </w:tc>
            </w:tr>
            <w:tr>
              <w:trPr>
                <w:cantSplit/>
              </w:trPr>
              <w:tc>
                <w:tcPr>
                  <w:tcW w:type="dxa" w:w="2250"/>
                </w:tcPr>
                <w:p>
                  <w:pPr>
                    <w:spacing w:after="20" w:before="20" w:line="240" w:lineRule="auto"/>
                    <w:jc w:val="left"/>
                  </w:pPr>
                  <w:r>
                    <w:rPr>
                      <w:rFonts w:ascii="Calibri" w:hAnsi="Calibri" w:cs="Calibri"/>
                      <w:b w:val="0"/>
                      <w:i w:val="0"/>
                      <w:sz w:val="16"/>
                    </w:rPr>
                    <w:t>EV-008 Revisión entre pares del PR #3</w:t>
                  </w:r>
                </w:p>
              </w:tc>
              <w:tc>
                <w:tcPr>
                  <w:tcW w:type="dxa" w:w="1000"/>
                </w:tcPr>
                <w:p>
                  <w:pPr>
                    <w:spacing w:after="20" w:before="20" w:line="240" w:lineRule="auto"/>
                    <w:jc w:val="left"/>
                  </w:pPr>
                  <w:r>
                    <w:rPr>
                      <w:rFonts w:ascii="Calibri" w:hAnsi="Calibri" w:cs="Calibri"/>
                      <w:b w:val="0"/>
                      <w:i w:val="0"/>
                      <w:sz w:val="16"/>
                    </w:rPr>
                    <w:t>A4 / OE4</w:t>
                  </w:r>
                </w:p>
              </w:tc>
              <w:tc>
                <w:tcPr>
                  <w:tcW w:type="dxa" w:w="2250"/>
                </w:tcPr>
                <w:p>
                  <w:pPr>
                    <w:spacing w:after="20" w:before="20" w:line="240" w:lineRule="auto"/>
                    <w:jc w:val="left"/>
                  </w:pPr>
                  <w:r>
                    <w:rPr>
                      <w:rFonts w:ascii="Calibri" w:hAnsi="Calibri" w:cs="Calibri"/>
                      <w:b w:val="0"/>
                      <w:i w:val="0"/>
                      <w:sz w:val="16"/>
                    </w:rPr>
                    <w:t>Review y comentario en el PR #3 (8 oct)</w:t>
                  </w:r>
                </w:p>
              </w:tc>
              <w:tc>
                <w:tcPr>
                  <w:tcW w:type="dxa" w:w="1300"/>
                </w:tcPr>
                <w:p>
                  <w:pPr>
                    <w:spacing w:after="20" w:before="20" w:line="240" w:lineRule="auto"/>
                    <w:jc w:val="left"/>
                  </w:pPr>
                  <w:r>
                    <w:rPr>
                      <w:rFonts w:ascii="Calibri" w:hAnsi="Calibri" w:cs="Calibri"/>
                      <w:b w:val="0"/>
                      <w:i w:val="0"/>
                      <w:sz w:val="16"/>
                    </w:rPr>
                    <w:t>Registrada como comentario, no como aprobación formal.</w:t>
                  </w:r>
                </w:p>
              </w:tc>
            </w:tr>
            <w:tr>
              <w:trPr>
                <w:cantSplit/>
              </w:trPr>
              <w:tc>
                <w:tcPr>
                  <w:tcW w:type="dxa" w:w="2250"/>
                </w:tcPr>
                <w:p>
                  <w:pPr>
                    <w:spacing w:after="20" w:before="20" w:line="240" w:lineRule="auto"/>
                    <w:jc w:val="left"/>
                  </w:pPr>
                  <w:r>
                    <w:rPr>
                      <w:rFonts w:ascii="Calibri" w:hAnsi="Calibri" w:cs="Calibri"/>
                      <w:b w:val="0"/>
                      <w:i w:val="0"/>
                      <w:sz w:val="16"/>
                    </w:rPr>
                    <w:t>EV-009 Decisión técnica documentada sobre el modelo de DeepSeek</w:t>
                  </w:r>
                </w:p>
              </w:tc>
              <w:tc>
                <w:tcPr>
                  <w:tcW w:type="dxa" w:w="1000"/>
                </w:tcPr>
                <w:p>
                  <w:pPr>
                    <w:spacing w:after="20" w:before="20" w:line="240" w:lineRule="auto"/>
                    <w:jc w:val="left"/>
                  </w:pPr>
                  <w:r>
                    <w:rPr>
                      <w:rFonts w:ascii="Calibri" w:hAnsi="Calibri" w:cs="Calibri"/>
                      <w:b w:val="0"/>
                      <w:i w:val="0"/>
                      <w:sz w:val="16"/>
                    </w:rPr>
                    <w:t>A5 / OE2</w:t>
                  </w:r>
                </w:p>
              </w:tc>
              <w:tc>
                <w:tcPr>
                  <w:tcW w:type="dxa" w:w="2250"/>
                </w:tcPr>
                <w:p>
                  <w:pPr>
                    <w:spacing w:after="20" w:before="20" w:line="240" w:lineRule="auto"/>
                    <w:jc w:val="left"/>
                  </w:pPr>
                  <w:r>
                    <w:rPr>
                      <w:rFonts w:ascii="Calibri" w:hAnsi="Calibri" w:cs="Calibri"/>
                      <w:b w:val="0"/>
                      <w:i w:val="0"/>
                      <w:sz w:val="16"/>
                    </w:rPr>
                    <w:t>README.md (sección DeepSeek) y config.py</w:t>
                  </w:r>
                </w:p>
              </w:tc>
              <w:tc>
                <w:tcPr>
                  <w:tcW w:type="dxa" w:w="1300"/>
                </w:tcPr>
                <w:p>
                  <w:pPr>
                    <w:spacing w:after="20" w:before="20" w:line="240" w:lineRule="auto"/>
                    <w:jc w:val="left"/>
                  </w:pPr>
                  <w:r>
                    <w:rPr>
                      <w:rFonts w:ascii="Calibri" w:hAnsi="Calibri" w:cs="Calibri"/>
                      <w:b w:val="0"/>
                      <w:i w:val="0"/>
                      <w:sz w:val="16"/>
                    </w:rPr>
                    <w:t>Fuentes externas citadas no verificadas en este informe.</w:t>
                  </w:r>
                </w:p>
              </w:tc>
            </w:tr>
            <w:tr>
              <w:trPr>
                <w:cantSplit/>
              </w:trPr>
              <w:tc>
                <w:tcPr>
                  <w:tcW w:type="dxa" w:w="2250"/>
                </w:tcPr>
                <w:p>
                  <w:pPr>
                    <w:spacing w:after="20" w:before="20" w:line="240" w:lineRule="auto"/>
                    <w:jc w:val="left"/>
                  </w:pPr>
                  <w:r>
                    <w:rPr>
                      <w:rFonts w:ascii="Calibri" w:hAnsi="Calibri" w:cs="Calibri"/>
                      <w:b w:val="0"/>
                      <w:i w:val="0"/>
                      <w:sz w:val="16"/>
                    </w:rPr>
                    <w:t>EV-010 Componente TTS ElevenLabs</w:t>
                  </w:r>
                </w:p>
              </w:tc>
              <w:tc>
                <w:tcPr>
                  <w:tcW w:type="dxa" w:w="1000"/>
                </w:tcPr>
                <w:p>
                  <w:pPr>
                    <w:spacing w:after="20" w:before="20" w:line="240" w:lineRule="auto"/>
                    <w:jc w:val="left"/>
                  </w:pPr>
                  <w:r>
                    <w:rPr>
                      <w:rFonts w:ascii="Calibri" w:hAnsi="Calibri" w:cs="Calibri"/>
                      <w:b w:val="0"/>
                      <w:i w:val="0"/>
                      <w:sz w:val="16"/>
                    </w:rPr>
                    <w:t>A6 / OE3</w:t>
                  </w:r>
                </w:p>
              </w:tc>
              <w:tc>
                <w:tcPr>
                  <w:tcW w:type="dxa" w:w="2250"/>
                </w:tcPr>
                <w:p>
                  <w:pPr>
                    <w:spacing w:after="20" w:before="20" w:line="240" w:lineRule="auto"/>
                    <w:jc w:val="left"/>
                  </w:pPr>
                  <w:r>
                    <w:rPr>
                      <w:rFonts w:ascii="Calibri" w:hAnsi="Calibri" w:cs="Calibri"/>
                      <w:b w:val="0"/>
                      <w:i w:val="0"/>
                      <w:sz w:val="16"/>
                    </w:rPr>
                    <w:t>PR #4 (fusionado el 8 oct), commit f476a22, tts.py, config.py</w:t>
                  </w:r>
                </w:p>
              </w:tc>
              <w:tc>
                <w:tcPr>
                  <w:tcW w:type="dxa" w:w="1300"/>
                </w:tcPr>
                <w:p>
                  <w:pPr>
                    <w:spacing w:after="20" w:before="20" w:line="240" w:lineRule="auto"/>
                    <w:jc w:val="left"/>
                  </w:pPr>
                  <w:r>
                    <w:rPr>
                      <w:rFonts w:ascii="Calibri" w:hAnsi="Calibri" w:cs="Calibri"/>
                      <w:b w:val="0"/>
                      <w:i w:val="0"/>
                      <w:sz w:val="16"/>
                    </w:rPr>
                    <w:t>No integrado; modelo y voz son propuesta temporal; PR sin revisión registrada.</w:t>
                  </w:r>
                </w:p>
              </w:tc>
            </w:tr>
            <w:tr>
              <w:trPr>
                <w:cantSplit/>
              </w:trPr>
              <w:tc>
                <w:tcPr>
                  <w:tcW w:type="dxa" w:w="2250"/>
                </w:tcPr>
                <w:p>
                  <w:pPr>
                    <w:spacing w:after="20" w:before="20" w:line="240" w:lineRule="auto"/>
                    <w:jc w:val="left"/>
                  </w:pPr>
                  <w:r>
                    <w:rPr>
                      <w:rFonts w:ascii="Calibri" w:hAnsi="Calibri" w:cs="Calibri"/>
                      <w:b w:val="0"/>
                      <w:i w:val="0"/>
                      <w:sz w:val="16"/>
                    </w:rPr>
                    <w:t>EV-011 Pruebas unitarias del TTS</w:t>
                  </w:r>
                </w:p>
              </w:tc>
              <w:tc>
                <w:tcPr>
                  <w:tcW w:type="dxa" w:w="1000"/>
                </w:tcPr>
                <w:p>
                  <w:pPr>
                    <w:spacing w:after="20" w:before="20" w:line="240" w:lineRule="auto"/>
                    <w:jc w:val="left"/>
                  </w:pPr>
                  <w:r>
                    <w:rPr>
                      <w:rFonts w:ascii="Calibri" w:hAnsi="Calibri" w:cs="Calibri"/>
                      <w:b w:val="0"/>
                      <w:i w:val="0"/>
                      <w:sz w:val="16"/>
                    </w:rPr>
                    <w:t>A7 / OE5</w:t>
                  </w:r>
                </w:p>
              </w:tc>
              <w:tc>
                <w:tcPr>
                  <w:tcW w:type="dxa" w:w="2250"/>
                </w:tcPr>
                <w:p>
                  <w:pPr>
                    <w:spacing w:after="20" w:before="20" w:line="240" w:lineRule="auto"/>
                    <w:jc w:val="left"/>
                  </w:pPr>
                  <w:r>
                    <w:rPr>
                      <w:rFonts w:ascii="Calibri" w:hAnsi="Calibri" w:cs="Calibri"/>
                      <w:b w:val="0"/>
                      <w:i w:val="0"/>
                      <w:sz w:val="16"/>
                    </w:rPr>
                    <w:t>tests/test_tts.py (14 casos); «32 passed» en el PR #4</w:t>
                  </w:r>
                </w:p>
              </w:tc>
              <w:tc>
                <w:tcPr>
                  <w:tcW w:type="dxa" w:w="1300"/>
                </w:tcPr>
                <w:p>
                  <w:pPr>
                    <w:spacing w:after="20" w:before="20" w:line="240" w:lineRule="auto"/>
                    <w:jc w:val="left"/>
                  </w:pPr>
                  <w:r>
                    <w:rPr>
                      <w:rFonts w:ascii="Calibri" w:hAnsi="Calibri" w:cs="Calibri"/>
                      <w:b w:val="0"/>
                      <w:i w:val="0"/>
                      <w:sz w:val="16"/>
                    </w:rPr>
                    <w:t>Informado, sin log.</w:t>
                  </w:r>
                </w:p>
              </w:tc>
            </w:tr>
            <w:tr>
              <w:trPr>
                <w:cantSplit/>
              </w:trPr>
              <w:tc>
                <w:tcPr>
                  <w:tcW w:type="dxa" w:w="2250"/>
                </w:tcPr>
                <w:p>
                  <w:pPr>
                    <w:spacing w:after="20" w:before="20" w:line="240" w:lineRule="auto"/>
                    <w:jc w:val="left"/>
                  </w:pPr>
                  <w:r>
                    <w:rPr>
                      <w:rFonts w:ascii="Calibri" w:hAnsi="Calibri" w:cs="Calibri"/>
                      <w:b w:val="0"/>
                      <w:i w:val="0"/>
                      <w:sz w:val="16"/>
                    </w:rPr>
                    <w:t>EV-012 Verificación manual de ElevenLabs</w:t>
                  </w:r>
                </w:p>
              </w:tc>
              <w:tc>
                <w:tcPr>
                  <w:tcW w:type="dxa" w:w="1000"/>
                </w:tcPr>
                <w:p>
                  <w:pPr>
                    <w:spacing w:after="20" w:before="20" w:line="240" w:lineRule="auto"/>
                    <w:jc w:val="left"/>
                  </w:pPr>
                  <w:r>
                    <w:rPr>
                      <w:rFonts w:ascii="Calibri" w:hAnsi="Calibri" w:cs="Calibri"/>
                      <w:b w:val="0"/>
                      <w:i w:val="0"/>
                      <w:sz w:val="16"/>
                    </w:rPr>
                    <w:t>A7 / OE5</w:t>
                  </w:r>
                </w:p>
              </w:tc>
              <w:tc>
                <w:tcPr>
                  <w:tcW w:type="dxa" w:w="2250"/>
                </w:tcPr>
                <w:p>
                  <w:pPr>
                    <w:spacing w:after="20" w:before="20" w:line="240" w:lineRule="auto"/>
                    <w:jc w:val="left"/>
                  </w:pPr>
                  <w:r>
                    <w:rPr>
                      <w:rFonts w:ascii="Calibri" w:hAnsi="Calibri" w:cs="Calibri"/>
                      <w:b w:val="0"/>
                      <w:i w:val="0"/>
                      <w:sz w:val="16"/>
                    </w:rPr>
                    <w:t>scripts/check_elevenlabs_tts.py; README y PR #4</w:t>
                  </w:r>
                </w:p>
              </w:tc>
              <w:tc>
                <w:tcPr>
                  <w:tcW w:type="dxa" w:w="1300"/>
                </w:tcPr>
                <w:p>
                  <w:pPr>
                    <w:spacing w:after="20" w:before="20" w:line="240" w:lineRule="auto"/>
                    <w:jc w:val="left"/>
                  </w:pPr>
                  <w:r>
                    <w:rPr>
                      <w:rFonts w:ascii="Calibri" w:hAnsi="Calibri" w:cs="Calibri"/>
                      <w:b w:val="0"/>
                      <w:i w:val="0"/>
                      <w:sz w:val="16"/>
                    </w:rPr>
                    <w:t>Una ejecución; créditos no medidos.</w:t>
                  </w:r>
                </w:p>
              </w:tc>
            </w:tr>
            <w:tr>
              <w:trPr>
                <w:cantSplit/>
              </w:trPr>
              <w:tc>
                <w:tcPr>
                  <w:tcW w:type="dxa" w:w="2250"/>
                </w:tcPr>
                <w:p>
                  <w:pPr>
                    <w:spacing w:after="20" w:before="20" w:line="240" w:lineRule="auto"/>
                    <w:jc w:val="left"/>
                  </w:pPr>
                  <w:r>
                    <w:rPr>
                      <w:rFonts w:ascii="Calibri" w:hAnsi="Calibri" w:cs="Calibri"/>
                      <w:b w:val="0"/>
                      <w:i w:val="0"/>
                      <w:sz w:val="16"/>
                    </w:rPr>
                    <w:t>EV-013 Control de secretos</w:t>
                  </w:r>
                </w:p>
              </w:tc>
              <w:tc>
                <w:tcPr>
                  <w:tcW w:type="dxa" w:w="1000"/>
                </w:tcPr>
                <w:p>
                  <w:pPr>
                    <w:spacing w:after="20" w:before="20" w:line="240" w:lineRule="auto"/>
                    <w:jc w:val="left"/>
                  </w:pPr>
                  <w:r>
                    <w:rPr>
                      <w:rFonts w:ascii="Calibri" w:hAnsi="Calibri" w:cs="Calibri"/>
                      <w:b w:val="0"/>
                      <w:i w:val="0"/>
                      <w:sz w:val="16"/>
                    </w:rPr>
                    <w:t>A3, A9 / OE4</w:t>
                  </w:r>
                </w:p>
              </w:tc>
              <w:tc>
                <w:tcPr>
                  <w:tcW w:type="dxa" w:w="2250"/>
                </w:tcPr>
                <w:p>
                  <w:pPr>
                    <w:spacing w:after="20" w:before="20" w:line="240" w:lineRule="auto"/>
                    <w:jc w:val="left"/>
                  </w:pPr>
                  <w:r>
                    <w:rPr>
                      <w:rFonts w:ascii="Calibri" w:hAnsi="Calibri" w:cs="Calibri"/>
                      <w:b w:val="0"/>
                      <w:i w:val="0"/>
                      <w:sz w:val="16"/>
                    </w:rPr>
                    <w:t>.gitignore, .env.example; GIT_WORKFLOW.md, sección 12</w:t>
                  </w:r>
                </w:p>
              </w:tc>
              <w:tc>
                <w:tcPr>
                  <w:tcW w:type="dxa" w:w="1300"/>
                </w:tcPr>
                <w:p>
                  <w:pPr>
                    <w:spacing w:after="20" w:before="20" w:line="240" w:lineRule="auto"/>
                    <w:jc w:val="left"/>
                  </w:pPr>
                  <w:r>
                    <w:rPr>
                      <w:rFonts w:ascii="Calibri" w:hAnsi="Calibri" w:cs="Calibri"/>
                      <w:b w:val="0"/>
                      <w:i w:val="0"/>
                      <w:sz w:val="16"/>
                    </w:rPr>
                    <w:t>Control preventivo, no auditoría.</w:t>
                  </w:r>
                </w:p>
              </w:tc>
            </w:tr>
            <w:tr>
              <w:trPr>
                <w:cantSplit/>
              </w:trPr>
              <w:tc>
                <w:tcPr>
                  <w:tcW w:type="dxa" w:w="2250"/>
                </w:tcPr>
                <w:p>
                  <w:pPr>
                    <w:spacing w:after="20" w:before="20" w:line="240" w:lineRule="auto"/>
                    <w:jc w:val="left"/>
                  </w:pPr>
                  <w:r>
                    <w:rPr>
                      <w:rFonts w:ascii="Calibri" w:hAnsi="Calibri" w:cs="Calibri"/>
                      <w:b w:val="0"/>
                      <w:i w:val="0"/>
                      <w:sz w:val="16"/>
                    </w:rPr>
                    <w:t>EV-014 Trazabilidad entre ramas, PR y tickets</w:t>
                  </w:r>
                </w:p>
              </w:tc>
              <w:tc>
                <w:tcPr>
                  <w:tcW w:type="dxa" w:w="1000"/>
                </w:tcPr>
                <w:p>
                  <w:pPr>
                    <w:spacing w:after="20" w:before="20" w:line="240" w:lineRule="auto"/>
                    <w:jc w:val="left"/>
                  </w:pPr>
                  <w:r>
                    <w:rPr>
                      <w:rFonts w:ascii="Calibri" w:hAnsi="Calibri" w:cs="Calibri"/>
                      <w:b w:val="0"/>
                      <w:i w:val="0"/>
                      <w:sz w:val="16"/>
                    </w:rPr>
                    <w:t>A4, A9 / OE4</w:t>
                  </w:r>
                </w:p>
              </w:tc>
              <w:tc>
                <w:tcPr>
                  <w:tcW w:type="dxa" w:w="2250"/>
                </w:tcPr>
                <w:p>
                  <w:pPr>
                    <w:spacing w:after="20" w:before="20" w:line="240" w:lineRule="auto"/>
                    <w:jc w:val="left"/>
                  </w:pPr>
                  <w:r>
                    <w:rPr>
                      <w:rFonts w:ascii="Calibri" w:hAnsi="Calibri" w:cs="Calibri"/>
                      <w:b w:val="0"/>
                      <w:i w:val="0"/>
                      <w:sz w:val="16"/>
                    </w:rPr>
                    <w:t>Ramas y PR #1 a #4 del repo técnico</w:t>
                  </w:r>
                </w:p>
              </w:tc>
              <w:tc>
                <w:tcPr>
                  <w:tcW w:type="dxa" w:w="1300"/>
                </w:tcPr>
                <w:p>
                  <w:pPr>
                    <w:spacing w:after="20" w:before="20" w:line="240" w:lineRule="auto"/>
                    <w:jc w:val="left"/>
                  </w:pPr>
                  <w:r>
                    <w:rPr>
                      <w:rFonts w:ascii="Calibri" w:hAnsi="Calibri" w:cs="Calibri"/>
                      <w:b w:val="0"/>
                      <w:i w:val="0"/>
                      <w:sz w:val="16"/>
                    </w:rPr>
                    <w:t>Los tickets de CoreStream no están adjuntos.</w:t>
                  </w:r>
                </w:p>
              </w:tc>
            </w:tr>
            <w:tr>
              <w:trPr>
                <w:cantSplit/>
              </w:trPr>
              <w:tc>
                <w:tcPr>
                  <w:tcW w:type="dxa" w:w="2250"/>
                </w:tcPr>
                <w:p>
                  <w:pPr>
                    <w:spacing w:after="20" w:before="20" w:line="240" w:lineRule="auto"/>
                    <w:jc w:val="left"/>
                  </w:pPr>
                  <w:r>
                    <w:rPr>
                      <w:rFonts w:ascii="Calibri" w:hAnsi="Calibri" w:cs="Calibri"/>
                      <w:b w:val="0"/>
                      <w:i w:val="0"/>
                      <w:sz w:val="16"/>
                    </w:rPr>
                    <w:t>EV-015 Pendientes y límites declarados</w:t>
                  </w:r>
                </w:p>
              </w:tc>
              <w:tc>
                <w:tcPr>
                  <w:tcW w:type="dxa" w:w="1000"/>
                </w:tcPr>
                <w:p>
                  <w:pPr>
                    <w:spacing w:after="20" w:before="20" w:line="240" w:lineRule="auto"/>
                    <w:jc w:val="left"/>
                  </w:pPr>
                  <w:r>
                    <w:rPr>
                      <w:rFonts w:ascii="Calibri" w:hAnsi="Calibri" w:cs="Calibri"/>
                      <w:b w:val="0"/>
                      <w:i w:val="0"/>
                      <w:sz w:val="16"/>
                    </w:rPr>
                    <w:t>A3, A9 / OE4</w:t>
                  </w:r>
                </w:p>
              </w:tc>
              <w:tc>
                <w:tcPr>
                  <w:tcW w:type="dxa" w:w="2250"/>
                </w:tcPr>
                <w:p>
                  <w:pPr>
                    <w:spacing w:after="20" w:before="20" w:line="240" w:lineRule="auto"/>
                    <w:jc w:val="left"/>
                  </w:pPr>
                  <w:r>
                    <w:rPr>
                      <w:rFonts w:ascii="Calibri" w:hAnsi="Calibri" w:cs="Calibri"/>
                      <w:b w:val="0"/>
                      <w:i w:val="0"/>
                      <w:sz w:val="16"/>
                    </w:rPr>
                    <w:t>README («Lo que NO existe todavía») y cuerpo del PR #4</w:t>
                  </w:r>
                </w:p>
              </w:tc>
              <w:tc>
                <w:tcPr>
                  <w:tcW w:type="dxa" w:w="1300"/>
                </w:tcPr>
                <w:p>
                  <w:pPr>
                    <w:spacing w:after="20" w:before="20" w:line="240" w:lineRule="auto"/>
                    <w:jc w:val="left"/>
                  </w:pPr>
                  <w:r>
                    <w:rPr>
                      <w:rFonts w:ascii="Calibri" w:hAnsi="Calibri" w:cs="Calibri"/>
                      <w:b w:val="0"/>
                      <w:i w:val="0"/>
                      <w:sz w:val="16"/>
                    </w:rPr>
                    <w:t>—</w:t>
                  </w:r>
                </w:p>
              </w:tc>
            </w:tr>
            <w:tr>
              <w:trPr>
                <w:cantSplit/>
              </w:trPr>
              <w:tc>
                <w:tcPr>
                  <w:tcW w:type="dxa" w:w="2250"/>
                </w:tcPr>
                <w:p>
                  <w:pPr>
                    <w:spacing w:after="20" w:before="20" w:line="240" w:lineRule="auto"/>
                    <w:jc w:val="left"/>
                  </w:pPr>
                  <w:r>
                    <w:rPr>
                      <w:rFonts w:ascii="Calibri" w:hAnsi="Calibri" w:cs="Calibri"/>
                      <w:b w:val="0"/>
                      <w:i w:val="0"/>
                      <w:sz w:val="16"/>
                    </w:rPr>
                    <w:t>EV-016 Diarios de reflexión 2.1 de Fernando y David</w:t>
                  </w:r>
                </w:p>
              </w:tc>
              <w:tc>
                <w:tcPr>
                  <w:tcW w:type="dxa" w:w="1000"/>
                </w:tcPr>
                <w:p>
                  <w:pPr>
                    <w:spacing w:after="20" w:before="20" w:line="240" w:lineRule="auto"/>
                    <w:jc w:val="left"/>
                  </w:pPr>
                  <w:r>
                    <w:rPr>
                      <w:rFonts w:ascii="Calibri" w:hAnsi="Calibri" w:cs="Calibri"/>
                      <w:b w:val="0"/>
                      <w:i w:val="0"/>
                      <w:sz w:val="16"/>
                    </w:rPr>
                    <w:t>A4, A9 / OE4</w:t>
                  </w:r>
                </w:p>
              </w:tc>
              <w:tc>
                <w:tcPr>
                  <w:tcW w:type="dxa" w:w="2250"/>
                </w:tcPr>
                <w:p>
                  <w:pPr>
                    <w:spacing w:after="20" w:before="20" w:line="240" w:lineRule="auto"/>
                    <w:jc w:val="left"/>
                  </w:pPr>
                  <w:r>
                    <w:rPr>
                      <w:rFonts w:ascii="Calibri" w:hAnsi="Calibri" w:cs="Calibri"/>
                      <w:b w:val="0"/>
                      <w:i w:val="0"/>
                      <w:sz w:val="16"/>
                    </w:rPr>
                    <w:t>Repo académico: PR #1 y #2, carpeta Fase 2/Evidencias Individuales</w:t>
                  </w:r>
                </w:p>
              </w:tc>
              <w:tc>
                <w:tcPr>
                  <w:tcW w:type="dxa" w:w="1300"/>
                </w:tcPr>
                <w:p>
                  <w:pPr>
                    <w:spacing w:after="20" w:before="20" w:line="240" w:lineRule="auto"/>
                    <w:jc w:val="left"/>
                  </w:pPr>
                  <w:r>
                    <w:rPr>
                      <w:rFonts w:ascii="Calibri" w:hAnsi="Calibri" w:cs="Calibri"/>
                      <w:b w:val="0"/>
                      <w:i w:val="0"/>
                      <w:sz w:val="16"/>
                    </w:rPr>
                    <w:t>El diario de Juan Díaz aún no está publicado.</w:t>
                  </w:r>
                </w:p>
              </w:tc>
            </w:tr>
            <w:tr>
              <w:trPr>
                <w:cantSplit/>
              </w:trPr>
              <w:tc>
                <w:tcPr>
                  <w:tcW w:type="dxa" w:w="2250"/>
                </w:tcPr>
                <w:p>
                  <w:pPr>
                    <w:spacing w:after="20" w:before="20" w:line="240" w:lineRule="auto"/>
                    <w:jc w:val="left"/>
                  </w:pPr>
                  <w:r>
                    <w:rPr>
                      <w:rFonts w:ascii="Calibri" w:hAnsi="Calibri" w:cs="Calibri"/>
                      <w:b w:val="0"/>
                      <w:i w:val="0"/>
                      <w:sz w:val="16"/>
                    </w:rPr>
                    <w:t>EV-017 Plan de trabajo, objetivos y metodología originales</w:t>
                  </w:r>
                </w:p>
              </w:tc>
              <w:tc>
                <w:tcPr>
                  <w:tcW w:type="dxa" w:w="1000"/>
                </w:tcPr>
                <w:p>
                  <w:pPr>
                    <w:spacing w:after="20" w:before="20" w:line="240" w:lineRule="auto"/>
                    <w:jc w:val="left"/>
                  </w:pPr>
                  <w:r>
                    <w:rPr>
                      <w:rFonts w:ascii="Calibri" w:hAnsi="Calibri" w:cs="Calibri"/>
                      <w:b w:val="0"/>
                      <w:i w:val="0"/>
                      <w:sz w:val="16"/>
                    </w:rPr>
                    <w:t>A1 a A10 / OE1 a OE6</w:t>
                  </w:r>
                </w:p>
              </w:tc>
              <w:tc>
                <w:tcPr>
                  <w:tcW w:type="dxa" w:w="2250"/>
                </w:tcPr>
                <w:p>
                  <w:pPr>
                    <w:spacing w:after="20" w:before="20" w:line="240" w:lineRule="auto"/>
                    <w:jc w:val="left"/>
                  </w:pPr>
                  <w:r>
                    <w:rPr>
                      <w:rFonts w:ascii="Calibri" w:hAnsi="Calibri" w:cs="Calibri"/>
                      <w:b w:val="0"/>
                      <w:i w:val="0"/>
                      <w:sz w:val="16"/>
                    </w:rPr>
                    <w:t>Repo académico: Fase 1/Evidencias Grupales, guía 1.5 (secciones 4, 5, 7 y 8)</w:t>
                  </w:r>
                </w:p>
              </w:tc>
              <w:tc>
                <w:tcPr>
                  <w:tcW w:type="dxa" w:w="1300"/>
                </w:tcPr>
                <w:p>
                  <w:pPr>
                    <w:spacing w:after="20" w:before="20" w:line="240" w:lineRule="auto"/>
                    <w:jc w:val="left"/>
                  </w:pPr>
                  <w:r>
                    <w:rPr>
                      <w:rFonts w:ascii="Calibri" w:hAnsi="Calibri" w:cs="Calibri"/>
                      <w:b w:val="0"/>
                      <w:i w:val="0"/>
                      <w:sz w:val="16"/>
                    </w:rPr>
                    <w:t>—</w:t>
                  </w:r>
                </w:p>
              </w:tc>
            </w:tr>
          </w:tbl>
          <w:p/>
          <w:p>
            <w:pPr>
              <w:keepNext/>
              <w:spacing w:after="40" w:before="120" w:line="240" w:lineRule="auto"/>
              <w:jc w:val="left"/>
            </w:pPr>
            <w:r>
              <w:rPr>
                <w:rFonts w:ascii="Calibri" w:hAnsi="Calibri" w:cs="Calibri"/>
                <w:b/>
                <w:i w:val="0"/>
                <w:color w:val="1F3864"/>
                <w:sz w:val="20"/>
              </w:rPr>
              <w:t>Calidad del proyecto</w:t>
            </w:r>
          </w:p>
          <w:p>
            <w:pPr>
              <w:spacing w:after="40" w:before="0" w:line="240" w:lineRule="auto"/>
              <w:ind w:left="280" w:hanging="200"/>
              <w:jc w:val="both"/>
            </w:pPr>
            <w:r>
              <w:rPr>
                <w:rFonts w:ascii="Calibri" w:hAnsi="Calibri" w:cs="Calibri"/>
                <w:b w:val="0"/>
                <w:i w:val="0"/>
                <w:sz w:val="20"/>
              </w:rPr>
              <w:t>• Pruebas unitarias que no consumen servicios externos, incluida una que verifica que al construir los componentes no se abre la red (EV-006, EV-011).</w:t>
            </w:r>
          </w:p>
          <w:p>
            <w:pPr>
              <w:spacing w:after="40" w:before="0" w:line="240" w:lineRule="auto"/>
              <w:ind w:left="280" w:hanging="200"/>
              <w:jc w:val="both"/>
            </w:pPr>
            <w:r>
              <w:rPr>
                <w:rFonts w:ascii="Calibri" w:hAnsi="Calibri" w:cs="Calibri"/>
                <w:b w:val="0"/>
                <w:i w:val="0"/>
                <w:sz w:val="20"/>
              </w:rPr>
              <w:t>• Modelos y voz definidos de forma explícita y configuración por variables de entorno, con las claves fuera de Git (EV-005, EV-010, EV-013).</w:t>
            </w:r>
          </w:p>
          <w:p>
            <w:pPr>
              <w:spacing w:after="40" w:before="0" w:line="240" w:lineRule="auto"/>
              <w:ind w:left="280" w:hanging="200"/>
              <w:jc w:val="both"/>
            </w:pPr>
            <w:r>
              <w:rPr>
                <w:rFonts w:ascii="Calibri" w:hAnsi="Calibri" w:cs="Calibri"/>
                <w:b w:val="0"/>
                <w:i w:val="0"/>
                <w:sz w:val="20"/>
              </w:rPr>
              <w:t>• Cambios integrados mediante Pull Requests asociados a tickets, con limitaciones y pendientes declarados (EV-014, EV-015).</w:t>
            </w:r>
          </w:p>
          <w:p>
            <w:pPr>
              <w:spacing w:after="40" w:before="0" w:line="240" w:lineRule="auto"/>
              <w:ind w:left="280" w:hanging="200"/>
              <w:jc w:val="both"/>
            </w:pPr>
            <w:r>
              <w:rPr>
                <w:rFonts w:ascii="Calibri" w:hAnsi="Calibri" w:cs="Calibri"/>
                <w:b w:val="0"/>
                <w:i w:val="0"/>
                <w:sz w:val="20"/>
              </w:rPr>
              <w:t>• Brechas reconocidas: revisión entre pares incompleta, ausencia de CI y de logs guardados.</w:t>
            </w:r>
          </w:p>
          <w:p>
            <w:pPr>
              <w:keepNext/>
              <w:spacing w:after="40" w:before="120" w:line="240" w:lineRule="auto"/>
              <w:jc w:val="left"/>
            </w:pPr>
            <w:r>
              <w:rPr>
                <w:rFonts w:ascii="Calibri" w:hAnsi="Calibri" w:cs="Calibri"/>
                <w:b/>
                <w:i w:val="0"/>
                <w:color w:val="1F3864"/>
                <w:sz w:val="20"/>
              </w:rPr>
              <w:t>Evidencias aún no disponibles para adjuntar [PENDIENTE]</w:t>
            </w:r>
          </w:p>
          <w:p>
            <w:pPr>
              <w:spacing w:after="40" w:before="0" w:line="240" w:lineRule="auto"/>
              <w:ind w:left="280" w:hanging="200"/>
              <w:jc w:val="both"/>
            </w:pPr>
            <w:r>
              <w:rPr>
                <w:rFonts w:ascii="Calibri" w:hAnsi="Calibri" w:cs="Calibri"/>
                <w:b w:val="0"/>
                <w:i w:val="0"/>
                <w:sz w:val="20"/>
              </w:rPr>
              <w:t>• Exportación o captura del tablero de CoreStream.</w:t>
            </w:r>
          </w:p>
          <w:p>
            <w:pPr>
              <w:spacing w:after="40" w:before="0" w:line="240" w:lineRule="auto"/>
              <w:ind w:left="280" w:hanging="200"/>
              <w:jc w:val="both"/>
            </w:pPr>
            <w:r>
              <w:rPr>
                <w:rFonts w:ascii="Calibri" w:hAnsi="Calibri" w:cs="Calibri"/>
                <w:b w:val="0"/>
                <w:i w:val="0"/>
                <w:sz w:val="20"/>
              </w:rPr>
              <w:t>• Actas o registros de las reuniones semanales con Karina y del compromiso del 14 de octubre.</w:t>
            </w:r>
          </w:p>
          <w:p>
            <w:pPr>
              <w:spacing w:after="40" w:before="0" w:line="240" w:lineRule="auto"/>
              <w:ind w:left="280" w:hanging="200"/>
              <w:jc w:val="both"/>
            </w:pPr>
            <w:r>
              <w:rPr>
                <w:rFonts w:ascii="Calibri" w:hAnsi="Calibri" w:cs="Calibri"/>
                <w:b w:val="0"/>
                <w:i w:val="0"/>
                <w:sz w:val="20"/>
              </w:rPr>
              <w:t>• Logs de pytest y de las verificaciones manuales.</w:t>
            </w:r>
          </w:p>
          <w:p>
            <w:pPr>
              <w:spacing w:after="40" w:before="0" w:line="240" w:lineRule="auto"/>
              <w:ind w:left="280" w:hanging="200"/>
              <w:jc w:val="both"/>
            </w:pPr>
            <w:r>
              <w:rPr>
                <w:rFonts w:ascii="Calibri" w:hAnsi="Calibri" w:cs="Calibri"/>
                <w:b w:val="0"/>
                <w:i w:val="0"/>
                <w:sz w:val="20"/>
              </w:rPr>
              <w:t>• Descripción anonimizada del flujo de Hites. No se adjunta el archivo original.</w:t>
            </w:r>
          </w:p>
          <w:p>
            <w:pPr>
              <w:spacing w:after="40" w:before="0" w:line="240" w:lineRule="auto"/>
              <w:ind w:left="280" w:hanging="200"/>
              <w:jc w:val="both"/>
            </w:pPr>
            <w:r>
              <w:rPr>
                <w:rFonts w:ascii="Calibri" w:hAnsi="Calibri" w:cs="Calibri"/>
                <w:b w:val="0"/>
                <w:i w:val="0"/>
                <w:sz w:val="20"/>
              </w:rPr>
              <w:t>• Evidencia de Speechmatics, cuando exista un Pull Request.</w:t>
            </w:r>
          </w:p>
          <w:p>
            <w:pPr>
              <w:spacing w:after="40" w:before="0" w:line="240" w:lineRule="auto"/>
              <w:ind w:left="280" w:hanging="200"/>
              <w:jc w:val="both"/>
            </w:pPr>
            <w:r>
              <w:rPr>
                <w:rFonts w:ascii="Calibri" w:hAnsi="Calibri" w:cs="Calibri"/>
                <w:b w:val="0"/>
                <w:i w:val="0"/>
                <w:sz w:val="20"/>
              </w:rPr>
              <w:t>• Acceso del docente al repositorio técnico privado, por confirmar.</w:t>
            </w:r>
          </w:p>
        </w:tc>
      </w:tr>
    </w:tbl>
    <w:p>
      <w:pPr>
        <w:sectPr w:rsidR="0003309E" w:rsidRPr="0003309E">
          <w:headerReference w:type="default" r:id="rId10"/>
          <w:pgSz w:w="11906" w:h="16838"/>
          <w:pgMar w:top="1417" w:right="1701" w:bottom="1417" w:left="1701" w:header="708" w:footer="708" w:gutter="0"/>
          <w:cols w:space="708"/>
          <w:docGrid w:linePitch="360"/>
        </w:sectPr>
      </w:pPr>
    </w:p>
    <w:tbl>
      <w:tblPr>
        <w:tblStyle w:val="Tablaconcuadrcula"/>
        <w:tblW w:w="14400"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4400"/>
      </w:tblGrid>
      <w:tr w:rsidR="00586C9C" w14:paraId="31DD54DD" w14:textId="77777777" w:rsidTr="000A1331">
        <w:trPr>
          <w:trHeight w:val="440"/>
        </w:trPr>
        <w:tc>
          <w:tcPr>
            <w:tcW w:w="1440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1440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14400"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450"/>
        <w:gridCol w:w="1500"/>
        <w:gridCol w:w="1650"/>
        <w:gridCol w:w="1300"/>
        <w:gridCol w:w="1500"/>
        <w:gridCol w:w="2300"/>
        <w:gridCol w:w="2400"/>
        <w:gridCol w:w="2300"/>
      </w:tblGrid>
      <w:tr w:rsidR="00FD5149" w:rsidRPr="006E3B0D" w14:paraId="66FA4353" w14:textId="77777777" w:rsidTr="00EA0C09">
        <w:trPr>
          <w:trHeight w:val="415"/>
          <w:tblHeader/>
        </w:trPr>
        <w:tc>
          <w:tcPr>
            <w:tcW w:w="14400"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rHeight w:val="711"/>
          <w:tblHeader/>
        </w:trPr>
        <w:tc>
          <w:tcPr>
            <w:tcW w:w="1450"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500"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650"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300"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500"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2300"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2400"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230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EA0C09">
        <w:trPr>
          <w:trHeight w:val="2410"/>
        </w:trPr>
        <w:tc>
          <w:tcPr>
            <w:tcW w:w="1450" w:type="dxa"/>
          </w:tcPr>
          <w:p w14:paraId="29F01B29" w14:textId="77777777" w:rsidR="00FD5149" w:rsidRPr="006E3B0D" w:rsidRDefault="00FD5149" w:rsidP="00FD5149">
            <w:pPr>
              <w:spacing w:after="20" w:before="20" w:line="240" w:lineRule="auto"/>
              <w:jc w:val="left"/>
            </w:pPr>
            <w:r>
              <w:rPr>
                <w:rFonts w:ascii="Calibri" w:hAnsi="Calibri" w:cs="Calibri"/>
                <w:b w:val="0"/>
                <w:i w:val="0"/>
                <w:sz w:val="18"/>
              </w:rPr>
              <w:t>Analizar procesos y requerimientos de la organización.</w:t>
            </w:r>
          </w:p>
        </w:tc>
        <w:tc>
          <w:tcPr>
            <w:tcW w:w="1500" w:type="dxa"/>
          </w:tcPr>
          <w:p w14:paraId="7B4EBE25" w14:textId="77777777" w:rsidR="00FD5149" w:rsidRPr="006E3B0D" w:rsidRDefault="00FD5149" w:rsidP="00FD5149">
            <w:pPr>
              <w:spacing w:after="20" w:before="20" w:line="240" w:lineRule="auto"/>
              <w:jc w:val="left"/>
            </w:pPr>
            <w:r>
              <w:rPr>
                <w:rFonts w:ascii="Calibri" w:hAnsi="Calibri" w:cs="Calibri"/>
                <w:b/>
                <w:i w:val="0"/>
                <w:sz w:val="18"/>
              </w:rPr>
              <w:t xml:space="preserve">A1. </w:t>
            </w:r>
            <w:r>
              <w:rPr>
                <w:rFonts w:ascii="Calibri" w:hAnsi="Calibri" w:cs="Calibri"/>
                <w:b w:val="0"/>
                <w:i w:val="0"/>
                <w:sz w:val="18"/>
              </w:rPr>
              <w:t>Análisis del problema y guion de cobranza.</w:t>
            </w:r>
          </w:p>
        </w:tc>
        <w:tc>
          <w:tcPr>
            <w:tcW w:w="1650" w:type="dxa"/>
          </w:tcPr>
          <w:p w14:paraId="16E191DF" w14:textId="77777777" w:rsidR="00FD5149" w:rsidRPr="006E3B0D" w:rsidRDefault="00FD5149" w:rsidP="00FD5149">
            <w:pPr>
              <w:spacing w:after="20" w:before="20" w:line="240" w:lineRule="auto"/>
              <w:jc w:val="left"/>
            </w:pPr>
            <w:r>
              <w:rPr>
                <w:rFonts w:ascii="Calibri" w:hAnsi="Calibri" w:cs="Calibri"/>
                <w:b w:val="0"/>
                <w:i w:val="0"/>
                <w:sz w:val="18"/>
              </w:rPr>
              <w:t>Transcripción de la reunión, guion y documentación empresarial.</w:t>
            </w:r>
          </w:p>
        </w:tc>
        <w:tc>
          <w:tcPr>
            <w:tcW w:w="1300" w:type="dxa"/>
          </w:tcPr>
          <w:p w14:paraId="66A5D860" w14:textId="77777777" w:rsidR="00FD5149" w:rsidRPr="006E3B0D" w:rsidRDefault="00FD5149" w:rsidP="00FD5149">
            <w:pPr>
              <w:spacing w:after="20" w:before="20" w:line="240" w:lineRule="auto"/>
              <w:jc w:val="left"/>
            </w:pPr>
            <w:r>
              <w:rPr>
                <w:rFonts w:ascii="Calibri" w:hAnsi="Calibri" w:cs="Calibri"/>
                <w:b w:val="0"/>
                <w:i w:val="0"/>
                <w:sz w:val="18"/>
              </w:rPr>
              <w:t>3 semanas: S1 a S3.</w:t>
            </w:r>
          </w:p>
        </w:tc>
        <w:tc>
          <w:tcPr>
            <w:tcW w:w="1500" w:type="dxa"/>
          </w:tcPr>
          <w:p w14:paraId="036AB5D8" w14:textId="77777777" w:rsidR="00FD5149" w:rsidRPr="006E3B0D" w:rsidRDefault="00FD5149" w:rsidP="00FD5149">
            <w:pPr>
              <w:spacing w:after="20" w:before="20" w:line="240" w:lineRule="auto"/>
              <w:jc w:val="left"/>
            </w:pPr>
            <w:r>
              <w:rPr>
                <w:rFonts w:ascii="Calibri" w:hAnsi="Calibri" w:cs="Calibri"/>
                <w:b w:val="0"/>
                <w:i w:val="0"/>
                <w:sz w:val="18"/>
              </w:rPr>
              <w:t>Juan Díaz coordina; Fernando Olguea y David Sepúlveda participan.</w:t>
            </w:r>
          </w:p>
        </w:tc>
        <w:tc>
          <w:tcPr>
            <w:tcW w:w="2300" w:type="dxa"/>
          </w:tcPr>
          <w:p w14:paraId="2FCEC037" w14:textId="77777777" w:rsidR="00FD5149" w:rsidRPr="006E3B0D" w:rsidRDefault="00FD5149" w:rsidP="00FD5149">
            <w:pPr>
              <w:spacing w:after="20" w:before="20" w:line="240" w:lineRule="auto"/>
              <w:jc w:val="left"/>
            </w:pPr>
            <w:r>
              <w:rPr>
                <w:rFonts w:ascii="Calibri" w:hAnsi="Calibri" w:cs="Calibri"/>
                <w:b w:val="0"/>
                <w:i w:val="0"/>
                <w:sz w:val="18"/>
              </w:rPr>
              <w:t>El caso de uso de cobranza está confirmado. La recepción y revisión del guion siguen pendientes.</w:t>
            </w:r>
          </w:p>
        </w:tc>
        <w:tc>
          <w:tcPr>
            <w:tcW w:w="2400" w:type="dxa"/>
          </w:tcPr>
          <w:p w14:paraId="29B0BFEB" w14:textId="77777777" w:rsidR="00FD5149" w:rsidRPr="00E54467" w:rsidRDefault="00FD5149" w:rsidP="00FD5149">
            <w:pPr>
              <w:spacing w:after="20" w:before="20" w:line="240" w:lineRule="auto"/>
              <w:jc w:val="left"/>
            </w:pPr>
            <w:r>
              <w:rPr>
                <w:rFonts w:ascii="Calibri" w:hAnsi="Calibri" w:cs="Calibri"/>
                <w:b/>
                <w:i w:val="0"/>
                <w:sz w:val="18"/>
              </w:rPr>
              <w:t xml:space="preserve">En curso. </w:t>
            </w:r>
            <w:r>
              <w:rPr>
                <w:rFonts w:ascii="Calibri" w:hAnsi="Calibri" w:cs="Calibri"/>
                <w:b w:val="0"/>
                <w:i w:val="0"/>
                <w:sz w:val="18"/>
              </w:rPr>
              <w:t xml:space="preserve">La ventana prevista (S1 a S3) ya venció y la actividad sigue abierta. Evidencia: las indicaciones de Alloxentric están consolidadas en los documentos 1.4 y 1.5 de Fase 1 (EV-017) y, según informó el equipo, se recibió el flujo de Hites como referencia del escenario de cobranza. </w:t>
            </w:r>
            <w:r>
              <w:rPr>
                <w:rFonts w:ascii="Calibri" w:hAnsi="Calibri" w:cs="Calibri"/>
                <w:b/>
                <w:i w:val="0"/>
                <w:sz w:val="18"/>
              </w:rPr>
              <w:t>[PENDIENTE DE VALIDACIÓN]</w:t>
            </w:r>
            <w:r>
              <w:rPr>
                <w:rFonts w:ascii="Calibri" w:hAnsi="Calibri" w:cs="Calibri"/>
                <w:b w:val="0"/>
                <w:i w:val="0"/>
                <w:sz w:val="18"/>
              </w:rPr>
              <w:t xml:space="preserve"> No hay un documento de análisis del flujo, de las intenciones y de las respuestas esperadas en los repositorios.</w:t>
            </w:r>
          </w:p>
        </w:tc>
        <w:tc>
          <w:tcPr>
            <w:tcW w:w="2300" w:type="dxa"/>
          </w:tcPr>
          <w:p w14:paraId="7C6D6F31" w14:textId="77777777" w:rsidR="00FD5149" w:rsidRPr="006E3B0D" w:rsidRDefault="00FD5149" w:rsidP="00FD5149">
            <w:pPr>
              <w:spacing w:after="20" w:before="20" w:line="240" w:lineRule="auto"/>
              <w:jc w:val="left"/>
            </w:pPr>
            <w:r>
              <w:rPr>
                <w:rFonts w:ascii="Calibri" w:hAnsi="Calibri" w:cs="Calibri"/>
                <w:b w:val="0"/>
                <w:i w:val="0"/>
                <w:sz w:val="18"/>
              </w:rPr>
              <w:t>Referencia conversacional: el MVP toma como referencia el flujo de Hites proporcionado por Alloxentric (informado por el equipo). Sin replanificación formal.</w:t>
            </w:r>
          </w:p>
        </w:tc>
      </w:tr>
      <w:tr w:rsidR="00FD5149" w:rsidRPr="006E3B0D" w14:paraId="0D4FAAA2" w14:textId="77777777" w:rsidTr="00EA0C09">
        <w:trPr>
          <w:trHeight w:val="2410"/>
        </w:trPr>
        <w:tc>
          <w:tcPr>
            <w:tcW w:w="1450" w:type="dxa"/>
          </w:tcPr>
          <w:p w14:paraId="29F01B29" w14:textId="77777777" w:rsidR="00FD5149" w:rsidRPr="006E3B0D" w:rsidRDefault="00FD5149" w:rsidP="00FD5149">
            <w:pPr>
              <w:spacing w:after="20" w:before="20" w:line="240" w:lineRule="auto"/>
              <w:jc w:val="left"/>
            </w:pPr>
            <w:r>
              <w:rPr>
                <w:rFonts w:ascii="Calibri" w:hAnsi="Calibri" w:cs="Calibri"/>
                <w:b w:val="0"/>
                <w:i w:val="0"/>
                <w:sz w:val="18"/>
              </w:rPr>
              <w:t>Analizar requerimientos y evaluar soluciones informáticas.</w:t>
            </w:r>
          </w:p>
        </w:tc>
        <w:tc>
          <w:tcPr>
            <w:tcW w:w="1500" w:type="dxa"/>
          </w:tcPr>
          <w:p w14:paraId="7B4EBE25" w14:textId="77777777" w:rsidR="00FD5149" w:rsidRPr="006E3B0D" w:rsidRDefault="00FD5149" w:rsidP="00FD5149">
            <w:pPr>
              <w:spacing w:after="20" w:before="20" w:line="240" w:lineRule="auto"/>
              <w:jc w:val="left"/>
            </w:pPr>
            <w:r>
              <w:rPr>
                <w:rFonts w:ascii="Calibri" w:hAnsi="Calibri" w:cs="Calibri"/>
                <w:b/>
                <w:i w:val="0"/>
                <w:sz w:val="18"/>
              </w:rPr>
              <w:t xml:space="preserve">A2. </w:t>
            </w:r>
            <w:r>
              <w:rPr>
                <w:rFonts w:ascii="Calibri" w:hAnsi="Calibri" w:cs="Calibri"/>
                <w:b w:val="0"/>
                <w:i w:val="0"/>
                <w:sz w:val="18"/>
              </w:rPr>
              <w:t>Definición del alcance y protocolo comparativo.</w:t>
            </w:r>
          </w:p>
        </w:tc>
        <w:tc>
          <w:tcPr>
            <w:tcW w:w="1650" w:type="dxa"/>
          </w:tcPr>
          <w:p w14:paraId="16E191DF" w14:textId="77777777" w:rsidR="00FD5149" w:rsidRPr="006E3B0D" w:rsidRDefault="00FD5149" w:rsidP="00FD5149">
            <w:pPr>
              <w:spacing w:after="20" w:before="20" w:line="240" w:lineRule="auto"/>
              <w:jc w:val="left"/>
            </w:pPr>
            <w:r>
              <w:rPr>
                <w:rFonts w:ascii="Calibri" w:hAnsi="Calibri" w:cs="Calibri"/>
                <w:b w:val="0"/>
                <w:i w:val="0"/>
                <w:sz w:val="18"/>
              </w:rPr>
              <w:t>Guion, acuerdos con Alloxentric y datos de la solución actual.</w:t>
            </w:r>
          </w:p>
        </w:tc>
        <w:tc>
          <w:tcPr>
            <w:tcW w:w="1300" w:type="dxa"/>
          </w:tcPr>
          <w:p w14:paraId="66A5D860" w14:textId="77777777" w:rsidR="00FD5149" w:rsidRPr="006E3B0D" w:rsidRDefault="00FD5149" w:rsidP="00FD5149">
            <w:pPr>
              <w:spacing w:after="20" w:before="20" w:line="240" w:lineRule="auto"/>
              <w:jc w:val="left"/>
            </w:pPr>
            <w:r>
              <w:rPr>
                <w:rFonts w:ascii="Calibri" w:hAnsi="Calibri" w:cs="Calibri"/>
                <w:b w:val="0"/>
                <w:i w:val="0"/>
                <w:sz w:val="18"/>
              </w:rPr>
              <w:t>2 semanas: S3 a S4; refinamiento durante los Sprints.</w:t>
            </w:r>
          </w:p>
        </w:tc>
        <w:tc>
          <w:tcPr>
            <w:tcW w:w="1500" w:type="dxa"/>
          </w:tcPr>
          <w:p w14:paraId="036AB5D8" w14:textId="77777777" w:rsidR="00FD5149" w:rsidRPr="006E3B0D" w:rsidRDefault="00FD5149" w:rsidP="00FD5149">
            <w:pPr>
              <w:spacing w:after="20" w:before="20" w:line="240" w:lineRule="auto"/>
              <w:jc w:val="left"/>
            </w:pPr>
            <w:r>
              <w:rPr>
                <w:rFonts w:ascii="Calibri" w:hAnsi="Calibri" w:cs="Calibri"/>
                <w:b w:val="0"/>
                <w:i w:val="0"/>
                <w:sz w:val="18"/>
              </w:rPr>
              <w:t>Juan Díaz coordina; los tres integrantes elaboran el protocolo.</w:t>
            </w:r>
          </w:p>
        </w:tc>
        <w:tc>
          <w:tcPr>
            <w:tcW w:w="2300" w:type="dxa"/>
          </w:tcPr>
          <w:p w14:paraId="2FCEC037" w14:textId="77777777" w:rsidR="00FD5149" w:rsidRPr="006E3B0D" w:rsidRDefault="00FD5149" w:rsidP="00FD5149">
            <w:pPr>
              <w:spacing w:after="20" w:before="20" w:line="240" w:lineRule="auto"/>
              <w:jc w:val="left"/>
            </w:pPr>
            <w:r>
              <w:rPr>
                <w:rFonts w:ascii="Calibri" w:hAnsi="Calibri" w:cs="Calibri"/>
                <w:b w:val="0"/>
                <w:i w:val="0"/>
                <w:sz w:val="18"/>
              </w:rPr>
              <w:t>Confirmar cómo verificar la respuesta de no más de un segundo. No suponer ahorros ni definir efectividad sin acuerdo empresarial.</w:t>
            </w:r>
          </w:p>
        </w:tc>
        <w:tc>
          <w:tcPr>
            <w:tcW w:w="2400" w:type="dxa"/>
          </w:tcPr>
          <w:p w14:paraId="29B0BFEB" w14:textId="77777777" w:rsidR="00FD5149" w:rsidRPr="00E54467" w:rsidRDefault="00FD5149" w:rsidP="00FD5149">
            <w:pPr>
              <w:spacing w:after="20" w:before="20" w:line="240" w:lineRule="auto"/>
              <w:jc w:val="left"/>
            </w:pPr>
            <w:r>
              <w:rPr>
                <w:rFonts w:ascii="Calibri" w:hAnsi="Calibri" w:cs="Calibri"/>
                <w:b/>
                <w:i w:val="0"/>
                <w:sz w:val="18"/>
              </w:rPr>
              <w:t xml:space="preserve">Con retraso. </w:t>
            </w:r>
            <w:r>
              <w:rPr>
                <w:rFonts w:ascii="Calibri" w:hAnsi="Calibri" w:cs="Calibri"/>
                <w:b w:val="0"/>
                <w:i w:val="0"/>
                <w:sz w:val="18"/>
              </w:rPr>
              <w:t xml:space="preserve">La ventana prevista (S3 a S4) venció. No hay en los repositorios un protocolo comparativo, criterios de efectividad ni un método de medición de latencia end-to-end. </w:t>
            </w:r>
            <w:r>
              <w:rPr>
                <w:rFonts w:ascii="Calibri" w:hAnsi="Calibri" w:cs="Calibri"/>
                <w:b/>
                <w:i w:val="0"/>
                <w:sz w:val="18"/>
              </w:rPr>
              <w:t>[PENDIENTE DE VALIDACIÓN]</w:t>
            </w:r>
            <w:r>
              <w:rPr>
                <w:rFonts w:ascii="Calibri" w:hAnsi="Calibri" w:cs="Calibri"/>
                <w:b w:val="0"/>
                <w:i w:val="0"/>
                <w:sz w:val="18"/>
              </w:rPr>
              <w:t xml:space="preserve"> Confirmar si existe algún avance parcial fuera de los repositorios.</w:t>
            </w:r>
          </w:p>
        </w:tc>
        <w:tc>
          <w:tcPr>
            <w:tcW w:w="2300" w:type="dxa"/>
          </w:tcPr>
          <w:p w14:paraId="7C6D6F31" w14:textId="77777777" w:rsidR="00FD5149" w:rsidRPr="006E3B0D" w:rsidRDefault="00FD5149" w:rsidP="00FD5149">
            <w:pPr>
              <w:spacing w:after="20" w:before="20" w:line="240" w:lineRule="auto"/>
              <w:jc w:val="left"/>
            </w:pPr>
            <w:r>
              <w:rPr>
                <w:rFonts w:ascii="Calibri" w:hAnsi="Calibri" w:cs="Calibri"/>
                <w:b w:val="0"/>
                <w:i w:val="0"/>
                <w:sz w:val="18"/>
              </w:rPr>
              <w:t xml:space="preserve">Sin ajuste aprobado. El objetivo de comparar costo y efectividad (OE6) se mantiene. </w:t>
            </w:r>
            <w:r>
              <w:rPr>
                <w:rFonts w:ascii="Calibri" w:hAnsi="Calibri" w:cs="Calibri"/>
                <w:b/>
                <w:i w:val="0"/>
                <w:sz w:val="18"/>
              </w:rPr>
              <w:t>[PROPUESTA]</w:t>
            </w:r>
            <w:r>
              <w:rPr>
                <w:rFonts w:ascii="Calibri" w:hAnsi="Calibri" w:cs="Calibri"/>
                <w:b w:val="0"/>
                <w:i w:val="0"/>
                <w:sz w:val="18"/>
              </w:rPr>
              <w:t xml:space="preserve"> Definir el protocolo con Alloxentric antes de las pruebas end-to-end.</w:t>
            </w:r>
          </w:p>
        </w:tc>
      </w:tr>
      <w:tr w:rsidR="00FD5149" w:rsidRPr="006E3B0D" w14:paraId="0D4FAAA2" w14:textId="77777777" w:rsidTr="00EA0C09">
        <w:trPr>
          <w:trHeight w:val="2410"/>
        </w:trPr>
        <w:tc>
          <w:tcPr>
            <w:tcW w:w="1450" w:type="dxa"/>
          </w:tcPr>
          <w:p w14:paraId="29F01B29" w14:textId="77777777" w:rsidR="00FD5149" w:rsidRPr="006E3B0D" w:rsidRDefault="00FD5149" w:rsidP="00FD5149">
            <w:pPr>
              <w:spacing w:after="20" w:before="20" w:line="240" w:lineRule="auto"/>
              <w:jc w:val="left"/>
            </w:pPr>
            <w:r>
              <w:rPr>
                <w:rFonts w:ascii="Calibri" w:hAnsi="Calibri" w:cs="Calibri"/>
                <w:b w:val="0"/>
                <w:i w:val="0"/>
                <w:sz w:val="18"/>
              </w:rPr>
              <w:t>Gestionar proyectos informáticos.</w:t>
            </w:r>
          </w:p>
        </w:tc>
        <w:tc>
          <w:tcPr>
            <w:tcW w:w="1500" w:type="dxa"/>
          </w:tcPr>
          <w:p w14:paraId="7B4EBE25" w14:textId="77777777" w:rsidR="00FD5149" w:rsidRPr="006E3B0D" w:rsidRDefault="00FD5149" w:rsidP="00FD5149">
            <w:pPr>
              <w:spacing w:after="20" w:before="20" w:line="240" w:lineRule="auto"/>
              <w:jc w:val="left"/>
            </w:pPr>
            <w:r>
              <w:rPr>
                <w:rFonts w:ascii="Calibri" w:hAnsi="Calibri" w:cs="Calibri"/>
                <w:b/>
                <w:i w:val="0"/>
                <w:sz w:val="18"/>
              </w:rPr>
              <w:t xml:space="preserve">A3. </w:t>
            </w:r>
            <w:r>
              <w:rPr>
                <w:rFonts w:ascii="Calibri" w:hAnsi="Calibri" w:cs="Calibri"/>
                <w:b w:val="0"/>
                <w:i w:val="0"/>
                <w:sz w:val="18"/>
              </w:rPr>
              <w:t>Planificación de recursos, costos y riesgos.</w:t>
            </w:r>
          </w:p>
        </w:tc>
        <w:tc>
          <w:tcPr>
            <w:tcW w:w="1650" w:type="dxa"/>
          </w:tcPr>
          <w:p w14:paraId="16E191DF" w14:textId="77777777" w:rsidR="00FD5149" w:rsidRPr="006E3B0D" w:rsidRDefault="00FD5149" w:rsidP="00FD5149">
            <w:pPr>
              <w:spacing w:after="20" w:before="20" w:line="240" w:lineRule="auto"/>
              <w:jc w:val="left"/>
            </w:pPr>
            <w:r>
              <w:rPr>
                <w:rFonts w:ascii="Calibri" w:hAnsi="Calibri" w:cs="Calibri"/>
                <w:b w:val="0"/>
                <w:i w:val="0"/>
                <w:sz w:val="18"/>
              </w:rPr>
              <w:t>Disponibilidad del equipo, condiciones de acceso, límites de consumo y estimaciones.</w:t>
            </w:r>
          </w:p>
        </w:tc>
        <w:tc>
          <w:tcPr>
            <w:tcW w:w="1300" w:type="dxa"/>
          </w:tcPr>
          <w:p w14:paraId="66A5D860" w14:textId="77777777" w:rsidR="00FD5149" w:rsidRPr="006E3B0D" w:rsidRDefault="00FD5149" w:rsidP="00FD5149">
            <w:pPr>
              <w:spacing w:after="20" w:before="20" w:line="240" w:lineRule="auto"/>
              <w:jc w:val="left"/>
            </w:pPr>
            <w:r>
              <w:rPr>
                <w:rFonts w:ascii="Calibri" w:hAnsi="Calibri" w:cs="Calibri"/>
                <w:b w:val="0"/>
                <w:i w:val="0"/>
                <w:sz w:val="18"/>
              </w:rPr>
              <w:t>2 semanas: S3 a S4; seguimiento posterior.</w:t>
            </w:r>
          </w:p>
        </w:tc>
        <w:tc>
          <w:tcPr>
            <w:tcW w:w="1500" w:type="dxa"/>
          </w:tcPr>
          <w:p w14:paraId="036AB5D8" w14:textId="77777777" w:rsidR="00FD5149" w:rsidRPr="006E3B0D" w:rsidRDefault="00FD5149" w:rsidP="00FD5149">
            <w:pPr>
              <w:spacing w:after="20" w:before="20" w:line="240" w:lineRule="auto"/>
              <w:jc w:val="left"/>
            </w:pPr>
            <w:r>
              <w:rPr>
                <w:rFonts w:ascii="Calibri" w:hAnsi="Calibri" w:cs="Calibri"/>
                <w:b w:val="0"/>
                <w:i w:val="0"/>
                <w:sz w:val="18"/>
              </w:rPr>
              <w:t>Fernando Olguea coordina; Juan Díaz y David Sepúlveda participan.</w:t>
            </w:r>
          </w:p>
        </w:tc>
        <w:tc>
          <w:tcPr>
            <w:tcW w:w="2300" w:type="dxa"/>
          </w:tcPr>
          <w:p w14:paraId="2FCEC037" w14:textId="77777777" w:rsidR="00FD5149" w:rsidRPr="006E3B0D" w:rsidRDefault="00FD5149" w:rsidP="00FD5149">
            <w:pPr>
              <w:spacing w:after="20" w:before="20" w:line="240" w:lineRule="auto"/>
              <w:jc w:val="left"/>
            </w:pPr>
            <w:r>
              <w:rPr>
                <w:rFonts w:ascii="Calibri" w:hAnsi="Calibri" w:cs="Calibri"/>
                <w:b w:val="0"/>
                <w:i w:val="0"/>
                <w:sz w:val="18"/>
              </w:rPr>
              <w:t>Distinguir recursos prometidos de recibidos. Confirmar financiamiento y disponibilidad de claves, telefonía y entorno de pruebas.</w:t>
            </w:r>
          </w:p>
        </w:tc>
        <w:tc>
          <w:tcPr>
            <w:tcW w:w="2400" w:type="dxa"/>
          </w:tcPr>
          <w:p w14:paraId="29B0BFEB" w14:textId="77777777" w:rsidR="00FD5149" w:rsidRPr="00E54467" w:rsidRDefault="00FD5149" w:rsidP="00FD5149">
            <w:pPr>
              <w:spacing w:after="20" w:before="20" w:line="240" w:lineRule="auto"/>
              <w:jc w:val="left"/>
            </w:pPr>
            <w:r>
              <w:rPr>
                <w:rFonts w:ascii="Calibri" w:hAnsi="Calibri" w:cs="Calibri"/>
                <w:b/>
                <w:i w:val="0"/>
                <w:sz w:val="18"/>
              </w:rPr>
              <w:t xml:space="preserve">En curso. </w:t>
            </w:r>
            <w:r>
              <w:rPr>
                <w:rFonts w:ascii="Calibri" w:hAnsi="Calibri" w:cs="Calibri"/>
                <w:b w:val="0"/>
                <w:i w:val="0"/>
                <w:sz w:val="18"/>
              </w:rPr>
              <w:t xml:space="preserve">Corresponde a la actividad de seguimiento posterior a S3 y S4. Evidencia: claves y configuración fuera de Git (EV-013) y pendientes registrados (EV-015). Pendiente: consumo y costo de los servicios (los créditos de ElevenLabs no pudieron medirse), límites de uso, telefonía y entorno de pruebas. </w:t>
            </w:r>
            <w:r>
              <w:rPr>
                <w:rFonts w:ascii="Calibri" w:hAnsi="Calibri" w:cs="Calibri"/>
                <w:b/>
                <w:i w:val="0"/>
                <w:sz w:val="18"/>
              </w:rPr>
              <w:t>[PENDIENTE DE VALIDACIÓN]</w:t>
            </w:r>
            <w:r>
              <w:rPr>
                <w:rFonts w:ascii="Calibri" w:hAnsi="Calibri" w:cs="Calibri"/>
                <w:b w:val="0"/>
                <w:i w:val="0"/>
                <w:sz w:val="18"/>
              </w:rPr>
              <w:t xml:space="preserve"> Acuerdos de financiamiento y accesos.</w:t>
            </w:r>
          </w:p>
        </w:tc>
        <w:tc>
          <w:tcPr>
            <w:tcW w:w="2300" w:type="dxa"/>
          </w:tcPr>
          <w:p w14:paraId="7C6D6F31" w14:textId="77777777" w:rsidR="00FD5149" w:rsidRPr="006E3B0D" w:rsidRDefault="00FD5149" w:rsidP="00FD5149">
            <w:pPr>
              <w:spacing w:after="20" w:before="20" w:line="240" w:lineRule="auto"/>
              <w:jc w:val="left"/>
            </w:pPr>
            <w:r>
              <w:rPr>
                <w:rFonts w:ascii="Calibri" w:hAnsi="Calibri" w:cs="Calibri"/>
                <w:b w:val="0"/>
                <w:i w:val="0"/>
                <w:sz w:val="18"/>
              </w:rPr>
              <w:t>Sin ajuste formal.</w:t>
            </w:r>
          </w:p>
        </w:tc>
      </w:tr>
      <w:tr w:rsidR="00FD5149" w:rsidRPr="006E3B0D" w14:paraId="0D4FAAA2" w14:textId="77777777" w:rsidTr="00EA0C09">
        <w:trPr>
          <w:trHeight w:val="2410"/>
        </w:trPr>
        <w:tc>
          <w:tcPr>
            <w:tcW w:w="1450" w:type="dxa"/>
          </w:tcPr>
          <w:p w14:paraId="29F01B29" w14:textId="77777777" w:rsidR="00FD5149" w:rsidRPr="006E3B0D" w:rsidRDefault="00FD5149" w:rsidP="00FD5149">
            <w:pPr>
              <w:spacing w:after="20" w:before="20" w:line="240" w:lineRule="auto"/>
              <w:jc w:val="left"/>
            </w:pPr>
            <w:r>
              <w:rPr>
                <w:rFonts w:ascii="Calibri" w:hAnsi="Calibri" w:cs="Calibri"/>
                <w:b w:val="0"/>
                <w:i w:val="0"/>
                <w:sz w:val="18"/>
              </w:rPr>
              <w:t>Gestionar proyectos informáticos.</w:t>
            </w:r>
          </w:p>
        </w:tc>
        <w:tc>
          <w:tcPr>
            <w:tcW w:w="1500" w:type="dxa"/>
          </w:tcPr>
          <w:p w14:paraId="7B4EBE25" w14:textId="77777777" w:rsidR="00FD5149" w:rsidRPr="006E3B0D" w:rsidRDefault="00FD5149" w:rsidP="00FD5149">
            <w:pPr>
              <w:spacing w:after="20" w:before="20" w:line="240" w:lineRule="auto"/>
              <w:jc w:val="left"/>
            </w:pPr>
            <w:r>
              <w:rPr>
                <w:rFonts w:ascii="Calibri" w:hAnsi="Calibri" w:cs="Calibri"/>
                <w:b/>
                <w:i w:val="0"/>
                <w:sz w:val="18"/>
              </w:rPr>
              <w:t xml:space="preserve">A4. </w:t>
            </w:r>
            <w:r>
              <w:rPr>
                <w:rFonts w:ascii="Calibri" w:hAnsi="Calibri" w:cs="Calibri"/>
                <w:b w:val="0"/>
                <w:i w:val="0"/>
                <w:sz w:val="18"/>
              </w:rPr>
              <w:t>Organización y seguimiento mediante Scrum.</w:t>
            </w:r>
          </w:p>
        </w:tc>
        <w:tc>
          <w:tcPr>
            <w:tcW w:w="1650" w:type="dxa"/>
          </w:tcPr>
          <w:p w14:paraId="16E191DF" w14:textId="77777777" w:rsidR="00FD5149" w:rsidRPr="006E3B0D" w:rsidRDefault="00FD5149" w:rsidP="00FD5149">
            <w:pPr>
              <w:spacing w:after="20" w:before="20" w:line="240" w:lineRule="auto"/>
              <w:jc w:val="left"/>
            </w:pPr>
            <w:r>
              <w:rPr>
                <w:rFonts w:ascii="Calibri" w:hAnsi="Calibri" w:cs="Calibri"/>
                <w:b w:val="0"/>
                <w:i w:val="0"/>
                <w:sz w:val="18"/>
              </w:rPr>
              <w:t>Product Backlog, Sprint Backlogs y registros de seguimiento.</w:t>
            </w:r>
          </w:p>
        </w:tc>
        <w:tc>
          <w:tcPr>
            <w:tcW w:w="1300" w:type="dxa"/>
          </w:tcPr>
          <w:p w14:paraId="66A5D860" w14:textId="77777777" w:rsidR="00FD5149" w:rsidRPr="006E3B0D" w:rsidRDefault="00FD5149" w:rsidP="00FD5149">
            <w:pPr>
              <w:spacing w:after="20" w:before="20" w:line="240" w:lineRule="auto"/>
              <w:jc w:val="left"/>
            </w:pPr>
            <w:r>
              <w:rPr>
                <w:rFonts w:ascii="Calibri" w:hAnsi="Calibri" w:cs="Calibri"/>
                <w:b w:val="0"/>
                <w:i w:val="0"/>
                <w:sz w:val="18"/>
              </w:rPr>
              <w:t>Durante S3 a S18.</w:t>
            </w:r>
          </w:p>
        </w:tc>
        <w:tc>
          <w:tcPr>
            <w:tcW w:w="1500" w:type="dxa"/>
          </w:tcPr>
          <w:p w14:paraId="036AB5D8" w14:textId="77777777" w:rsidR="00FD5149" w:rsidRPr="006E3B0D" w:rsidRDefault="00FD5149" w:rsidP="00FD5149">
            <w:pPr>
              <w:spacing w:after="20" w:before="20" w:line="240" w:lineRule="auto"/>
              <w:jc w:val="left"/>
            </w:pPr>
            <w:r>
              <w:rPr>
                <w:rFonts w:ascii="Calibri" w:hAnsi="Calibri" w:cs="Calibri"/>
                <w:b w:val="0"/>
                <w:i w:val="0"/>
                <w:sz w:val="18"/>
              </w:rPr>
              <w:t>David Sepúlveda facilita; Juan Díaz y Fernando Olguea participan.</w:t>
            </w:r>
          </w:p>
        </w:tc>
        <w:tc>
          <w:tcPr>
            <w:tcW w:w="2300" w:type="dxa"/>
          </w:tcPr>
          <w:p w14:paraId="2FCEC037" w14:textId="77777777" w:rsidR="00FD5149" w:rsidRPr="006E3B0D" w:rsidRDefault="00FD5149" w:rsidP="00FD5149">
            <w:pPr>
              <w:spacing w:after="20" w:before="20" w:line="240" w:lineRule="auto"/>
              <w:jc w:val="left"/>
            </w:pPr>
            <w:r>
              <w:rPr>
                <w:rFonts w:ascii="Calibri" w:hAnsi="Calibri" w:cs="Calibri"/>
                <w:b w:val="0"/>
                <w:i w:val="0"/>
                <w:sz w:val="18"/>
              </w:rPr>
              <w:t>Duración de Sprints pendiente de acuerdo. Los tres desarrolladores planifican su trabajo; Juan mantiene las prioridades del producto.</w:t>
            </w:r>
          </w:p>
        </w:tc>
        <w:tc>
          <w:tcPr>
            <w:tcW w:w="2400" w:type="dxa"/>
          </w:tcPr>
          <w:p w14:paraId="29B0BFEB" w14:textId="77777777" w:rsidR="00FD5149" w:rsidRPr="00E54467" w:rsidRDefault="00FD5149" w:rsidP="00FD5149">
            <w:pPr>
              <w:spacing w:after="20" w:before="20" w:line="240" w:lineRule="auto"/>
              <w:jc w:val="left"/>
            </w:pPr>
            <w:r>
              <w:rPr>
                <w:rFonts w:ascii="Calibri" w:hAnsi="Calibri" w:cs="Calibri"/>
                <w:b/>
                <w:i w:val="0"/>
                <w:sz w:val="18"/>
              </w:rPr>
              <w:t xml:space="preserve">En curso. </w:t>
            </w:r>
            <w:r>
              <w:rPr>
                <w:rFonts w:ascii="Calibri" w:hAnsi="Calibri" w:cs="Calibri"/>
                <w:b w:val="0"/>
                <w:i w:val="0"/>
                <w:sz w:val="18"/>
              </w:rPr>
              <w:t xml:space="preserve">Evidencia: flujo de ramas y Pull Requests por ticket (EV-002, EV-014), revisión entre pares en el PR #3 (EV-008), y seguimiento en GitHub y CoreStream con reuniones semanales con Karina (informado por el equipo). No hay registros formales de Sprints, backlog ni retrospectivas para adjuntar. </w:t>
            </w:r>
            <w:r>
              <w:rPr>
                <w:rFonts w:ascii="Calibri" w:hAnsi="Calibri" w:cs="Calibri"/>
                <w:b/>
                <w:i w:val="0"/>
                <w:sz w:val="18"/>
              </w:rPr>
              <w:t>[PENDIENTE DE VALIDACIÓN]</w:t>
            </w:r>
          </w:p>
        </w:tc>
        <w:tc>
          <w:tcPr>
            <w:tcW w:w="2300" w:type="dxa"/>
          </w:tcPr>
          <w:p w14:paraId="7C6D6F31" w14:textId="77777777" w:rsidR="00FD5149" w:rsidRPr="006E3B0D" w:rsidRDefault="00FD5149" w:rsidP="00FD5149">
            <w:pPr>
              <w:spacing w:after="20" w:before="20" w:line="240" w:lineRule="auto"/>
              <w:jc w:val="left"/>
            </w:pPr>
            <w:r>
              <w:rPr>
                <w:rFonts w:ascii="Calibri" w:hAnsi="Calibri" w:cs="Calibri"/>
                <w:b w:val="0"/>
                <w:i w:val="0"/>
                <w:sz w:val="18"/>
              </w:rPr>
              <w:t xml:space="preserve">Práctica de gestión adoptada: Pull Requests por ticket. </w:t>
            </w:r>
            <w:r>
              <w:rPr>
                <w:rFonts w:ascii="Calibri" w:hAnsi="Calibri" w:cs="Calibri"/>
                <w:b/>
                <w:i w:val="0"/>
                <w:sz w:val="18"/>
              </w:rPr>
              <w:t>[PROPUESTA]</w:t>
            </w:r>
            <w:r>
              <w:rPr>
                <w:rFonts w:ascii="Calibri" w:hAnsi="Calibri" w:cs="Calibri"/>
                <w:b w:val="0"/>
                <w:i w:val="0"/>
                <w:sz w:val="18"/>
              </w:rPr>
              <w:t xml:space="preserve"> Registrar backlog y revisiones, y exigir revisión formal de los PR antes de fusionar. No se aprobó cambio de metodología.</w:t>
            </w:r>
          </w:p>
        </w:tc>
      </w:tr>
      <w:tr w:rsidR="00FD5149" w:rsidRPr="006E3B0D" w14:paraId="0D4FAAA2" w14:textId="77777777" w:rsidTr="00EA0C09">
        <w:trPr>
          <w:trHeight w:val="2410"/>
        </w:trPr>
        <w:tc>
          <w:tcPr>
            <w:tcW w:w="1450" w:type="dxa"/>
          </w:tcPr>
          <w:p w14:paraId="29F01B29" w14:textId="77777777" w:rsidR="00FD5149" w:rsidRPr="006E3B0D" w:rsidRDefault="00FD5149" w:rsidP="00FD5149">
            <w:pPr>
              <w:spacing w:after="20" w:before="20" w:line="240" w:lineRule="auto"/>
              <w:jc w:val="left"/>
            </w:pPr>
            <w:r>
              <w:rPr>
                <w:rFonts w:ascii="Calibri" w:hAnsi="Calibri" w:cs="Calibri"/>
                <w:b w:val="0"/>
                <w:i w:val="0"/>
                <w:sz w:val="18"/>
              </w:rPr>
              <w:t>Construir el modelo arquitectónico de una solución informática.</w:t>
            </w:r>
          </w:p>
        </w:tc>
        <w:tc>
          <w:tcPr>
            <w:tcW w:w="1500" w:type="dxa"/>
          </w:tcPr>
          <w:p w14:paraId="7B4EBE25" w14:textId="77777777" w:rsidR="00FD5149" w:rsidRPr="006E3B0D" w:rsidRDefault="00FD5149" w:rsidP="00FD5149">
            <w:pPr>
              <w:spacing w:after="20" w:before="20" w:line="240" w:lineRule="auto"/>
              <w:jc w:val="left"/>
            </w:pPr>
            <w:r>
              <w:rPr>
                <w:rFonts w:ascii="Calibri" w:hAnsi="Calibri" w:cs="Calibri"/>
                <w:b/>
                <w:i w:val="0"/>
                <w:sz w:val="18"/>
              </w:rPr>
              <w:t xml:space="preserve">A5. </w:t>
            </w:r>
            <w:r>
              <w:rPr>
                <w:rFonts w:ascii="Calibri" w:hAnsi="Calibri" w:cs="Calibri"/>
                <w:b w:val="0"/>
                <w:i w:val="0"/>
                <w:sz w:val="18"/>
              </w:rPr>
              <w:t>Diseño de integración y flujo conversacional.</w:t>
            </w:r>
          </w:p>
        </w:tc>
        <w:tc>
          <w:tcPr>
            <w:tcW w:w="1650" w:type="dxa"/>
          </w:tcPr>
          <w:p w14:paraId="16E191DF" w14:textId="77777777" w:rsidR="00FD5149" w:rsidRPr="006E3B0D" w:rsidRDefault="00FD5149" w:rsidP="00FD5149">
            <w:pPr>
              <w:spacing w:after="20" w:before="20" w:line="240" w:lineRule="auto"/>
              <w:jc w:val="left"/>
            </w:pPr>
            <w:r>
              <w:rPr>
                <w:rFonts w:ascii="Calibri" w:hAnsi="Calibri" w:cs="Calibri"/>
                <w:b w:val="0"/>
                <w:i w:val="0"/>
                <w:sz w:val="18"/>
              </w:rPr>
              <w:t>Guion, requerimientos y documentación técnica de los componentes.</w:t>
            </w:r>
          </w:p>
        </w:tc>
        <w:tc>
          <w:tcPr>
            <w:tcW w:w="1300" w:type="dxa"/>
          </w:tcPr>
          <w:p w14:paraId="66A5D860" w14:textId="77777777" w:rsidR="00FD5149" w:rsidRPr="006E3B0D" w:rsidRDefault="00FD5149" w:rsidP="00FD5149">
            <w:pPr>
              <w:spacing w:after="20" w:before="20" w:line="240" w:lineRule="auto"/>
              <w:jc w:val="left"/>
            </w:pPr>
            <w:r>
              <w:rPr>
                <w:rFonts w:ascii="Calibri" w:hAnsi="Calibri" w:cs="Calibri"/>
                <w:b w:val="0"/>
                <w:i w:val="0"/>
                <w:sz w:val="18"/>
              </w:rPr>
              <w:t>2 semanas: S5 a S6; ajustes durante los Sprints.</w:t>
            </w:r>
          </w:p>
        </w:tc>
        <w:tc>
          <w:tcPr>
            <w:tcW w:w="1500" w:type="dxa"/>
          </w:tcPr>
          <w:p w14:paraId="036AB5D8" w14:textId="77777777" w:rsidR="00FD5149" w:rsidRPr="006E3B0D" w:rsidRDefault="00FD5149" w:rsidP="00FD5149">
            <w:pPr>
              <w:spacing w:after="20" w:before="20" w:line="240" w:lineRule="auto"/>
              <w:jc w:val="left"/>
            </w:pPr>
            <w:r>
              <w:rPr>
                <w:rFonts w:ascii="Calibri" w:hAnsi="Calibri" w:cs="Calibri"/>
                <w:b w:val="0"/>
                <w:i w:val="0"/>
                <w:sz w:val="18"/>
              </w:rPr>
              <w:t>Fernando Olguea coordina; Juan Díaz y David Sepúlveda participan.</w:t>
            </w:r>
          </w:p>
        </w:tc>
        <w:tc>
          <w:tcPr>
            <w:tcW w:w="2300" w:type="dxa"/>
          </w:tcPr>
          <w:p w14:paraId="2FCEC037" w14:textId="77777777" w:rsidR="00FD5149" w:rsidRPr="006E3B0D" w:rsidRDefault="00FD5149" w:rsidP="00FD5149">
            <w:pPr>
              <w:spacing w:after="20" w:before="20" w:line="240" w:lineRule="auto"/>
              <w:jc w:val="left"/>
            </w:pPr>
            <w:r>
              <w:rPr>
                <w:rFonts w:ascii="Calibri" w:hAnsi="Calibri" w:cs="Calibri"/>
                <w:b w:val="0"/>
                <w:i w:val="0"/>
                <w:sz w:val="18"/>
              </w:rPr>
              <w:t>Evitar un LLM inicialmente, según Max. Precisar el comportamiento ante respuestas no reconocidas y el manejo seguro de credenciales.</w:t>
            </w:r>
          </w:p>
        </w:tc>
        <w:tc>
          <w:tcPr>
            <w:tcW w:w="2400" w:type="dxa"/>
          </w:tcPr>
          <w:p w14:paraId="29B0BFEB" w14:textId="77777777" w:rsidR="00FD5149" w:rsidRPr="00E54467" w:rsidRDefault="00FD5149" w:rsidP="00FD5149">
            <w:pPr>
              <w:spacing w:after="20" w:before="20" w:line="240" w:lineRule="auto"/>
              <w:jc w:val="left"/>
            </w:pPr>
            <w:r>
              <w:rPr>
                <w:rFonts w:ascii="Calibri" w:hAnsi="Calibri" w:cs="Calibri"/>
                <w:b/>
                <w:i w:val="0"/>
                <w:sz w:val="18"/>
              </w:rPr>
              <w:t xml:space="preserve">Con retraso. </w:t>
            </w:r>
            <w:r>
              <w:rPr>
                <w:rFonts w:ascii="Calibri" w:hAnsi="Calibri" w:cs="Calibri"/>
                <w:b w:val="0"/>
                <w:i w:val="0"/>
                <w:sz w:val="18"/>
              </w:rPr>
              <w:t>La ventana prevista (S5 a S6) venció. Hay decisiones técnicas documentadas (EV-009), pero no existen diagramas de integración ni el flujo conversacional documentado, y la integración con Asterisk no está validada.</w:t>
            </w:r>
          </w:p>
        </w:tc>
        <w:tc>
          <w:tcPr>
            <w:tcW w:w="2300" w:type="dxa"/>
          </w:tcPr>
          <w:p w14:paraId="7C6D6F31" w14:textId="77777777" w:rsidR="00FD5149" w:rsidRPr="006E3B0D" w:rsidRDefault="00FD5149" w:rsidP="00FD5149">
            <w:pPr>
              <w:spacing w:after="20" w:before="20" w:line="240" w:lineRule="auto"/>
              <w:jc w:val="left"/>
            </w:pPr>
            <w:r>
              <w:rPr>
                <w:rFonts w:ascii="Calibri" w:hAnsi="Calibri" w:cs="Calibri"/>
                <w:b w:val="0"/>
                <w:i w:val="0"/>
                <w:sz w:val="18"/>
              </w:rPr>
              <w:t xml:space="preserve">Diferencia respecto del plan: se incorporó un LLM (DeepSeek), aunque la observación original indicaba evitarlo inicialmente. No consta en estos documentos una aprobación formal con fecha. </w:t>
            </w:r>
            <w:r>
              <w:rPr>
                <w:rFonts w:ascii="Calibri" w:hAnsi="Calibri" w:cs="Calibri"/>
                <w:b/>
                <w:i w:val="0"/>
                <w:sz w:val="18"/>
              </w:rPr>
              <w:t>[PENDIENTE DE VALIDACIÓN]</w:t>
            </w:r>
            <w:r>
              <w:rPr>
                <w:rFonts w:ascii="Calibri" w:hAnsi="Calibri" w:cs="Calibri"/>
                <w:b w:val="0"/>
                <w:i w:val="0"/>
                <w:sz w:val="18"/>
              </w:rPr>
              <w:t xml:space="preserve"> Se informa como diferencia, no como ajuste aprobado.</w:t>
            </w:r>
          </w:p>
        </w:tc>
      </w:tr>
      <w:tr w:rsidR="00FD5149" w:rsidRPr="006E3B0D" w14:paraId="0D4FAAA2" w14:textId="77777777" w:rsidTr="00EA0C09">
        <w:trPr>
          <w:trHeight w:val="2410"/>
        </w:trPr>
        <w:tc>
          <w:tcPr>
            <w:tcW w:w="1450" w:type="dxa"/>
          </w:tcPr>
          <w:p w14:paraId="29F01B29" w14:textId="77777777" w:rsidR="00FD5149" w:rsidRPr="006E3B0D" w:rsidRDefault="00FD5149" w:rsidP="00FD5149">
            <w:pPr>
              <w:spacing w:after="20" w:before="20" w:line="240" w:lineRule="auto"/>
              <w:jc w:val="left"/>
            </w:pPr>
            <w:r>
              <w:rPr>
                <w:rFonts w:ascii="Calibri" w:hAnsi="Calibri" w:cs="Calibri"/>
                <w:b w:val="0"/>
                <w:i w:val="0"/>
                <w:sz w:val="18"/>
              </w:rPr>
              <w:t>Desarrollar e integrar soluciones de software.</w:t>
            </w:r>
          </w:p>
        </w:tc>
        <w:tc>
          <w:tcPr>
            <w:tcW w:w="1500" w:type="dxa"/>
          </w:tcPr>
          <w:p w14:paraId="7B4EBE25" w14:textId="77777777" w:rsidR="00FD5149" w:rsidRPr="006E3B0D" w:rsidRDefault="00FD5149" w:rsidP="00FD5149">
            <w:pPr>
              <w:spacing w:after="20" w:before="20" w:line="240" w:lineRule="auto"/>
              <w:jc w:val="left"/>
            </w:pPr>
            <w:r>
              <w:rPr>
                <w:rFonts w:ascii="Calibri" w:hAnsi="Calibri" w:cs="Calibri"/>
                <w:b/>
                <w:i w:val="0"/>
                <w:sz w:val="18"/>
              </w:rPr>
              <w:t xml:space="preserve">A6. </w:t>
            </w:r>
            <w:r>
              <w:rPr>
                <w:rFonts w:ascii="Calibri" w:hAnsi="Calibri" w:cs="Calibri"/>
                <w:b w:val="0"/>
                <w:i w:val="0"/>
                <w:sz w:val="18"/>
              </w:rPr>
              <w:t>Construcción e integración del bot de cobranza.</w:t>
            </w:r>
          </w:p>
        </w:tc>
        <w:tc>
          <w:tcPr>
            <w:tcW w:w="1650" w:type="dxa"/>
          </w:tcPr>
          <w:p w14:paraId="16E191DF" w14:textId="77777777" w:rsidR="00FD5149" w:rsidRPr="006E3B0D" w:rsidRDefault="00FD5149" w:rsidP="00FD5149">
            <w:pPr>
              <w:spacing w:after="20" w:before="20" w:line="240" w:lineRule="auto"/>
              <w:jc w:val="left"/>
            </w:pPr>
            <w:r>
              <w:rPr>
                <w:rFonts w:ascii="Calibri" w:hAnsi="Calibri" w:cs="Calibri"/>
                <w:b w:val="0"/>
                <w:i w:val="0"/>
                <w:sz w:val="18"/>
              </w:rPr>
              <w:t>LiveKit, Speechmatics, ElevenLabs, Asterisk, claves autorizadas y repositorio.</w:t>
            </w:r>
          </w:p>
        </w:tc>
        <w:tc>
          <w:tcPr>
            <w:tcW w:w="1300" w:type="dxa"/>
          </w:tcPr>
          <w:p w14:paraId="66A5D860" w14:textId="77777777" w:rsidR="00FD5149" w:rsidRPr="006E3B0D" w:rsidRDefault="00FD5149" w:rsidP="00FD5149">
            <w:pPr>
              <w:spacing w:after="20" w:before="20" w:line="240" w:lineRule="auto"/>
              <w:jc w:val="left"/>
            </w:pPr>
            <w:r>
              <w:rPr>
                <w:rFonts w:ascii="Calibri" w:hAnsi="Calibri" w:cs="Calibri"/>
                <w:b w:val="0"/>
                <w:i w:val="0"/>
                <w:sz w:val="18"/>
              </w:rPr>
              <w:t>7 semanas: S7 a S13.</w:t>
            </w:r>
          </w:p>
        </w:tc>
        <w:tc>
          <w:tcPr>
            <w:tcW w:w="1500" w:type="dxa"/>
          </w:tcPr>
          <w:p w14:paraId="036AB5D8" w14:textId="77777777" w:rsidR="00FD5149" w:rsidRPr="006E3B0D" w:rsidRDefault="00FD5149" w:rsidP="00FD5149">
            <w:pPr>
              <w:spacing w:after="20" w:before="20" w:line="240" w:lineRule="auto"/>
              <w:jc w:val="left"/>
            </w:pPr>
            <w:r>
              <w:rPr>
                <w:rFonts w:ascii="Calibri" w:hAnsi="Calibri" w:cs="Calibri"/>
                <w:b w:val="0"/>
                <w:i w:val="0"/>
                <w:sz w:val="18"/>
              </w:rPr>
              <w:t>Juan Díaz, Fernando Olguea y David Sepúlveda.</w:t>
            </w:r>
          </w:p>
        </w:tc>
        <w:tc>
          <w:tcPr>
            <w:tcW w:w="2300" w:type="dxa"/>
          </w:tcPr>
          <w:p w14:paraId="2FCEC037" w14:textId="77777777" w:rsidR="00FD5149" w:rsidRPr="006E3B0D" w:rsidRDefault="00FD5149" w:rsidP="00FD5149">
            <w:pPr>
              <w:spacing w:after="20" w:before="20" w:line="240" w:lineRule="auto"/>
              <w:jc w:val="left"/>
            </w:pPr>
            <w:r>
              <w:rPr>
                <w:rFonts w:ascii="Calibri" w:hAnsi="Calibri" w:cs="Calibri"/>
                <w:b w:val="0"/>
                <w:i w:val="0"/>
                <w:sz w:val="18"/>
              </w:rPr>
              <w:t>La integración telefónica depende de los accesos. Coordinar la entrega y el despliegue con Alloxentric; no presuponer acceso a producción.</w:t>
            </w:r>
          </w:p>
        </w:tc>
        <w:tc>
          <w:tcPr>
            <w:tcW w:w="2400" w:type="dxa"/>
          </w:tcPr>
          <w:p w14:paraId="29B0BFEB" w14:textId="77777777" w:rsidR="00FD5149" w:rsidRPr="00E54467" w:rsidRDefault="00FD5149" w:rsidP="00FD5149">
            <w:pPr>
              <w:spacing w:after="20" w:before="20" w:line="240" w:lineRule="auto"/>
              <w:jc w:val="left"/>
            </w:pPr>
            <w:r>
              <w:rPr>
                <w:rFonts w:ascii="Calibri" w:hAnsi="Calibri" w:cs="Calibri"/>
                <w:b/>
                <w:i w:val="0"/>
                <w:sz w:val="18"/>
              </w:rPr>
              <w:t xml:space="preserve">En curso. </w:t>
            </w:r>
            <w:r>
              <w:rPr>
                <w:rFonts w:ascii="Calibri" w:hAnsi="Calibri" w:cs="Calibri"/>
                <w:b w:val="0"/>
                <w:i w:val="0"/>
                <w:sz w:val="18"/>
              </w:rPr>
              <w:t>Dentro de la ventana prevista (S7 a S13). Implementados y fusionados de forma individual: base LiveKit (EV-003), DeepSeek (EV-005) y ElevenLabs (EV-010). Speechmatics no está validado; Juan se comprometió a tenerlo para la reunión del miércoles 14 de octubre, lo que no equivale a una implementación completada. Pipeline completo e integración con Asterisk pendientes.</w:t>
            </w:r>
          </w:p>
        </w:tc>
        <w:tc>
          <w:tcPr>
            <w:tcW w:w="2300" w:type="dxa"/>
          </w:tcPr>
          <w:p w14:paraId="7C6D6F31" w14:textId="77777777" w:rsidR="00FD5149" w:rsidRPr="006E3B0D" w:rsidRDefault="00FD5149" w:rsidP="00FD5149">
            <w:pPr>
              <w:spacing w:after="20" w:before="20" w:line="240" w:lineRule="auto"/>
              <w:jc w:val="left"/>
            </w:pPr>
            <w:r>
              <w:rPr>
                <w:rFonts w:ascii="Calibri" w:hAnsi="Calibri" w:cs="Calibri"/>
                <w:b w:val="0"/>
                <w:i w:val="0"/>
                <w:sz w:val="18"/>
              </w:rPr>
              <w:t>Incorporación de DeepSeek (ver A5). Sin cambio de calendario aprobado.</w:t>
            </w:r>
          </w:p>
        </w:tc>
      </w:tr>
      <w:tr w:rsidR="00FD5149" w:rsidRPr="006E3B0D" w14:paraId="0D4FAAA2" w14:textId="77777777" w:rsidTr="00EA0C09">
        <w:trPr>
          <w:trHeight w:val="2410"/>
        </w:trPr>
        <w:tc>
          <w:tcPr>
            <w:tcW w:w="1450" w:type="dxa"/>
          </w:tcPr>
          <w:p w14:paraId="29F01B29" w14:textId="77777777" w:rsidR="00FD5149" w:rsidRPr="006E3B0D" w:rsidRDefault="00FD5149" w:rsidP="00FD5149">
            <w:pPr>
              <w:spacing w:after="20" w:before="20" w:line="240" w:lineRule="auto"/>
              <w:jc w:val="left"/>
            </w:pPr>
            <w:r>
              <w:rPr>
                <w:rFonts w:ascii="Calibri" w:hAnsi="Calibri" w:cs="Calibri"/>
                <w:b w:val="0"/>
                <w:i w:val="0"/>
                <w:sz w:val="18"/>
              </w:rPr>
              <w:t>Realizar pruebas de productos y procesos.</w:t>
            </w:r>
          </w:p>
        </w:tc>
        <w:tc>
          <w:tcPr>
            <w:tcW w:w="1500" w:type="dxa"/>
          </w:tcPr>
          <w:p w14:paraId="7B4EBE25" w14:textId="77777777" w:rsidR="00FD5149" w:rsidRPr="006E3B0D" w:rsidRDefault="00FD5149" w:rsidP="00FD5149">
            <w:pPr>
              <w:spacing w:after="20" w:before="20" w:line="240" w:lineRule="auto"/>
              <w:jc w:val="left"/>
            </w:pPr>
            <w:r>
              <w:rPr>
                <w:rFonts w:ascii="Calibri" w:hAnsi="Calibri" w:cs="Calibri"/>
                <w:b/>
                <w:i w:val="0"/>
                <w:sz w:val="18"/>
              </w:rPr>
              <w:t xml:space="preserve">A7. </w:t>
            </w:r>
            <w:r>
              <w:rPr>
                <w:rFonts w:ascii="Calibri" w:hAnsi="Calibri" w:cs="Calibri"/>
                <w:b w:val="0"/>
                <w:i w:val="0"/>
                <w:sz w:val="18"/>
              </w:rPr>
              <w:t>Pruebas funcionales y mediciones comparativas.</w:t>
            </w:r>
          </w:p>
        </w:tc>
        <w:tc>
          <w:tcPr>
            <w:tcW w:w="1650" w:type="dxa"/>
          </w:tcPr>
          <w:p w14:paraId="16E191DF" w14:textId="77777777" w:rsidR="00FD5149" w:rsidRPr="006E3B0D" w:rsidRDefault="00FD5149" w:rsidP="00FD5149">
            <w:pPr>
              <w:spacing w:after="20" w:before="20" w:line="240" w:lineRule="auto"/>
              <w:jc w:val="left"/>
            </w:pPr>
            <w:r>
              <w:rPr>
                <w:rFonts w:ascii="Calibri" w:hAnsi="Calibri" w:cs="Calibri"/>
                <w:b w:val="0"/>
                <w:i w:val="0"/>
                <w:sz w:val="18"/>
              </w:rPr>
              <w:t>Incrementos del prototipo, escenarios autorizados, registros de consumo y datos de referencia.</w:t>
            </w:r>
          </w:p>
        </w:tc>
        <w:tc>
          <w:tcPr>
            <w:tcW w:w="1300" w:type="dxa"/>
          </w:tcPr>
          <w:p w14:paraId="66A5D860" w14:textId="77777777" w:rsidR="00FD5149" w:rsidRPr="006E3B0D" w:rsidRDefault="00FD5149" w:rsidP="00FD5149">
            <w:pPr>
              <w:spacing w:after="20" w:before="20" w:line="240" w:lineRule="auto"/>
              <w:jc w:val="left"/>
            </w:pPr>
            <w:r>
              <w:rPr>
                <w:rFonts w:ascii="Calibri" w:hAnsi="Calibri" w:cs="Calibri"/>
                <w:b w:val="0"/>
                <w:i w:val="0"/>
                <w:sz w:val="18"/>
              </w:rPr>
              <w:t>8 semanas: S7 a S14.</w:t>
            </w:r>
          </w:p>
        </w:tc>
        <w:tc>
          <w:tcPr>
            <w:tcW w:w="1500" w:type="dxa"/>
          </w:tcPr>
          <w:p w14:paraId="036AB5D8" w14:textId="77777777" w:rsidR="00FD5149" w:rsidRPr="006E3B0D" w:rsidRDefault="00FD5149" w:rsidP="00FD5149">
            <w:pPr>
              <w:spacing w:after="20" w:before="20" w:line="240" w:lineRule="auto"/>
              <w:jc w:val="left"/>
            </w:pPr>
            <w:r>
              <w:rPr>
                <w:rFonts w:ascii="Calibri" w:hAnsi="Calibri" w:cs="Calibri"/>
                <w:b w:val="0"/>
                <w:i w:val="0"/>
                <w:sz w:val="18"/>
              </w:rPr>
              <w:t>David Sepúlveda coordina los registros; los tres integrantes ejecutan pruebas.</w:t>
            </w:r>
          </w:p>
        </w:tc>
        <w:tc>
          <w:tcPr>
            <w:tcW w:w="2300" w:type="dxa"/>
          </w:tcPr>
          <w:p w14:paraId="2FCEC037" w14:textId="77777777" w:rsidR="00FD5149" w:rsidRPr="006E3B0D" w:rsidRDefault="00FD5149" w:rsidP="00FD5149">
            <w:pPr>
              <w:spacing w:after="20" w:before="20" w:line="240" w:lineRule="auto"/>
              <w:jc w:val="left"/>
            </w:pPr>
            <w:r>
              <w:rPr>
                <w:rFonts w:ascii="Calibri" w:hAnsi="Calibri" w:cs="Calibri"/>
                <w:b w:val="0"/>
                <w:i w:val="0"/>
                <w:sz w:val="18"/>
              </w:rPr>
              <w:t>Comenzar con los componentes disponibles. Las llamadas y campañas se coordinarán con Alloxentric. Identificar versión y condiciones de cada prueba.</w:t>
            </w:r>
          </w:p>
        </w:tc>
        <w:tc>
          <w:tcPr>
            <w:tcW w:w="2400" w:type="dxa"/>
          </w:tcPr>
          <w:p w14:paraId="29B0BFEB" w14:textId="77777777" w:rsidR="00FD5149" w:rsidRPr="00E54467" w:rsidRDefault="00FD5149" w:rsidP="00FD5149">
            <w:pPr>
              <w:spacing w:after="20" w:before="20" w:line="240" w:lineRule="auto"/>
              <w:jc w:val="left"/>
            </w:pPr>
            <w:r>
              <w:rPr>
                <w:rFonts w:ascii="Calibri" w:hAnsi="Calibri" w:cs="Calibri"/>
                <w:b/>
                <w:i w:val="0"/>
                <w:sz w:val="18"/>
              </w:rPr>
              <w:t xml:space="preserve">En curso. </w:t>
            </w:r>
            <w:r>
              <w:rPr>
                <w:rFonts w:ascii="Calibri" w:hAnsi="Calibri" w:cs="Calibri"/>
                <w:b w:val="0"/>
                <w:i w:val="0"/>
                <w:sz w:val="18"/>
              </w:rPr>
              <w:t>Dentro de la ventana prevista (S7 a S14). Pruebas unitarias sin red (EV-004, EV-006, EV-011) y una verificación manual por componente (EV-007, EV-012), informadas en los PR sin logs adjuntos. Pendientes: pruebas end-to-end y medición de latencia end-to-end.</w:t>
            </w:r>
          </w:p>
        </w:tc>
        <w:tc>
          <w:tcPr>
            <w:tcW w:w="2300" w:type="dxa"/>
          </w:tcPr>
          <w:p w14:paraId="7C6D6F31" w14:textId="77777777" w:rsidR="00FD5149" w:rsidRPr="006E3B0D" w:rsidRDefault="00FD5149" w:rsidP="00FD5149">
            <w:pPr>
              <w:spacing w:after="20" w:before="20" w:line="240" w:lineRule="auto"/>
              <w:jc w:val="left"/>
            </w:pPr>
            <w:r>
              <w:rPr>
                <w:rFonts w:ascii="Calibri" w:hAnsi="Calibri" w:cs="Calibri"/>
                <w:b w:val="0"/>
                <w:i w:val="0"/>
                <w:sz w:val="18"/>
              </w:rPr>
              <w:t xml:space="preserve">Sin ajuste aprobado. </w:t>
            </w:r>
            <w:r>
              <w:rPr>
                <w:rFonts w:ascii="Calibri" w:hAnsi="Calibri" w:cs="Calibri"/>
                <w:b/>
                <w:i w:val="0"/>
                <w:sz w:val="18"/>
              </w:rPr>
              <w:t>[PROPUESTA]</w:t>
            </w:r>
            <w:r>
              <w:rPr>
                <w:rFonts w:ascii="Calibri" w:hAnsi="Calibri" w:cs="Calibri"/>
                <w:b w:val="0"/>
                <w:i w:val="0"/>
                <w:sz w:val="18"/>
              </w:rPr>
              <w:t xml:space="preserve"> Definir los eventos de inicio y término de la medición de latencia.</w:t>
            </w:r>
          </w:p>
        </w:tc>
      </w:tr>
      <w:tr w:rsidR="00FD5149" w:rsidRPr="006E3B0D" w14:paraId="0D4FAAA2" w14:textId="77777777" w:rsidTr="00EA0C09">
        <w:trPr>
          <w:trHeight w:val="2410"/>
        </w:trPr>
        <w:tc>
          <w:tcPr>
            <w:tcW w:w="1450" w:type="dxa"/>
          </w:tcPr>
          <w:p w14:paraId="29F01B29" w14:textId="77777777" w:rsidR="00FD5149" w:rsidRPr="006E3B0D" w:rsidRDefault="00FD5149" w:rsidP="00FD5149">
            <w:pPr>
              <w:spacing w:after="20" w:before="20" w:line="240" w:lineRule="auto"/>
              <w:jc w:val="left"/>
            </w:pPr>
            <w:r>
              <w:rPr>
                <w:rFonts w:ascii="Calibri" w:hAnsi="Calibri" w:cs="Calibri"/>
                <w:b w:val="0"/>
                <w:i w:val="0"/>
                <w:sz w:val="18"/>
              </w:rPr>
              <w:t>Desarrollar mejoras y evaluar resultados de software.</w:t>
            </w:r>
          </w:p>
        </w:tc>
        <w:tc>
          <w:tcPr>
            <w:tcW w:w="1500" w:type="dxa"/>
          </w:tcPr>
          <w:p w14:paraId="7B4EBE25" w14:textId="77777777" w:rsidR="00FD5149" w:rsidRPr="006E3B0D" w:rsidRDefault="00FD5149" w:rsidP="00FD5149">
            <w:pPr>
              <w:spacing w:after="20" w:before="20" w:line="240" w:lineRule="auto"/>
              <w:jc w:val="left"/>
            </w:pPr>
            <w:r>
              <w:rPr>
                <w:rFonts w:ascii="Calibri" w:hAnsi="Calibri" w:cs="Calibri"/>
                <w:b/>
                <w:i w:val="0"/>
                <w:sz w:val="18"/>
              </w:rPr>
              <w:t xml:space="preserve">A8. </w:t>
            </w:r>
            <w:r>
              <w:rPr>
                <w:rFonts w:ascii="Calibri" w:hAnsi="Calibri" w:cs="Calibri"/>
                <w:b w:val="0"/>
                <w:i w:val="0"/>
                <w:sz w:val="18"/>
              </w:rPr>
              <w:t>Corrección y comparación con la solución actual.</w:t>
            </w:r>
          </w:p>
        </w:tc>
        <w:tc>
          <w:tcPr>
            <w:tcW w:w="1650" w:type="dxa"/>
          </w:tcPr>
          <w:p w14:paraId="16E191DF" w14:textId="77777777" w:rsidR="00FD5149" w:rsidRPr="006E3B0D" w:rsidRDefault="00FD5149" w:rsidP="00FD5149">
            <w:pPr>
              <w:spacing w:after="20" w:before="20" w:line="240" w:lineRule="auto"/>
              <w:jc w:val="left"/>
            </w:pPr>
            <w:r>
              <w:rPr>
                <w:rFonts w:ascii="Calibri" w:hAnsi="Calibri" w:cs="Calibri"/>
                <w:b w:val="0"/>
                <w:i w:val="0"/>
                <w:sz w:val="18"/>
              </w:rPr>
              <w:t>Resultados de pruebas, incidencias, costos y datos de ambas soluciones.</w:t>
            </w:r>
          </w:p>
        </w:tc>
        <w:tc>
          <w:tcPr>
            <w:tcW w:w="1300" w:type="dxa"/>
          </w:tcPr>
          <w:p w14:paraId="66A5D860" w14:textId="77777777" w:rsidR="00FD5149" w:rsidRPr="006E3B0D" w:rsidRDefault="00FD5149" w:rsidP="00FD5149">
            <w:pPr>
              <w:spacing w:after="20" w:before="20" w:line="240" w:lineRule="auto"/>
              <w:jc w:val="left"/>
            </w:pPr>
            <w:r>
              <w:rPr>
                <w:rFonts w:ascii="Calibri" w:hAnsi="Calibri" w:cs="Calibri"/>
                <w:b w:val="0"/>
                <w:i w:val="0"/>
                <w:sz w:val="18"/>
              </w:rPr>
              <w:t>2 semanas: S14 a S15.</w:t>
            </w:r>
          </w:p>
        </w:tc>
        <w:tc>
          <w:tcPr>
            <w:tcW w:w="1500" w:type="dxa"/>
          </w:tcPr>
          <w:p w14:paraId="036AB5D8" w14:textId="77777777" w:rsidR="00FD5149" w:rsidRPr="006E3B0D" w:rsidRDefault="00FD5149" w:rsidP="00FD5149">
            <w:pPr>
              <w:spacing w:after="20" w:before="20" w:line="240" w:lineRule="auto"/>
              <w:jc w:val="left"/>
            </w:pPr>
            <w:r>
              <w:rPr>
                <w:rFonts w:ascii="Calibri" w:hAnsi="Calibri" w:cs="Calibri"/>
                <w:b w:val="0"/>
                <w:i w:val="0"/>
                <w:sz w:val="18"/>
              </w:rPr>
              <w:t>Los tres desarrolladores; Juan Díaz coordina la revisión con Alloxentric.</w:t>
            </w:r>
          </w:p>
        </w:tc>
        <w:tc>
          <w:tcPr>
            <w:tcW w:w="2300" w:type="dxa"/>
          </w:tcPr>
          <w:p w14:paraId="2FCEC037" w14:textId="77777777" w:rsidR="00FD5149" w:rsidRPr="006E3B0D" w:rsidRDefault="00FD5149" w:rsidP="00FD5149">
            <w:pPr>
              <w:spacing w:after="20" w:before="20" w:line="240" w:lineRule="auto"/>
              <w:jc w:val="left"/>
            </w:pPr>
            <w:r>
              <w:rPr>
                <w:rFonts w:ascii="Calibri" w:hAnsi="Calibri" w:cs="Calibri"/>
                <w:b w:val="0"/>
                <w:i w:val="0"/>
                <w:sz w:val="18"/>
              </w:rPr>
              <w:t>La comparación requiere condiciones equivalentes. Reconsiderar un LLM solo si las pruebas lo justifican y la empresa acuerda su incorporación.</w:t>
            </w:r>
          </w:p>
        </w:tc>
        <w:tc>
          <w:tcPr>
            <w:tcW w:w="2400" w:type="dxa"/>
          </w:tcPr>
          <w:p w14:paraId="29B0BFEB" w14:textId="77777777" w:rsidR="00FD5149" w:rsidRPr="00E54467" w:rsidRDefault="00FD5149" w:rsidP="00FD5149">
            <w:pPr>
              <w:spacing w:after="20" w:before="20" w:line="240" w:lineRule="auto"/>
              <w:jc w:val="left"/>
            </w:pPr>
            <w:r>
              <w:rPr>
                <w:rFonts w:ascii="Calibri" w:hAnsi="Calibri" w:cs="Calibri"/>
                <w:b/>
                <w:i w:val="0"/>
                <w:sz w:val="18"/>
              </w:rPr>
              <w:t xml:space="preserve">No iniciado. </w:t>
            </w:r>
            <w:r>
              <w:rPr>
                <w:rFonts w:ascii="Calibri" w:hAnsi="Calibri" w:cs="Calibri"/>
                <w:b w:val="0"/>
                <w:i w:val="0"/>
                <w:sz w:val="18"/>
              </w:rPr>
              <w:t>La ventana prevista (S14 a S15) aún no corresponde. Depende del pipeline integrado, del protocolo comparativo (A2) y de datos de referencia de la solución actual.</w:t>
            </w:r>
          </w:p>
        </w:tc>
        <w:tc>
          <w:tcPr>
            <w:tcW w:w="2300" w:type="dxa"/>
          </w:tcPr>
          <w:p w14:paraId="7C6D6F31" w14:textId="77777777" w:rsidR="00FD5149" w:rsidRPr="006E3B0D" w:rsidRDefault="00FD5149" w:rsidP="00FD5149">
            <w:pPr>
              <w:spacing w:after="20" w:before="20" w:line="240" w:lineRule="auto"/>
              <w:jc w:val="left"/>
            </w:pPr>
            <w:r>
              <w:rPr>
                <w:rFonts w:ascii="Calibri" w:hAnsi="Calibri" w:cs="Calibri"/>
                <w:b w:val="0"/>
                <w:i w:val="0"/>
                <w:sz w:val="18"/>
              </w:rPr>
              <w:t>Sin ajustes. Se mantiene el objetivo de comparar costo y efectividad.</w:t>
            </w:r>
          </w:p>
        </w:tc>
      </w:tr>
      <w:tr w:rsidR="00FD5149" w:rsidRPr="006E3B0D" w14:paraId="0D4FAAA2" w14:textId="77777777" w:rsidTr="00EA0C09">
        <w:trPr>
          <w:trHeight w:val="2410"/>
        </w:trPr>
        <w:tc>
          <w:tcPr>
            <w:tcW w:w="1450" w:type="dxa"/>
          </w:tcPr>
          <w:p w14:paraId="29F01B29" w14:textId="77777777" w:rsidR="00FD5149" w:rsidRPr="006E3B0D" w:rsidRDefault="00FD5149" w:rsidP="00FD5149">
            <w:pPr>
              <w:spacing w:after="20" w:before="20" w:line="240" w:lineRule="auto"/>
              <w:jc w:val="left"/>
            </w:pPr>
            <w:r>
              <w:rPr>
                <w:rFonts w:ascii="Calibri" w:hAnsi="Calibri" w:cs="Calibri"/>
                <w:b w:val="0"/>
                <w:i w:val="0"/>
                <w:sz w:val="18"/>
              </w:rPr>
              <w:t>Gestionar proyectos y documentar el desarrollo de software.</w:t>
            </w:r>
          </w:p>
        </w:tc>
        <w:tc>
          <w:tcPr>
            <w:tcW w:w="1500" w:type="dxa"/>
          </w:tcPr>
          <w:p w14:paraId="7B4EBE25" w14:textId="77777777" w:rsidR="00FD5149" w:rsidRPr="006E3B0D" w:rsidRDefault="00FD5149" w:rsidP="00FD5149">
            <w:pPr>
              <w:spacing w:after="20" w:before="20" w:line="240" w:lineRule="auto"/>
              <w:jc w:val="left"/>
            </w:pPr>
            <w:r>
              <w:rPr>
                <w:rFonts w:ascii="Calibri" w:hAnsi="Calibri" w:cs="Calibri"/>
                <w:b/>
                <w:i w:val="0"/>
                <w:sz w:val="18"/>
              </w:rPr>
              <w:t xml:space="preserve">A9. </w:t>
            </w:r>
            <w:r>
              <w:rPr>
                <w:rFonts w:ascii="Calibri" w:hAnsi="Calibri" w:cs="Calibri"/>
                <w:b w:val="0"/>
                <w:i w:val="0"/>
                <w:sz w:val="18"/>
              </w:rPr>
              <w:t>Documentación y trazabilidad de evidencias.</w:t>
            </w:r>
          </w:p>
        </w:tc>
        <w:tc>
          <w:tcPr>
            <w:tcW w:w="1650" w:type="dxa"/>
          </w:tcPr>
          <w:p w14:paraId="16E191DF" w14:textId="77777777" w:rsidR="00FD5149" w:rsidRPr="006E3B0D" w:rsidRDefault="00FD5149" w:rsidP="00FD5149">
            <w:pPr>
              <w:spacing w:after="20" w:before="20" w:line="240" w:lineRule="auto"/>
              <w:jc w:val="left"/>
            </w:pPr>
            <w:r>
              <w:rPr>
                <w:rFonts w:ascii="Calibri" w:hAnsi="Calibri" w:cs="Calibri"/>
                <w:b w:val="0"/>
                <w:i w:val="0"/>
                <w:sz w:val="18"/>
              </w:rPr>
              <w:t>Repositorio, documentos, acuerdos y registros de pruebas.</w:t>
            </w:r>
          </w:p>
        </w:tc>
        <w:tc>
          <w:tcPr>
            <w:tcW w:w="1300" w:type="dxa"/>
          </w:tcPr>
          <w:p w14:paraId="66A5D860" w14:textId="77777777" w:rsidR="00FD5149" w:rsidRPr="006E3B0D" w:rsidRDefault="00FD5149" w:rsidP="00FD5149">
            <w:pPr>
              <w:spacing w:after="20" w:before="20" w:line="240" w:lineRule="auto"/>
              <w:jc w:val="left"/>
            </w:pPr>
            <w:r>
              <w:rPr>
                <w:rFonts w:ascii="Calibri" w:hAnsi="Calibri" w:cs="Calibri"/>
                <w:b w:val="0"/>
                <w:i w:val="0"/>
                <w:sz w:val="18"/>
              </w:rPr>
              <w:t>Durante S1 a S18.</w:t>
            </w:r>
          </w:p>
        </w:tc>
        <w:tc>
          <w:tcPr>
            <w:tcW w:w="1500" w:type="dxa"/>
          </w:tcPr>
          <w:p w14:paraId="036AB5D8" w14:textId="77777777" w:rsidR="00FD5149" w:rsidRPr="006E3B0D" w:rsidRDefault="00FD5149" w:rsidP="00FD5149">
            <w:pPr>
              <w:spacing w:after="20" w:before="20" w:line="240" w:lineRule="auto"/>
              <w:jc w:val="left"/>
            </w:pPr>
            <w:r>
              <w:rPr>
                <w:rFonts w:ascii="Calibri" w:hAnsi="Calibri" w:cs="Calibri"/>
                <w:b w:val="0"/>
                <w:i w:val="0"/>
                <w:sz w:val="18"/>
              </w:rPr>
              <w:t>Fernando Olguea coordina; cada integrante registra sus aportes.</w:t>
            </w:r>
          </w:p>
        </w:tc>
        <w:tc>
          <w:tcPr>
            <w:tcW w:w="2300" w:type="dxa"/>
          </w:tcPr>
          <w:p w14:paraId="2FCEC037" w14:textId="77777777" w:rsidR="00FD5149" w:rsidRPr="006E3B0D" w:rsidRDefault="00FD5149" w:rsidP="00FD5149">
            <w:pPr>
              <w:spacing w:after="20" w:before="20" w:line="240" w:lineRule="auto"/>
              <w:jc w:val="left"/>
            </w:pPr>
            <w:r>
              <w:rPr>
                <w:rFonts w:ascii="Calibri" w:hAnsi="Calibri" w:cs="Calibri"/>
                <w:b w:val="0"/>
                <w:i w:val="0"/>
                <w:sz w:val="18"/>
              </w:rPr>
              <w:t>No publicar claves ni datos sensibles. Distinguir las tareas del equipo de las ejecutadas por Alloxentric.</w:t>
            </w:r>
          </w:p>
        </w:tc>
        <w:tc>
          <w:tcPr>
            <w:tcW w:w="2400" w:type="dxa"/>
          </w:tcPr>
          <w:p w14:paraId="29B0BFEB" w14:textId="77777777" w:rsidR="00FD5149" w:rsidRPr="00E54467" w:rsidRDefault="00FD5149" w:rsidP="00FD5149">
            <w:pPr>
              <w:spacing w:after="20" w:before="20" w:line="240" w:lineRule="auto"/>
              <w:jc w:val="left"/>
            </w:pPr>
            <w:r>
              <w:rPr>
                <w:rFonts w:ascii="Calibri" w:hAnsi="Calibri" w:cs="Calibri"/>
                <w:b/>
                <w:i w:val="0"/>
                <w:sz w:val="18"/>
              </w:rPr>
              <w:t xml:space="preserve">En curso. </w:t>
            </w:r>
            <w:r>
              <w:rPr>
                <w:rFonts w:ascii="Calibri" w:hAnsi="Calibri" w:cs="Calibri"/>
                <w:b w:val="0"/>
                <w:i w:val="0"/>
                <w:sz w:val="18"/>
              </w:rPr>
              <w:t>Evidencia: EV-001, EV-013, EV-014, EV-015, EV-016 y EV-017. Pendientes: logs de pruebas, registros de CoreStream y actualización de la documentación interna del repositorio técnico.</w:t>
            </w:r>
          </w:p>
        </w:tc>
        <w:tc>
          <w:tcPr>
            <w:tcW w:w="2300" w:type="dxa"/>
          </w:tcPr>
          <w:p w14:paraId="7C6D6F31" w14:textId="77777777" w:rsidR="00FD5149" w:rsidRPr="006E3B0D" w:rsidRDefault="00FD5149" w:rsidP="00FD5149">
            <w:pPr>
              <w:spacing w:after="20" w:before="20" w:line="240" w:lineRule="auto"/>
              <w:jc w:val="left"/>
            </w:pPr>
            <w:r>
              <w:rPr>
                <w:rFonts w:ascii="Calibri" w:hAnsi="Calibri" w:cs="Calibri"/>
                <w:b w:val="0"/>
                <w:i w:val="0"/>
                <w:sz w:val="18"/>
              </w:rPr>
              <w:t>Sin ajuste aprobado.</w:t>
            </w:r>
          </w:p>
        </w:tc>
      </w:tr>
      <w:tr w:rsidR="00FD5149" w:rsidRPr="006E3B0D" w14:paraId="0D4FAAA2" w14:textId="77777777" w:rsidTr="00EA0C09">
        <w:trPr>
          <w:trHeight w:val="2410"/>
        </w:trPr>
        <w:tc>
          <w:tcPr>
            <w:tcW w:w="1450" w:type="dxa"/>
          </w:tcPr>
          <w:p w14:paraId="29F01B29" w14:textId="77777777" w:rsidR="00FD5149" w:rsidRPr="006E3B0D" w:rsidRDefault="00FD5149" w:rsidP="00FD5149">
            <w:pPr>
              <w:spacing w:after="20" w:before="20" w:line="240" w:lineRule="auto"/>
              <w:jc w:val="left"/>
            </w:pPr>
            <w:r>
              <w:rPr>
                <w:rFonts w:ascii="Calibri" w:hAnsi="Calibri" w:cs="Calibri"/>
                <w:b w:val="0"/>
                <w:i w:val="0"/>
                <w:sz w:val="18"/>
              </w:rPr>
              <w:t>Comunicar los resultados de la solución desarrollada.</w:t>
            </w:r>
          </w:p>
        </w:tc>
        <w:tc>
          <w:tcPr>
            <w:tcW w:w="1500" w:type="dxa"/>
          </w:tcPr>
          <w:p w14:paraId="7B4EBE25" w14:textId="77777777" w:rsidR="00FD5149" w:rsidRPr="006E3B0D" w:rsidRDefault="00FD5149" w:rsidP="00FD5149">
            <w:pPr>
              <w:spacing w:after="20" w:before="20" w:line="240" w:lineRule="auto"/>
              <w:jc w:val="left"/>
            </w:pPr>
            <w:r>
              <w:rPr>
                <w:rFonts w:ascii="Calibri" w:hAnsi="Calibri" w:cs="Calibri"/>
                <w:b/>
                <w:i w:val="0"/>
                <w:sz w:val="18"/>
              </w:rPr>
              <w:t xml:space="preserve">A10. </w:t>
            </w:r>
            <w:r>
              <w:rPr>
                <w:rFonts w:ascii="Calibri" w:hAnsi="Calibri" w:cs="Calibri"/>
                <w:b w:val="0"/>
                <w:i w:val="0"/>
                <w:sz w:val="18"/>
              </w:rPr>
              <w:t>Informe comparativo, demostración y defensa.</w:t>
            </w:r>
          </w:p>
        </w:tc>
        <w:tc>
          <w:tcPr>
            <w:tcW w:w="1650" w:type="dxa"/>
          </w:tcPr>
          <w:p w14:paraId="16E191DF" w14:textId="77777777" w:rsidR="00FD5149" w:rsidRPr="006E3B0D" w:rsidRDefault="00FD5149" w:rsidP="00FD5149">
            <w:pPr>
              <w:spacing w:after="20" w:before="20" w:line="240" w:lineRule="auto"/>
              <w:jc w:val="left"/>
            </w:pPr>
            <w:r>
              <w:rPr>
                <w:rFonts w:ascii="Calibri" w:hAnsi="Calibri" w:cs="Calibri"/>
                <w:b w:val="0"/>
                <w:i w:val="0"/>
                <w:sz w:val="18"/>
              </w:rPr>
              <w:t>Prototipo evaluado, informe comparativo y evidencias verificables.</w:t>
            </w:r>
          </w:p>
        </w:tc>
        <w:tc>
          <w:tcPr>
            <w:tcW w:w="1300" w:type="dxa"/>
          </w:tcPr>
          <w:p w14:paraId="66A5D860" w14:textId="77777777" w:rsidR="00FD5149" w:rsidRPr="006E3B0D" w:rsidRDefault="00FD5149" w:rsidP="00FD5149">
            <w:pPr>
              <w:spacing w:after="20" w:before="20" w:line="240" w:lineRule="auto"/>
              <w:jc w:val="left"/>
            </w:pPr>
            <w:r>
              <w:rPr>
                <w:rFonts w:ascii="Calibri" w:hAnsi="Calibri" w:cs="Calibri"/>
                <w:b w:val="0"/>
                <w:i w:val="0"/>
                <w:sz w:val="18"/>
              </w:rPr>
              <w:t>3 semanas: S16 a S18.</w:t>
            </w:r>
          </w:p>
        </w:tc>
        <w:tc>
          <w:tcPr>
            <w:tcW w:w="1500" w:type="dxa"/>
          </w:tcPr>
          <w:p w14:paraId="036AB5D8" w14:textId="77777777" w:rsidR="00FD5149" w:rsidRPr="006E3B0D" w:rsidRDefault="00FD5149" w:rsidP="00FD5149">
            <w:pPr>
              <w:spacing w:after="20" w:before="20" w:line="240" w:lineRule="auto"/>
              <w:jc w:val="left"/>
            </w:pPr>
            <w:r>
              <w:rPr>
                <w:rFonts w:ascii="Calibri" w:hAnsi="Calibri" w:cs="Calibri"/>
                <w:b w:val="0"/>
                <w:i w:val="0"/>
                <w:sz w:val="18"/>
              </w:rPr>
              <w:t>Juan Díaz, Fernando Olguea y David Sepúlveda.</w:t>
            </w:r>
          </w:p>
        </w:tc>
        <w:tc>
          <w:tcPr>
            <w:tcW w:w="2300" w:type="dxa"/>
          </w:tcPr>
          <w:p w14:paraId="2FCEC037" w14:textId="77777777" w:rsidR="00FD5149" w:rsidRPr="006E3B0D" w:rsidRDefault="00FD5149" w:rsidP="00FD5149">
            <w:pPr>
              <w:spacing w:after="20" w:before="20" w:line="240" w:lineRule="auto"/>
              <w:jc w:val="left"/>
            </w:pPr>
            <w:r>
              <w:rPr>
                <w:rFonts w:ascii="Calibri" w:hAnsi="Calibri" w:cs="Calibri"/>
                <w:b w:val="0"/>
                <w:i w:val="0"/>
                <w:sz w:val="18"/>
              </w:rPr>
              <w:t>No afirmar superioridad sin respaldo. Si faltan datos de referencia, explicar qué conclusiones no pueden establecerse.</w:t>
            </w:r>
          </w:p>
        </w:tc>
        <w:tc>
          <w:tcPr>
            <w:tcW w:w="2400" w:type="dxa"/>
          </w:tcPr>
          <w:p w14:paraId="29B0BFEB" w14:textId="77777777" w:rsidR="00FD5149" w:rsidRPr="00E54467" w:rsidRDefault="00FD5149" w:rsidP="00FD5149">
            <w:pPr>
              <w:spacing w:after="20" w:before="20" w:line="240" w:lineRule="auto"/>
              <w:jc w:val="left"/>
            </w:pPr>
            <w:r>
              <w:rPr>
                <w:rFonts w:ascii="Calibri" w:hAnsi="Calibri" w:cs="Calibri"/>
                <w:b/>
                <w:i w:val="0"/>
                <w:sz w:val="18"/>
              </w:rPr>
              <w:t xml:space="preserve">No iniciado. </w:t>
            </w:r>
            <w:r>
              <w:rPr>
                <w:rFonts w:ascii="Calibri" w:hAnsi="Calibri" w:cs="Calibri"/>
                <w:b w:val="0"/>
                <w:i w:val="0"/>
                <w:sz w:val="18"/>
              </w:rPr>
              <w:t>La ventana prevista (S16 a S18) aún no corresponde.</w:t>
            </w:r>
          </w:p>
        </w:tc>
        <w:tc>
          <w:tcPr>
            <w:tcW w:w="2300" w:type="dxa"/>
          </w:tcPr>
          <w:p w14:paraId="7C6D6F31" w14:textId="77777777" w:rsidR="00FD5149" w:rsidRPr="006E3B0D" w:rsidRDefault="00FD5149" w:rsidP="00FD5149">
            <w:pPr>
              <w:spacing w:after="20" w:before="20" w:line="240" w:lineRule="auto"/>
              <w:jc w:val="left"/>
            </w:pPr>
            <w:r>
              <w:rPr>
                <w:rFonts w:ascii="Calibri" w:hAnsi="Calibri" w:cs="Calibri"/>
                <w:b w:val="0"/>
                <w:i w:val="0"/>
                <w:sz w:val="18"/>
              </w:rPr>
              <w:t>Sin ajustes.</w:t>
            </w:r>
          </w:p>
        </w:tc>
      </w:tr>
    </w:tbl>
    <w:p w14:paraId="66FF4E8D" w14:textId="77777777" w:rsidR="0003309E" w:rsidRDefault="0003309E" w:rsidP="0003309E">
      <w:pPr>
        <w:rPr>
          <w:rFonts w:cs="Calibri Light"/>
          <w:color w:val="595959" w:themeColor="text1" w:themeTint="A6"/>
          <w:sz w:val="24"/>
          <w:szCs w:val="24"/>
          <w:lang w:val="es-ES"/>
        </w:rPr>
        <w:sectPr w:rsidR="0003309E" w:rsidRPr="0003309E">
          <w:headerReference w:type="default" r:id="rId10"/>
          <w:pgSz w:w="16838" w:h="11906" w:orient="landscape"/>
          <w:pgMar w:top="1134" w:right="1020" w:bottom="1134" w:left="1020" w:header="708" w:footer="708" w:gutter="0"/>
          <w:cols w:space="708"/>
          <w:docGrid w:linePitch="360"/>
        </w:sect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W w:w="5590"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77777777" w:rsidR="0003309E" w:rsidRPr="00371CBB" w:rsidRDefault="0003309E" w:rsidP="00C5122E">
            <w:pPr>
              <w:jc w:val="both"/>
              <w:rPr>
                <w:rFonts w:ascii="Calibri" w:hAnsi="Calibri" w:cs="Arial"/>
                <w:i/>
                <w:iCs/>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r w:rsidRPr="00371CBB">
              <w:rPr>
                <w:rFonts w:ascii="Calibri" w:hAnsi="Calibri" w:cs="Arial"/>
                <w:i/>
                <w:iCs/>
                <w:color w:val="548DD4"/>
                <w:sz w:val="20"/>
                <w:szCs w:val="20"/>
                <w:lang w:eastAsia="es-CL"/>
              </w:rPr>
              <w:t>Describe los factores que han facilitado y</w:t>
            </w:r>
            <w:r>
              <w:rPr>
                <w:rFonts w:ascii="Calibri" w:hAnsi="Calibri" w:cs="Arial"/>
                <w:i/>
                <w:iCs/>
                <w:color w:val="548DD4"/>
                <w:sz w:val="20"/>
                <w:szCs w:val="20"/>
                <w:lang w:eastAsia="es-CL"/>
              </w:rPr>
              <w:t>/o</w:t>
            </w:r>
            <w:r w:rsidRPr="00371CBB">
              <w:rPr>
                <w:rFonts w:ascii="Calibri" w:hAnsi="Calibri" w:cs="Arial"/>
                <w:i/>
                <w:iCs/>
                <w:color w:val="548DD4"/>
                <w:sz w:val="20"/>
                <w:szCs w:val="20"/>
                <w:lang w:eastAsia="es-CL"/>
              </w:rPr>
              <w:t xml:space="preserve"> dificultado el desarrollo de tu Proyecto APT hasta ahora. En el caso de las dificultades</w:t>
            </w:r>
            <w:r>
              <w:rPr>
                <w:rFonts w:ascii="Calibri" w:hAnsi="Calibri" w:cs="Arial"/>
                <w:i/>
                <w:iCs/>
                <w:color w:val="548DD4"/>
                <w:sz w:val="20"/>
                <w:szCs w:val="20"/>
                <w:lang w:eastAsia="es-CL"/>
              </w:rPr>
              <w:t xml:space="preserve"> debes describir</w:t>
            </w:r>
            <w:r w:rsidRPr="00371CBB">
              <w:rPr>
                <w:rFonts w:ascii="Calibri" w:hAnsi="Calibri" w:cs="Arial"/>
                <w:i/>
                <w:iCs/>
                <w:color w:val="548DD4"/>
                <w:sz w:val="20"/>
                <w:szCs w:val="20"/>
                <w:lang w:eastAsia="es-CL"/>
              </w:rPr>
              <w:t xml:space="preserve"> qué acciones tomaste y/o tomarás para </w:t>
            </w:r>
            <w:r>
              <w:rPr>
                <w:rFonts w:ascii="Calibri" w:hAnsi="Calibri" w:cs="Arial"/>
                <w:i/>
                <w:iCs/>
                <w:color w:val="548DD4"/>
                <w:sz w:val="20"/>
                <w:szCs w:val="20"/>
                <w:lang w:eastAsia="es-CL"/>
              </w:rPr>
              <w:t xml:space="preserve">solucionarlas. </w:t>
            </w:r>
            <w:r>
              <w:rPr>
                <w:rFonts w:ascii="Calibri" w:hAnsi="Calibri"/>
                <w:b/>
                <w:color w:val="1F3864" w:themeColor="accent1" w:themeShade="80"/>
              </w:rPr>
              <w:t xml:space="preserve"> </w:t>
            </w:r>
          </w:p>
          <w:p>
            <w:pPr>
              <w:keepNext/>
              <w:spacing w:after="40" w:before="120" w:line="240" w:lineRule="auto"/>
              <w:jc w:val="left"/>
            </w:pPr>
            <w:r>
              <w:rPr>
                <w:rFonts w:ascii="Calibri" w:hAnsi="Calibri" w:cs="Calibri"/>
                <w:b/>
                <w:i w:val="0"/>
                <w:color w:val="1F3864"/>
                <w:sz w:val="20"/>
              </w:rPr>
              <w:t>Facilitadores</w:t>
            </w:r>
          </w:p>
          <w:p>
            <w:pPr>
              <w:spacing w:after="40" w:before="0" w:line="240" w:lineRule="auto"/>
              <w:ind w:left="280" w:hanging="200"/>
              <w:jc w:val="both"/>
            </w:pPr>
            <w:r>
              <w:rPr>
                <w:rFonts w:ascii="Calibri" w:hAnsi="Calibri" w:cs="Calibri"/>
                <w:b w:val="0"/>
                <w:i w:val="0"/>
                <w:sz w:val="20"/>
              </w:rPr>
              <w:t xml:space="preserve">• División de responsabilidades por componente (Fernando: DeepSeek y coordinación; Juan: Speechmatics; David: ElevenLabs), que permitió construir DeepSeek y ElevenLabs en paralelo (EV-005, EV-010). </w:t>
            </w:r>
            <w:r>
              <w:rPr>
                <w:rFonts w:ascii="Calibri" w:hAnsi="Calibri" w:cs="Calibri"/>
                <w:b/>
                <w:i w:val="0"/>
                <w:sz w:val="20"/>
              </w:rPr>
              <w:t>[CONFIRMADO]</w:t>
            </w:r>
          </w:p>
          <w:p>
            <w:pPr>
              <w:spacing w:after="40" w:before="0" w:line="240" w:lineRule="auto"/>
              <w:ind w:left="280" w:hanging="200"/>
              <w:jc w:val="both"/>
            </w:pPr>
            <w:r>
              <w:rPr>
                <w:rFonts w:ascii="Calibri" w:hAnsi="Calibri" w:cs="Calibri"/>
                <w:b w:val="0"/>
                <w:i w:val="0"/>
                <w:sz w:val="20"/>
              </w:rPr>
              <w:t xml:space="preserve">• Flujo de trabajo con ramas por ticket y Pull Requests (EV-002, EV-014), y seguimiento en GitHub y CoreStream. </w:t>
            </w:r>
            <w:r>
              <w:rPr>
                <w:rFonts w:ascii="Calibri" w:hAnsi="Calibri" w:cs="Calibri"/>
                <w:b/>
                <w:i w:val="0"/>
                <w:sz w:val="20"/>
              </w:rPr>
              <w:t>[CONFIRMADO]</w:t>
            </w:r>
          </w:p>
          <w:p>
            <w:pPr>
              <w:spacing w:after="40" w:before="0" w:line="240" w:lineRule="auto"/>
              <w:ind w:left="280" w:hanging="200"/>
              <w:jc w:val="both"/>
            </w:pPr>
            <w:r>
              <w:rPr>
                <w:rFonts w:ascii="Calibri" w:hAnsi="Calibri" w:cs="Calibri"/>
                <w:b w:val="0"/>
                <w:i w:val="0"/>
                <w:sz w:val="20"/>
              </w:rPr>
              <w:t xml:space="preserve">• Reuniones semanales de seguimiento con Karina, representante de Alloxentric (informado por el equipo). </w:t>
            </w:r>
            <w:r>
              <w:rPr>
                <w:rFonts w:ascii="Calibri" w:hAnsi="Calibri" w:cs="Calibri"/>
                <w:b/>
                <w:i w:val="0"/>
                <w:sz w:val="20"/>
              </w:rPr>
              <w:t>[PENDIENTE DE VALIDACIÓN]</w:t>
            </w:r>
            <w:r>
              <w:rPr>
                <w:rFonts w:ascii="Calibri" w:hAnsi="Calibri" w:cs="Calibri"/>
                <w:b w:val="0"/>
                <w:i w:val="0"/>
                <w:sz w:val="20"/>
              </w:rPr>
              <w:t xml:space="preserve"> Registros no adjuntos.</w:t>
            </w:r>
          </w:p>
          <w:p>
            <w:pPr>
              <w:spacing w:after="40" w:before="0" w:line="240" w:lineRule="auto"/>
              <w:ind w:left="280" w:hanging="200"/>
              <w:jc w:val="both"/>
            </w:pPr>
            <w:r>
              <w:rPr>
                <w:rFonts w:ascii="Calibri" w:hAnsi="Calibri" w:cs="Calibri"/>
                <w:b w:val="0"/>
                <w:i w:val="0"/>
                <w:sz w:val="20"/>
              </w:rPr>
              <w:t xml:space="preserve">• Uso de las integraciones oficiales de LiveKit Agents y de pruebas unitarias independientes de los servicios externos, que permiten verificar cada pieza por separado (EV-006, EV-011). </w:t>
            </w:r>
            <w:r>
              <w:rPr>
                <w:rFonts w:ascii="Calibri" w:hAnsi="Calibri" w:cs="Calibri"/>
                <w:b/>
                <w:i w:val="0"/>
                <w:sz w:val="20"/>
              </w:rPr>
              <w:t>[CONFIRMADO]</w:t>
            </w:r>
          </w:p>
          <w:p>
            <w:pPr>
              <w:spacing w:after="40" w:before="0" w:line="240" w:lineRule="auto"/>
              <w:ind w:left="280" w:hanging="200"/>
              <w:jc w:val="both"/>
            </w:pPr>
            <w:r>
              <w:rPr>
                <w:rFonts w:ascii="Calibri" w:hAnsi="Calibri" w:cs="Calibri"/>
                <w:b w:val="0"/>
                <w:i w:val="0"/>
                <w:sz w:val="20"/>
              </w:rPr>
              <w:t>• Disponer del flujo de Hites como referencia del escenario de cobranza (informado por el equipo).</w:t>
            </w:r>
          </w:p>
          <w:p>
            <w:pPr>
              <w:spacing w:after="40" w:before="0" w:line="240" w:lineRule="auto"/>
              <w:ind w:left="280" w:hanging="200"/>
              <w:jc w:val="both"/>
            </w:pPr>
            <w:r>
              <w:rPr>
                <w:rFonts w:ascii="Calibri" w:hAnsi="Calibri" w:cs="Calibri"/>
                <w:b w:val="0"/>
                <w:i w:val="0"/>
                <w:sz w:val="20"/>
              </w:rPr>
              <w:t xml:space="preserve">• Registro de limitaciones y pendientes en el README y los PR (EV-015). </w:t>
            </w:r>
            <w:r>
              <w:rPr>
                <w:rFonts w:ascii="Calibri" w:hAnsi="Calibri" w:cs="Calibri"/>
                <w:b/>
                <w:i w:val="0"/>
                <w:sz w:val="20"/>
              </w:rPr>
              <w:t>[CONFIRMADO]</w:t>
            </w:r>
          </w:p>
          <w:p>
            <w:pPr>
              <w:keepNext/>
              <w:spacing w:after="40" w:before="120" w:line="240" w:lineRule="auto"/>
              <w:jc w:val="left"/>
            </w:pPr>
            <w:r>
              <w:rPr>
                <w:rFonts w:ascii="Calibri" w:hAnsi="Calibri" w:cs="Calibri"/>
                <w:b/>
                <w:i w:val="0"/>
                <w:color w:val="1F3864"/>
                <w:sz w:val="20"/>
              </w:rPr>
              <w:t>Dificultades</w:t>
            </w:r>
          </w:p>
          <w:p>
            <w:pPr>
              <w:spacing w:after="40" w:before="0" w:line="240" w:lineRule="auto"/>
              <w:ind w:left="280" w:hanging="200"/>
              <w:jc w:val="both"/>
            </w:pPr>
            <w:r>
              <w:rPr>
                <w:rFonts w:ascii="Calibri" w:hAnsi="Calibri" w:cs="Calibri"/>
                <w:b w:val="0"/>
                <w:i w:val="0"/>
                <w:sz w:val="20"/>
              </w:rPr>
              <w:t xml:space="preserve">• Dependencia entre componentes: sin Speechmatics validado no es posible armar ni probar el pipeline, y DeepSeek y ElevenLabs solo se verifican de forma aislada. </w:t>
            </w:r>
            <w:r>
              <w:rPr>
                <w:rFonts w:ascii="Calibri" w:hAnsi="Calibri" w:cs="Calibri"/>
                <w:b/>
                <w:i w:val="0"/>
                <w:sz w:val="20"/>
              </w:rPr>
              <w:t>[CONFIRMADO]</w:t>
            </w:r>
          </w:p>
          <w:p>
            <w:pPr>
              <w:spacing w:after="40" w:before="0" w:line="240" w:lineRule="auto"/>
              <w:ind w:left="280" w:hanging="200"/>
              <w:jc w:val="both"/>
            </w:pPr>
            <w:r>
              <w:rPr>
                <w:rFonts w:ascii="Calibri" w:hAnsi="Calibri" w:cs="Calibri"/>
                <w:b w:val="0"/>
                <w:i w:val="0"/>
                <w:sz w:val="20"/>
              </w:rPr>
              <w:t xml:space="preserve">• Análisis, definición de alcance y diseño (A1, A2, A5) con la ventana inicial vencida y sin evidencia suficiente de cierre. </w:t>
            </w:r>
            <w:r>
              <w:rPr>
                <w:rFonts w:ascii="Calibri" w:hAnsi="Calibri" w:cs="Calibri"/>
                <w:b/>
                <w:i w:val="0"/>
                <w:sz w:val="20"/>
              </w:rPr>
              <w:t>[INFERENCIA]</w:t>
            </w:r>
            <w:r>
              <w:rPr>
                <w:rFonts w:ascii="Calibri" w:hAnsi="Calibri" w:cs="Calibri"/>
                <w:b w:val="0"/>
                <w:i w:val="0"/>
                <w:sz w:val="20"/>
              </w:rPr>
              <w:t xml:space="preserve"> El trabajo se concentró en preparar el entorno y construir componentes. </w:t>
            </w:r>
            <w:r>
              <w:rPr>
                <w:rFonts w:ascii="Calibri" w:hAnsi="Calibri" w:cs="Calibri"/>
                <w:b/>
                <w:i w:val="0"/>
                <w:sz w:val="20"/>
              </w:rPr>
              <w:t>[PENDIENTE DE VALIDACIÓN]</w:t>
            </w:r>
            <w:r>
              <w:rPr>
                <w:rFonts w:ascii="Calibri" w:hAnsi="Calibri" w:cs="Calibri"/>
                <w:b w:val="0"/>
                <w:i w:val="0"/>
                <w:sz w:val="20"/>
              </w:rPr>
              <w:t xml:space="preserve"> El equipo debe confirmar los motivos.</w:t>
            </w:r>
          </w:p>
          <w:p>
            <w:pPr>
              <w:spacing w:after="40" w:before="0" w:line="240" w:lineRule="auto"/>
              <w:ind w:left="280" w:hanging="200"/>
              <w:jc w:val="both"/>
            </w:pPr>
            <w:r>
              <w:rPr>
                <w:rFonts w:ascii="Calibri" w:hAnsi="Calibri" w:cs="Calibri"/>
                <w:b w:val="0"/>
                <w:i w:val="0"/>
                <w:sz w:val="20"/>
              </w:rPr>
              <w:t xml:space="preserve">• Integración con Asterisk y entorno de pruebas telefónicas sin validar; dependen de recursos de Alloxentric. </w:t>
            </w:r>
            <w:r>
              <w:rPr>
                <w:rFonts w:ascii="Calibri" w:hAnsi="Calibri" w:cs="Calibri"/>
                <w:b/>
                <w:i w:val="0"/>
                <w:sz w:val="20"/>
              </w:rPr>
              <w:t>[PENDIENTE DE VALIDACIÓN]</w:t>
            </w:r>
          </w:p>
          <w:p>
            <w:pPr>
              <w:spacing w:after="40" w:before="0" w:line="240" w:lineRule="auto"/>
              <w:ind w:left="280" w:hanging="200"/>
              <w:jc w:val="both"/>
            </w:pPr>
            <w:r>
              <w:rPr>
                <w:rFonts w:ascii="Calibri" w:hAnsi="Calibri" w:cs="Calibri"/>
                <w:b w:val="0"/>
                <w:i w:val="0"/>
                <w:sz w:val="20"/>
              </w:rPr>
              <w:t xml:space="preserve">• Latencia end-to-end sin medir: las mediciones actuales son una ejecución aislada por componente. </w:t>
            </w:r>
            <w:r>
              <w:rPr>
                <w:rFonts w:ascii="Calibri" w:hAnsi="Calibri" w:cs="Calibri"/>
                <w:b/>
                <w:i w:val="0"/>
                <w:sz w:val="20"/>
              </w:rPr>
              <w:t>[CONFIRMADO]</w:t>
            </w:r>
          </w:p>
          <w:p>
            <w:pPr>
              <w:spacing w:after="40" w:before="0" w:line="240" w:lineRule="auto"/>
              <w:ind w:left="280" w:hanging="200"/>
              <w:jc w:val="both"/>
            </w:pPr>
            <w:r>
              <w:rPr>
                <w:rFonts w:ascii="Calibri" w:hAnsi="Calibri" w:cs="Calibri"/>
                <w:b w:val="0"/>
                <w:i w:val="0"/>
                <w:sz w:val="20"/>
              </w:rPr>
              <w:t xml:space="preserve">• Costos sin medir: el consumo de créditos de ElevenLabs no pudo consultarse con la clave utilizada. </w:t>
            </w:r>
            <w:r>
              <w:rPr>
                <w:rFonts w:ascii="Calibri" w:hAnsi="Calibri" w:cs="Calibri"/>
                <w:b/>
                <w:i w:val="0"/>
                <w:sz w:val="20"/>
              </w:rPr>
              <w:t>[CONFIRMADO]</w:t>
            </w:r>
          </w:p>
          <w:p>
            <w:pPr>
              <w:spacing w:after="40" w:before="0" w:line="240" w:lineRule="auto"/>
              <w:ind w:left="280" w:hanging="200"/>
              <w:jc w:val="both"/>
            </w:pPr>
            <w:r>
              <w:rPr>
                <w:rFonts w:ascii="Calibri" w:hAnsi="Calibri" w:cs="Calibri"/>
                <w:b w:val="0"/>
                <w:i w:val="0"/>
                <w:sz w:val="20"/>
              </w:rPr>
              <w:t xml:space="preserve">• Registros formales de Scrum y logs de pruebas no disponibles para adjuntar, y revisión entre pares inconsistente: PR #2 y #4 fusionados sin revisión registrada y PR #3 con un comentario de revisión sin aprobación formal. </w:t>
            </w:r>
            <w:r>
              <w:rPr>
                <w:rFonts w:ascii="Calibri" w:hAnsi="Calibri" w:cs="Calibri"/>
                <w:b/>
                <w:i w:val="0"/>
                <w:sz w:val="20"/>
              </w:rPr>
              <w:t>[CONFIRMADO]</w:t>
            </w:r>
          </w:p>
          <w:p>
            <w:pPr>
              <w:spacing w:after="40" w:before="0" w:line="240" w:lineRule="auto"/>
              <w:ind w:left="280" w:hanging="200"/>
              <w:jc w:val="both"/>
            </w:pPr>
            <w:r>
              <w:rPr>
                <w:rFonts w:ascii="Calibri" w:hAnsi="Calibri" w:cs="Calibri"/>
                <w:b w:val="0"/>
                <w:i w:val="0"/>
                <w:sz w:val="20"/>
              </w:rPr>
              <w:t xml:space="preserve">• Documentación interna del repositorio técnico parcialmente desactualizada (CLAUDE.md; el README menciona un AGENTS.md que no existe). </w:t>
            </w:r>
            <w:r>
              <w:rPr>
                <w:rFonts w:ascii="Calibri" w:hAnsi="Calibri" w:cs="Calibri"/>
                <w:b/>
                <w:i w:val="0"/>
                <w:sz w:val="20"/>
              </w:rPr>
              <w:t>[CONFIRMADO]</w:t>
            </w:r>
          </w:p>
          <w:p>
            <w:pPr>
              <w:keepNext/>
              <w:spacing w:after="40" w:before="120" w:line="240" w:lineRule="auto"/>
              <w:jc w:val="left"/>
            </w:pPr>
            <w:r>
              <w:rPr>
                <w:rFonts w:ascii="Calibri" w:hAnsi="Calibri" w:cs="Calibri"/>
                <w:b/>
                <w:i w:val="0"/>
                <w:color w:val="1F3864"/>
                <w:sz w:val="20"/>
              </w:rPr>
              <w:t>Acciones ya realizadas [CONFIRMADO]</w:t>
            </w:r>
          </w:p>
          <w:p>
            <w:pPr>
              <w:spacing w:after="40" w:before="0" w:line="240" w:lineRule="auto"/>
              <w:ind w:left="280" w:hanging="200"/>
              <w:jc w:val="both"/>
            </w:pPr>
            <w:r>
              <w:rPr>
                <w:rFonts w:ascii="Calibri" w:hAnsi="Calibri" w:cs="Calibri"/>
                <w:b w:val="0"/>
                <w:i w:val="0"/>
                <w:sz w:val="20"/>
              </w:rPr>
              <w:t>• Declarar en el README y en los PR que los componentes son individuales y no están integrados, para no presentarlos como un agente funcional.</w:t>
            </w:r>
          </w:p>
          <w:p>
            <w:pPr>
              <w:spacing w:after="40" w:before="0" w:line="240" w:lineRule="auto"/>
              <w:ind w:left="280" w:hanging="200"/>
              <w:jc w:val="both"/>
            </w:pPr>
            <w:r>
              <w:rPr>
                <w:rFonts w:ascii="Calibri" w:hAnsi="Calibri" w:cs="Calibri"/>
                <w:b w:val="0"/>
                <w:i w:val="0"/>
                <w:sz w:val="20"/>
              </w:rPr>
              <w:t>• Fijar modelos y configuración de forma explícita, probar sin red y mantener las claves fuera de Git.</w:t>
            </w:r>
          </w:p>
          <w:p>
            <w:pPr>
              <w:spacing w:after="40" w:before="0" w:line="240" w:lineRule="auto"/>
              <w:ind w:left="280" w:hanging="200"/>
              <w:jc w:val="both"/>
            </w:pPr>
            <w:r>
              <w:rPr>
                <w:rFonts w:ascii="Calibri" w:hAnsi="Calibri" w:cs="Calibri"/>
                <w:b w:val="0"/>
                <w:i w:val="0"/>
                <w:sz w:val="20"/>
              </w:rPr>
              <w:t>• Verificar cada proveedor de forma aislada antes de integrarlo.</w:t>
            </w:r>
          </w:p>
          <w:p>
            <w:pPr>
              <w:keepNext/>
              <w:spacing w:after="40" w:before="120" w:line="240" w:lineRule="auto"/>
              <w:jc w:val="left"/>
            </w:pPr>
            <w:r>
              <w:rPr>
                <w:rFonts w:ascii="Calibri" w:hAnsi="Calibri" w:cs="Calibri"/>
                <w:b/>
                <w:i w:val="0"/>
                <w:color w:val="1F3864"/>
                <w:sz w:val="20"/>
              </w:rPr>
              <w:t>Acciones propuestas, aún no aprobadas [PROPUESTA]</w:t>
            </w:r>
          </w:p>
          <w:p>
            <w:pPr>
              <w:spacing w:after="40" w:before="0" w:line="240" w:lineRule="auto"/>
              <w:ind w:left="280" w:hanging="200"/>
              <w:jc w:val="both"/>
            </w:pPr>
            <w:r>
              <w:rPr>
                <w:rFonts w:ascii="Calibri" w:hAnsi="Calibri" w:cs="Calibri"/>
                <w:b w:val="0"/>
                <w:i w:val="0"/>
                <w:sz w:val="20"/>
              </w:rPr>
              <w:t>• Validar Speechmatics en la reunión del 14 de octubre y, si está listo, integrar el pipeline y ejecutar la primera prueba end-to-end.</w:t>
            </w:r>
          </w:p>
          <w:p>
            <w:pPr>
              <w:spacing w:after="40" w:before="0" w:line="240" w:lineRule="auto"/>
              <w:ind w:left="280" w:hanging="200"/>
              <w:jc w:val="both"/>
            </w:pPr>
            <w:r>
              <w:rPr>
                <w:rFonts w:ascii="Calibri" w:hAnsi="Calibri" w:cs="Calibri"/>
                <w:b w:val="0"/>
                <w:i w:val="0"/>
                <w:sz w:val="20"/>
              </w:rPr>
              <w:t>• Definir los eventos de medición de latencia y medirla de punta a punta.</w:t>
            </w:r>
          </w:p>
          <w:p>
            <w:pPr>
              <w:spacing w:after="40" w:before="0" w:line="240" w:lineRule="auto"/>
              <w:ind w:left="280" w:hanging="200"/>
              <w:jc w:val="both"/>
            </w:pPr>
            <w:r>
              <w:rPr>
                <w:rFonts w:ascii="Calibri" w:hAnsi="Calibri" w:cs="Calibri"/>
                <w:b w:val="0"/>
                <w:i w:val="0"/>
                <w:sz w:val="20"/>
              </w:rPr>
              <w:t>• Acordar con Alloxentric el protocolo de comparación y el entorno de pruebas, incluida la telefonía.</w:t>
            </w:r>
          </w:p>
          <w:p>
            <w:pPr>
              <w:spacing w:after="40" w:before="0" w:line="240" w:lineRule="auto"/>
              <w:ind w:left="280" w:hanging="200"/>
              <w:jc w:val="both"/>
            </w:pPr>
            <w:r>
              <w:rPr>
                <w:rFonts w:ascii="Calibri" w:hAnsi="Calibri" w:cs="Calibri"/>
                <w:b w:val="0"/>
                <w:i w:val="0"/>
                <w:sz w:val="20"/>
              </w:rPr>
              <w:t>• Exigir revisión formal de los PR, registrar backlog y revisiones de Scrum, y guardar los logs de las pruebas.</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W w:w="5588"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2A8FED79" w:rsidR="0003309E"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lastRenderedPageBreak/>
              <w:t xml:space="preserve">Actividades ajustadas o eliminadas: </w:t>
            </w:r>
            <w:r w:rsidR="00521026">
              <w:rPr>
                <w:rFonts w:ascii="Calibri" w:hAnsi="Calibri" w:cs="Arial"/>
                <w:i/>
                <w:color w:val="548DD4"/>
                <w:sz w:val="20"/>
                <w:szCs w:val="20"/>
                <w:lang w:eastAsia="es-CL"/>
              </w:rPr>
              <w:t>Señalar los ajustes</w:t>
            </w:r>
            <w:r w:rsidRPr="00CD38BD">
              <w:rPr>
                <w:rFonts w:ascii="Calibri" w:hAnsi="Calibri" w:cs="Arial"/>
                <w:i/>
                <w:color w:val="548DD4"/>
                <w:sz w:val="20"/>
                <w:szCs w:val="20"/>
                <w:lang w:eastAsia="es-CL"/>
              </w:rPr>
              <w:t xml:space="preserve"> que realizaste a tu plan de trabajo o </w:t>
            </w:r>
            <w:r w:rsidR="00521026">
              <w:rPr>
                <w:rFonts w:ascii="Calibri" w:hAnsi="Calibri" w:cs="Arial"/>
                <w:i/>
                <w:color w:val="548DD4"/>
                <w:sz w:val="20"/>
                <w:szCs w:val="20"/>
                <w:lang w:eastAsia="es-CL"/>
              </w:rPr>
              <w:t>actividades que</w:t>
            </w:r>
            <w:r w:rsidR="004B75F6">
              <w:rPr>
                <w:rFonts w:ascii="Calibri" w:hAnsi="Calibri" w:cs="Arial"/>
                <w:i/>
                <w:color w:val="548DD4"/>
                <w:sz w:val="20"/>
                <w:szCs w:val="20"/>
                <w:lang w:eastAsia="es-CL"/>
              </w:rPr>
              <w:t xml:space="preserve"> eliminaste</w:t>
            </w:r>
            <w:r w:rsidR="00521026">
              <w:rPr>
                <w:rFonts w:ascii="Calibri" w:hAnsi="Calibri" w:cs="Arial"/>
                <w:i/>
                <w:color w:val="548DD4"/>
                <w:sz w:val="20"/>
                <w:szCs w:val="20"/>
                <w:lang w:eastAsia="es-CL"/>
              </w:rPr>
              <w:t xml:space="preserve"> y</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justifica por</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 xml:space="preserve">qué lo hiciste. </w:t>
            </w:r>
            <w:r w:rsidR="00521026">
              <w:t xml:space="preserve"> </w:t>
            </w:r>
            <w:r w:rsidR="00521026" w:rsidRPr="00521026">
              <w:rPr>
                <w:rFonts w:ascii="Calibri" w:hAnsi="Calibri" w:cs="Arial"/>
                <w:i/>
                <w:color w:val="548DD4"/>
                <w:sz w:val="20"/>
                <w:szCs w:val="20"/>
                <w:lang w:eastAsia="es-CL"/>
              </w:rPr>
              <w:t>En el caso de que tu plan de trabajo no haya requerido ni requiera ajustes, justifica esta decisión a partir de los facilitadores que te han permitido desarrollarlo como fue planeado.</w:t>
            </w:r>
          </w:p>
          <w:p>
            <w:pPr>
              <w:spacing w:after="60" w:before="120" w:line="240" w:lineRule="auto"/>
              <w:jc w:val="both"/>
            </w:pPr>
            <w:r>
              <w:rPr>
                <w:rFonts w:ascii="Calibri" w:hAnsi="Calibri" w:cs="Calibri"/>
                <w:b w:val="0"/>
                <w:i w:val="0"/>
                <w:sz w:val="20"/>
              </w:rPr>
              <w:t>No se eliminó ninguna actividad del plan ni se aprobó una replanificación formal de la Carta Gantt. Por eso la matriz de la sección 2 no utiliza el estado «Ajustada» en ninguna actividad.</w:t>
            </w:r>
          </w:p>
          <w:p>
            <w:pPr>
              <w:keepNext/>
              <w:spacing w:after="40" w:before="120" w:line="240" w:lineRule="auto"/>
              <w:jc w:val="left"/>
            </w:pPr>
            <w:r>
              <w:rPr>
                <w:rFonts w:ascii="Calibri" w:hAnsi="Calibri" w:cs="Calibri"/>
                <w:b/>
                <w:i w:val="0"/>
                <w:color w:val="1F3864"/>
                <w:sz w:val="20"/>
              </w:rPr>
              <w:t>Diferencias efectivamente ocurridas respecto del plan [CONFIRMADO]</w:t>
            </w:r>
          </w:p>
          <w:p>
            <w:pPr>
              <w:spacing w:after="40" w:before="0" w:line="240" w:lineRule="auto"/>
              <w:ind w:left="280" w:hanging="200"/>
              <w:jc w:val="both"/>
            </w:pPr>
            <w:r>
              <w:rPr>
                <w:rFonts w:ascii="Calibri" w:hAnsi="Calibri" w:cs="Calibri"/>
                <w:b w:val="0"/>
                <w:i w:val="0"/>
                <w:sz w:val="20"/>
              </w:rPr>
              <w:t xml:space="preserve">• Incorporación de DeepSeek como LLM del MVP, con un componente implementado y fusionado. El plan indicaba evitar un LLM inicialmente y reconsiderarlo solo si las pruebas lo justificaban y Alloxentric acordaba su incorporación. </w:t>
            </w:r>
            <w:r>
              <w:rPr>
                <w:rFonts w:ascii="Calibri" w:hAnsi="Calibri" w:cs="Calibri"/>
                <w:b/>
                <w:i w:val="0"/>
                <w:sz w:val="20"/>
              </w:rPr>
              <w:t>[PENDIENTE DE VALIDACIÓN]</w:t>
            </w:r>
            <w:r>
              <w:rPr>
                <w:rFonts w:ascii="Calibri" w:hAnsi="Calibri" w:cs="Calibri"/>
                <w:b w:val="0"/>
                <w:i w:val="0"/>
                <w:sz w:val="20"/>
              </w:rPr>
              <w:t xml:space="preserve"> No presentamos esta incorporación como una aprobación formal con fecha, porque este informe no cuenta con ese registro.</w:t>
            </w:r>
          </w:p>
          <w:p>
            <w:pPr>
              <w:spacing w:after="40" w:before="0" w:line="240" w:lineRule="auto"/>
              <w:ind w:left="280" w:hanging="200"/>
              <w:jc w:val="both"/>
            </w:pPr>
            <w:r>
              <w:rPr>
                <w:rFonts w:ascii="Calibri" w:hAnsi="Calibri" w:cs="Calibri"/>
                <w:b w:val="0"/>
                <w:i w:val="0"/>
                <w:sz w:val="20"/>
              </w:rPr>
              <w:t>• Uso del flujo de Hites como referencia conversacional del escenario de cobranza (informado por el equipo), sin integración productiva con Hites.</w:t>
            </w:r>
          </w:p>
          <w:p>
            <w:pPr>
              <w:spacing w:after="40" w:before="0" w:line="240" w:lineRule="auto"/>
              <w:ind w:left="280" w:hanging="200"/>
              <w:jc w:val="both"/>
            </w:pPr>
            <w:r>
              <w:rPr>
                <w:rFonts w:ascii="Calibri" w:hAnsi="Calibri" w:cs="Calibri"/>
                <w:b w:val="0"/>
                <w:i w:val="0"/>
                <w:sz w:val="20"/>
              </w:rPr>
              <w:t>• Alcance acotado a un MVP funcional de voz en tiempo real, sin plataforma SaaS completa, en línea con las exclusiones de Fase 1.</w:t>
            </w:r>
          </w:p>
          <w:p>
            <w:pPr>
              <w:spacing w:after="40" w:before="0" w:line="240" w:lineRule="auto"/>
              <w:ind w:left="280" w:hanging="200"/>
              <w:jc w:val="both"/>
            </w:pPr>
            <w:r>
              <w:rPr>
                <w:rFonts w:ascii="Calibri" w:hAnsi="Calibri" w:cs="Calibri"/>
                <w:b w:val="0"/>
                <w:i w:val="0"/>
                <w:sz w:val="20"/>
              </w:rPr>
              <w:t>• Práctica de gestión añadida: estrategia Git con Pull Requests por ticket (EV-002).</w:t>
            </w:r>
          </w:p>
          <w:p>
            <w:pPr>
              <w:keepNext/>
              <w:spacing w:after="40" w:before="120" w:line="240" w:lineRule="auto"/>
              <w:jc w:val="left"/>
            </w:pPr>
            <w:r>
              <w:rPr>
                <w:rFonts w:ascii="Calibri" w:hAnsi="Calibri" w:cs="Calibri"/>
                <w:b/>
                <w:i w:val="0"/>
                <w:color w:val="1F3864"/>
                <w:sz w:val="20"/>
              </w:rPr>
              <w:t>Justificación</w:t>
            </w:r>
          </w:p>
          <w:p>
            <w:pPr>
              <w:spacing w:after="60" w:before="0" w:line="240" w:lineRule="auto"/>
              <w:jc w:val="both"/>
            </w:pPr>
            <w:r>
              <w:rPr>
                <w:rFonts w:ascii="Calibri" w:hAnsi="Calibri" w:cs="Calibri"/>
                <w:b/>
                <w:i w:val="0"/>
                <w:sz w:val="20"/>
              </w:rPr>
              <w:t>[INFERENCIA]</w:t>
            </w:r>
            <w:r>
              <w:rPr>
                <w:rFonts w:ascii="Calibri" w:hAnsi="Calibri" w:cs="Calibri"/>
                <w:b w:val="0"/>
                <w:i w:val="0"/>
                <w:sz w:val="20"/>
              </w:rPr>
              <w:t xml:space="preserve"> Las diferencias responden a priorizar un MVP funcional de voz a voz, objetivo que el repositorio técnico establece como prioridad, y a construir los componentes en paralelo. No existe un registro formal de la justificación de cada decisión. </w:t>
            </w:r>
            <w:r>
              <w:rPr>
                <w:rFonts w:ascii="Calibri" w:hAnsi="Calibri" w:cs="Calibri"/>
                <w:b/>
                <w:i w:val="0"/>
                <w:sz w:val="20"/>
              </w:rPr>
              <w:t>[PENDIENTE DE VALIDACIÓN]</w:t>
            </w:r>
          </w:p>
          <w:p>
            <w:pPr>
              <w:keepNext/>
              <w:spacing w:after="40" w:before="120" w:line="240" w:lineRule="auto"/>
              <w:jc w:val="left"/>
            </w:pPr>
            <w:r>
              <w:rPr>
                <w:rFonts w:ascii="Calibri" w:hAnsi="Calibri" w:cs="Calibri"/>
                <w:b/>
                <w:i w:val="0"/>
                <w:color w:val="1F3864"/>
                <w:sz w:val="20"/>
              </w:rPr>
              <w:t>Propuestas todavía no aprobadas [PROPUESTA]</w:t>
            </w:r>
          </w:p>
          <w:p>
            <w:pPr>
              <w:spacing w:after="40" w:before="0" w:line="240" w:lineRule="auto"/>
              <w:ind w:left="280" w:hanging="200"/>
              <w:jc w:val="both"/>
            </w:pPr>
            <w:r>
              <w:rPr>
                <w:rFonts w:ascii="Calibri" w:hAnsi="Calibri" w:cs="Calibri"/>
                <w:b w:val="0"/>
                <w:i w:val="0"/>
                <w:sz w:val="20"/>
              </w:rPr>
              <w:t>• Replanificar A2 y A5 con nuevas fechas y actualizar la Carta Gantt.</w:t>
            </w:r>
          </w:p>
          <w:p>
            <w:pPr>
              <w:spacing w:after="40" w:before="0" w:line="240" w:lineRule="auto"/>
              <w:ind w:left="280" w:hanging="200"/>
              <w:jc w:val="both"/>
            </w:pPr>
            <w:r>
              <w:rPr>
                <w:rFonts w:ascii="Calibri" w:hAnsi="Calibri" w:cs="Calibri"/>
                <w:b w:val="0"/>
                <w:i w:val="0"/>
                <w:sz w:val="20"/>
              </w:rPr>
              <w:t>• Registrar formalmente con Alloxentric la decisión sobre el LLM y su respaldo.</w:t>
            </w:r>
          </w:p>
          <w:p>
            <w:pPr>
              <w:spacing w:after="40" w:before="0" w:line="240" w:lineRule="auto"/>
              <w:ind w:left="280" w:hanging="200"/>
              <w:jc w:val="both"/>
            </w:pPr>
            <w:r>
              <w:rPr>
                <w:rFonts w:ascii="Calibri" w:hAnsi="Calibri" w:cs="Calibri"/>
                <w:b w:val="0"/>
                <w:i w:val="0"/>
                <w:sz w:val="20"/>
              </w:rPr>
              <w:t>• Formalizar el protocolo de comparación de costo y efectividad.</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6C9A0274" w:rsidR="0003309E"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En caso</w:t>
            </w:r>
            <w:r>
              <w:rPr>
                <w:rFonts w:ascii="Calibri" w:hAnsi="Calibri" w:cs="Arial"/>
                <w:i/>
                <w:color w:val="548DD4"/>
                <w:sz w:val="20"/>
                <w:szCs w:val="20"/>
                <w:lang w:eastAsia="es-CL"/>
              </w:rPr>
              <w:t xml:space="preserve"> de</w:t>
            </w:r>
            <w:r w:rsidRPr="00CD38BD">
              <w:rPr>
                <w:rFonts w:ascii="Calibri" w:hAnsi="Calibri" w:cs="Arial"/>
                <w:i/>
                <w:color w:val="548DD4"/>
                <w:sz w:val="20"/>
                <w:szCs w:val="20"/>
                <w:lang w:eastAsia="es-CL"/>
              </w:rPr>
              <w:t xml:space="preserve"> que </w:t>
            </w:r>
            <w:r w:rsidRPr="00CD38BD">
              <w:rPr>
                <w:rFonts w:ascii="Calibri" w:hAnsi="Calibri" w:cs="Arial"/>
                <w:b/>
                <w:i/>
                <w:color w:val="548DD4"/>
                <w:sz w:val="20"/>
                <w:szCs w:val="20"/>
                <w:lang w:eastAsia="es-CL"/>
              </w:rPr>
              <w:t>no ha</w:t>
            </w:r>
            <w:r>
              <w:rPr>
                <w:rFonts w:ascii="Calibri" w:hAnsi="Calibri" w:cs="Arial"/>
                <w:b/>
                <w:i/>
                <w:color w:val="548DD4"/>
                <w:sz w:val="20"/>
                <w:szCs w:val="20"/>
                <w:lang w:eastAsia="es-CL"/>
              </w:rPr>
              <w:t>yas</w:t>
            </w:r>
            <w:r w:rsidRPr="00CD38BD">
              <w:rPr>
                <w:rFonts w:ascii="Calibri" w:hAnsi="Calibri" w:cs="Arial"/>
                <w:b/>
                <w:i/>
                <w:color w:val="548DD4"/>
                <w:sz w:val="20"/>
                <w:szCs w:val="20"/>
                <w:lang w:eastAsia="es-CL"/>
              </w:rPr>
              <w:t xml:space="preserve"> iniciado actividades o est</w:t>
            </w:r>
            <w:r>
              <w:rPr>
                <w:rFonts w:ascii="Calibri" w:hAnsi="Calibri" w:cs="Arial"/>
                <w:b/>
                <w:i/>
                <w:color w:val="548DD4"/>
                <w:sz w:val="20"/>
                <w:szCs w:val="20"/>
                <w:lang w:eastAsia="es-CL"/>
              </w:rPr>
              <w:t>é</w:t>
            </w:r>
            <w:r w:rsidRPr="00CD38BD">
              <w:rPr>
                <w:rFonts w:ascii="Calibri" w:hAnsi="Calibri" w:cs="Arial"/>
                <w:b/>
                <w:i/>
                <w:color w:val="548DD4"/>
                <w:sz w:val="20"/>
                <w:szCs w:val="20"/>
                <w:lang w:eastAsia="es-CL"/>
              </w:rPr>
              <w:t>n retrasadas</w:t>
            </w:r>
            <w:r w:rsidRPr="00CD38BD">
              <w:rPr>
                <w:rFonts w:ascii="Calibri" w:hAnsi="Calibri" w:cs="Arial"/>
                <w:i/>
                <w:color w:val="548DD4"/>
                <w:sz w:val="20"/>
                <w:szCs w:val="20"/>
                <w:lang w:eastAsia="es-CL"/>
              </w:rPr>
              <w:t xml:space="preserve"> de acuerdo a tu planificación</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señala los motivos por lo</w:t>
            </w:r>
            <w:r>
              <w:rPr>
                <w:rFonts w:ascii="Calibri" w:hAnsi="Calibri" w:cs="Arial"/>
                <w:i/>
                <w:color w:val="548DD4"/>
                <w:sz w:val="20"/>
                <w:szCs w:val="20"/>
                <w:lang w:eastAsia="es-CL"/>
              </w:rPr>
              <w:t>s</w:t>
            </w:r>
            <w:r w:rsidRPr="00CD38BD">
              <w:rPr>
                <w:rFonts w:ascii="Calibri" w:hAnsi="Calibri" w:cs="Arial"/>
                <w:i/>
                <w:color w:val="548DD4"/>
                <w:sz w:val="20"/>
                <w:szCs w:val="20"/>
                <w:lang w:eastAsia="es-CL"/>
              </w:rPr>
              <w:t xml:space="preserve"> que no has podido cumplir dichos plazos y qué estrategias utilizarás para avanzar en dichas actividades y no afectar tu proyecto APT. </w:t>
            </w:r>
          </w:p>
          <w:p>
            <w:pPr>
              <w:keepNext/>
              <w:spacing w:after="40" w:before="120" w:line="240" w:lineRule="auto"/>
              <w:jc w:val="left"/>
            </w:pPr>
            <w:r>
              <w:rPr>
                <w:rFonts w:ascii="Calibri" w:hAnsi="Calibri" w:cs="Calibri"/>
                <w:b/>
                <w:i w:val="0"/>
                <w:color w:val="1F3864"/>
                <w:sz w:val="20"/>
              </w:rPr>
              <w:t>Actividades con retraso</w:t>
            </w:r>
          </w:p>
          <w:p>
            <w:pPr>
              <w:spacing w:after="40" w:before="0" w:line="240" w:lineRule="auto"/>
              <w:ind w:left="280" w:hanging="200"/>
              <w:jc w:val="both"/>
            </w:pPr>
            <w:r>
              <w:rPr>
                <w:rFonts w:ascii="Calibri" w:hAnsi="Calibri" w:cs="Calibri"/>
                <w:b w:val="0"/>
                <w:i w:val="0"/>
                <w:sz w:val="20"/>
              </w:rPr>
              <w:t xml:space="preserve">• A2, definición del alcance y protocolo comparativo (ventana S3 a S4): sin protocolo, criterios de efectividad ni método de medición de latencia end-to-end en los repositorios. </w:t>
            </w:r>
            <w:r>
              <w:rPr>
                <w:rFonts w:ascii="Calibri" w:hAnsi="Calibri" w:cs="Calibri"/>
                <w:b/>
                <w:i w:val="0"/>
                <w:sz w:val="20"/>
              </w:rPr>
              <w:t>[PENDIENTE DE VALIDACIÓN]</w:t>
            </w:r>
            <w:r>
              <w:rPr>
                <w:rFonts w:ascii="Calibri" w:hAnsi="Calibri" w:cs="Calibri"/>
                <w:b w:val="0"/>
                <w:i w:val="0"/>
                <w:sz w:val="20"/>
              </w:rPr>
              <w:t xml:space="preserve"> Confirmar si hay un avance parcial.</w:t>
            </w:r>
          </w:p>
          <w:p>
            <w:pPr>
              <w:spacing w:after="40" w:before="0" w:line="240" w:lineRule="auto"/>
              <w:ind w:left="280" w:hanging="200"/>
              <w:jc w:val="both"/>
            </w:pPr>
            <w:r>
              <w:rPr>
                <w:rFonts w:ascii="Calibri" w:hAnsi="Calibri" w:cs="Calibri"/>
                <w:b w:val="0"/>
                <w:i w:val="0"/>
                <w:sz w:val="20"/>
              </w:rPr>
              <w:t>• A5, diseño de integración y flujo conversacional (ventana S5 a S6): hay decisiones técnicas documentadas, pero no diagramas ni el flujo conversacional, y Asterisk no está validado.</w:t>
            </w:r>
          </w:p>
          <w:p>
            <w:pPr>
              <w:spacing w:after="40" w:before="0" w:line="240" w:lineRule="auto"/>
              <w:ind w:left="280" w:hanging="200"/>
              <w:jc w:val="both"/>
            </w:pPr>
            <w:r>
              <w:rPr>
                <w:rFonts w:ascii="Calibri" w:hAnsi="Calibri" w:cs="Calibri"/>
                <w:b w:val="0"/>
                <w:i w:val="0"/>
                <w:sz w:val="20"/>
              </w:rPr>
              <w:t xml:space="preserve">• Motivos: </w:t>
            </w:r>
            <w:r>
              <w:rPr>
                <w:rFonts w:ascii="Calibri" w:hAnsi="Calibri" w:cs="Calibri"/>
                <w:b/>
                <w:i w:val="0"/>
                <w:sz w:val="20"/>
              </w:rPr>
              <w:t>[INFERENCIA]</w:t>
            </w:r>
            <w:r>
              <w:rPr>
                <w:rFonts w:ascii="Calibri" w:hAnsi="Calibri" w:cs="Calibri"/>
                <w:b w:val="0"/>
                <w:i w:val="0"/>
                <w:sz w:val="20"/>
              </w:rPr>
              <w:t xml:space="preserve"> el trabajo se concentró en preparar el entorno y construir los componentes. </w:t>
            </w:r>
            <w:r>
              <w:rPr>
                <w:rFonts w:ascii="Calibri" w:hAnsi="Calibri" w:cs="Calibri"/>
                <w:b/>
                <w:i w:val="0"/>
                <w:sz w:val="20"/>
              </w:rPr>
              <w:t>[PENDIENTE DE VALIDACIÓN]</w:t>
            </w:r>
            <w:r>
              <w:rPr>
                <w:rFonts w:ascii="Calibri" w:hAnsi="Calibri" w:cs="Calibri"/>
                <w:b w:val="0"/>
                <w:i w:val="0"/>
                <w:sz w:val="20"/>
              </w:rPr>
              <w:t xml:space="preserve"> El equipo debe confirmarlos.</w:t>
            </w:r>
          </w:p>
          <w:p>
            <w:pPr>
              <w:keepNext/>
              <w:spacing w:after="40" w:before="120" w:line="240" w:lineRule="auto"/>
              <w:jc w:val="left"/>
            </w:pPr>
            <w:r>
              <w:rPr>
                <w:rFonts w:ascii="Calibri" w:hAnsi="Calibri" w:cs="Calibri"/>
                <w:b/>
                <w:i w:val="0"/>
                <w:color w:val="1F3864"/>
                <w:sz w:val="20"/>
              </w:rPr>
              <w:t>Actividades en curso con la ventana inicial vencida o con riesgo</w:t>
            </w:r>
          </w:p>
          <w:p>
            <w:pPr>
              <w:spacing w:after="40" w:before="0" w:line="240" w:lineRule="auto"/>
              <w:ind w:left="280" w:hanging="200"/>
              <w:jc w:val="both"/>
            </w:pPr>
            <w:r>
              <w:rPr>
                <w:rFonts w:ascii="Calibri" w:hAnsi="Calibri" w:cs="Calibri"/>
                <w:b w:val="0"/>
                <w:i w:val="0"/>
                <w:sz w:val="20"/>
              </w:rPr>
              <w:t>• A1 (ventana S1 a S3) y A3 (ventana inicial S3 a S4) siguen abiertas, con los pendientes indicados en la matriz.</w:t>
            </w:r>
          </w:p>
          <w:p>
            <w:pPr>
              <w:spacing w:after="40" w:before="0" w:line="240" w:lineRule="auto"/>
              <w:ind w:left="280" w:hanging="200"/>
              <w:jc w:val="both"/>
            </w:pPr>
            <w:r>
              <w:rPr>
                <w:rFonts w:ascii="Calibri" w:hAnsi="Calibri" w:cs="Calibri"/>
                <w:b w:val="0"/>
                <w:i w:val="0"/>
                <w:sz w:val="20"/>
              </w:rPr>
              <w:t xml:space="preserve">• Speechmatics, parte de A6: sin retraso formal respecto del plan, cuya ventana llega hasta S13, pero es el componente que condiciona el pipeline. Juan se comprometió a tenerlo para la reunión del miércoles 14 de octubre; ese compromiso no equivale a una implementación completada. Si no se cumple, se retrasan la integración, las pruebas end-to-end (A7, hasta S14) y la comparación (A8, S14 a S15). </w:t>
            </w:r>
            <w:r>
              <w:rPr>
                <w:rFonts w:ascii="Calibri" w:hAnsi="Calibri" w:cs="Calibri"/>
                <w:b/>
                <w:i w:val="0"/>
                <w:sz w:val="20"/>
              </w:rPr>
              <w:t>[INFERENCIA]</w:t>
            </w:r>
          </w:p>
          <w:p>
            <w:pPr>
              <w:keepNext/>
              <w:spacing w:after="40" w:before="120" w:line="240" w:lineRule="auto"/>
              <w:jc w:val="left"/>
            </w:pPr>
            <w:r>
              <w:rPr>
                <w:rFonts w:ascii="Calibri" w:hAnsi="Calibri" w:cs="Calibri"/>
                <w:b/>
                <w:i w:val="0"/>
                <w:color w:val="1F3864"/>
                <w:sz w:val="20"/>
              </w:rPr>
              <w:t>Actividades no iniciadas</w:t>
            </w:r>
          </w:p>
          <w:p>
            <w:pPr>
              <w:spacing w:after="40" w:before="0" w:line="240" w:lineRule="auto"/>
              <w:ind w:left="280" w:hanging="200"/>
              <w:jc w:val="both"/>
            </w:pPr>
            <w:r>
              <w:rPr>
                <w:rFonts w:ascii="Calibri" w:hAnsi="Calibri" w:cs="Calibri"/>
                <w:b w:val="0"/>
                <w:i w:val="0"/>
                <w:sz w:val="20"/>
              </w:rPr>
              <w:t>• A8 (S14 a S15) y A10 (S16 a S18): no corresponde aún su ejecución según el plan.</w:t>
            </w:r>
          </w:p>
          <w:p>
            <w:pPr>
              <w:keepNext/>
              <w:spacing w:after="40" w:before="120" w:line="240" w:lineRule="auto"/>
              <w:jc w:val="left"/>
            </w:pPr>
            <w:r>
              <w:rPr>
                <w:rFonts w:ascii="Calibri" w:hAnsi="Calibri" w:cs="Calibri"/>
                <w:b/>
                <w:i w:val="0"/>
                <w:color w:val="1F3864"/>
                <w:sz w:val="20"/>
              </w:rPr>
              <w:t>Estrategias de recuperación [PROPUESTA, aún no aprobadas]</w:t>
            </w:r>
          </w:p>
          <w:p>
            <w:pPr>
              <w:spacing w:after="40" w:before="0" w:line="240" w:lineRule="auto"/>
              <w:ind w:left="280" w:hanging="200"/>
              <w:jc w:val="both"/>
            </w:pPr>
            <w:r>
              <w:rPr>
                <w:rFonts w:ascii="Calibri" w:hAnsi="Calibri" w:cs="Calibri"/>
                <w:b w:val="0"/>
                <w:i w:val="0"/>
                <w:sz w:val="20"/>
              </w:rPr>
              <w:t>• Revisar el estado de Speechmatics el 14 de octubre y, si no está listo, acordar un nuevo plazo y evaluar apoyo de otro integrante.</w:t>
            </w:r>
          </w:p>
          <w:p>
            <w:pPr>
              <w:spacing w:after="40" w:before="0" w:line="240" w:lineRule="auto"/>
              <w:ind w:left="280" w:hanging="200"/>
              <w:jc w:val="both"/>
            </w:pPr>
            <w:r>
              <w:rPr>
                <w:rFonts w:ascii="Calibri" w:hAnsi="Calibri" w:cs="Calibri"/>
                <w:b w:val="0"/>
                <w:i w:val="0"/>
                <w:sz w:val="20"/>
              </w:rPr>
              <w:t>• Priorizar la prueba end-to-end y la medición de latencia apenas el STT esté validado.</w:t>
            </w:r>
          </w:p>
          <w:p>
            <w:pPr>
              <w:spacing w:after="40" w:before="0" w:line="240" w:lineRule="auto"/>
              <w:ind w:left="280" w:hanging="200"/>
              <w:jc w:val="both"/>
            </w:pPr>
            <w:r>
              <w:rPr>
                <w:rFonts w:ascii="Calibri" w:hAnsi="Calibri" w:cs="Calibri"/>
                <w:b w:val="0"/>
                <w:i w:val="0"/>
                <w:sz w:val="20"/>
              </w:rPr>
              <w:t>• Acordar con Alloxentric (Karina) el protocolo de comparación, los datos de referencia y el entorno de pruebas con Asterisk.</w:t>
            </w:r>
          </w:p>
          <w:p>
            <w:pPr>
              <w:spacing w:after="40" w:before="0" w:line="240" w:lineRule="auto"/>
              <w:ind w:left="280" w:hanging="200"/>
              <w:jc w:val="both"/>
            </w:pPr>
            <w:r>
              <w:rPr>
                <w:rFonts w:ascii="Calibri" w:hAnsi="Calibri" w:cs="Calibri"/>
                <w:b w:val="0"/>
                <w:i w:val="0"/>
                <w:sz w:val="20"/>
              </w:rPr>
              <w:t>• Documentar el diseño de integración con diagramas y el flujo de referencia de Hites, y registrar el seguimiento de Scrum en CoreStream.</w:t>
            </w:r>
          </w:p>
          <w:p>
            <w:pPr>
              <w:spacing w:after="40" w:before="0" w:line="240" w:lineRule="auto"/>
              <w:ind w:left="280" w:hanging="200"/>
              <w:jc w:val="both"/>
            </w:pPr>
            <w:r>
              <w:rPr>
                <w:rFonts w:ascii="Calibri" w:hAnsi="Calibri" w:cs="Calibri"/>
                <w:b w:val="0"/>
                <w:i w:val="0"/>
                <w:sz w:val="20"/>
              </w:rPr>
              <w:t>• Actualizar la Carta Gantt con las fechas que el equipo apruebe.</w:t>
            </w: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31069C" w14:textId="77777777" w:rsidR="005A0A7C" w:rsidRDefault="005A0A7C" w:rsidP="0003309E">
      <w:pPr>
        <w:spacing w:after="0" w:line="240" w:lineRule="auto"/>
      </w:pPr>
      <w:r>
        <w:separator/>
      </w:r>
    </w:p>
  </w:endnote>
  <w:endnote w:type="continuationSeparator" w:id="0">
    <w:p w14:paraId="69B8617C" w14:textId="77777777" w:rsidR="005A0A7C" w:rsidRDefault="005A0A7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1B8F5" w14:textId="77777777" w:rsidR="005A0A7C" w:rsidRDefault="005A0A7C" w:rsidP="0003309E">
      <w:pPr>
        <w:spacing w:after="0" w:line="240" w:lineRule="auto"/>
      </w:pPr>
      <w:r>
        <w:separator/>
      </w:r>
    </w:p>
  </w:footnote>
  <w:footnote w:type="continuationSeparator" w:id="0">
    <w:p w14:paraId="362472A8" w14:textId="77777777" w:rsidR="005A0A7C" w:rsidRDefault="005A0A7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2960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4</cp:revision>
  <dcterms:created xsi:type="dcterms:W3CDTF">2022-08-24T18:14:00Z</dcterms:created>
  <dcterms:modified xsi:type="dcterms:W3CDTF">2023-02-06T15:14:00Z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