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E5F" w14:textId="43DF3A41" w:rsidR="00AA0C80" w:rsidRPr="00AA0C80" w:rsidRDefault="00E10B7E" w:rsidP="00AA0C80">
      <w:pPr>
        <w:jc w:val="center"/>
      </w:pPr>
      <w:r>
        <w:t xml:space="preserve">REPORTE </w:t>
      </w:r>
      <w:r w:rsidR="005345D9">
        <w:t>CASO ANÁLISIS</w:t>
      </w:r>
      <w:r w:rsidRPr="00AA0C80">
        <w:t xml:space="preserve"> DE LA FUERZA LABORAL Y PLANIFICACIÓN DE RECURSOS HUMANOS</w:t>
      </w:r>
    </w:p>
    <w:p w14:paraId="7914CCB0" w14:textId="19990AAA" w:rsidR="00A0300C" w:rsidRDefault="00A0300C" w:rsidP="00AA0C80">
      <w:pPr>
        <w:jc w:val="center"/>
      </w:pPr>
    </w:p>
    <w:p w14:paraId="2E0339A7" w14:textId="2BED2633" w:rsidR="00AA0C80" w:rsidRDefault="00AA0C80" w:rsidP="00AA0C80">
      <w:pPr>
        <w:jc w:val="both"/>
      </w:pPr>
      <w:r>
        <w:t xml:space="preserve">Primeramente, vamos a tener que analizar el número de empleados que tienen los 6 países correspondientes a la revisión de los datos, </w:t>
      </w:r>
      <w:r w:rsidR="005345D9">
        <w:t>n</w:t>
      </w:r>
      <w:r>
        <w:t xml:space="preserve">os dice que da un total de </w:t>
      </w:r>
      <w:r w:rsidRPr="00AA0C80">
        <w:t>113</w:t>
      </w:r>
      <w:r>
        <w:t>,</w:t>
      </w:r>
      <w:r w:rsidRPr="00AA0C80">
        <w:t>956</w:t>
      </w:r>
      <w:r>
        <w:t xml:space="preserve"> empleados, los cuales </w:t>
      </w:r>
      <w:r w:rsidRPr="00AA0C80">
        <w:t>62</w:t>
      </w:r>
      <w:r>
        <w:t>,</w:t>
      </w:r>
      <w:r w:rsidRPr="00AA0C80">
        <w:t>456</w:t>
      </w:r>
      <w:r>
        <w:t xml:space="preserve"> son hombres, </w:t>
      </w:r>
      <w:r w:rsidRPr="00AA0C80">
        <w:t>42</w:t>
      </w:r>
      <w:r>
        <w:t>,</w:t>
      </w:r>
      <w:r w:rsidRPr="00AA0C80">
        <w:t>280</w:t>
      </w:r>
      <w:r>
        <w:t xml:space="preserve"> son mujeres y </w:t>
      </w:r>
      <w:r w:rsidRPr="00AA0C80">
        <w:t>9</w:t>
      </w:r>
      <w:r>
        <w:t>,</w:t>
      </w:r>
      <w:r w:rsidRPr="00AA0C80">
        <w:t>220</w:t>
      </w:r>
      <w:r>
        <w:t xml:space="preserve"> son datos sin reconocer (NA); así mismo podemos ver el promedio general de los trabajadores es de 33.27 años, donde curiosamente Perú ocupa en el promedio con trabajadores con un rango mayo</w:t>
      </w:r>
      <w:r w:rsidR="005345D9">
        <w:t>r de edad</w:t>
      </w:r>
      <w:r>
        <w:t xml:space="preserve"> del 37.40 general. </w:t>
      </w:r>
    </w:p>
    <w:p w14:paraId="6321A805" w14:textId="57471BA9" w:rsidR="00AA0C80" w:rsidRDefault="00AA0C80" w:rsidP="00AA0C80">
      <w:pPr>
        <w:jc w:val="both"/>
      </w:pPr>
      <w:r>
        <w:rPr>
          <w:noProof/>
        </w:rPr>
        <w:drawing>
          <wp:inline distT="0" distB="0" distL="0" distR="0" wp14:anchorId="5DFD14E2" wp14:editId="239BE031">
            <wp:extent cx="5612130" cy="1771650"/>
            <wp:effectExtent l="0" t="0" r="7620" b="0"/>
            <wp:docPr id="7848099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44CBFB2-CF04-4D46-86FC-D27402A93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5AEE75" w14:textId="77777777" w:rsidR="00E10B7E" w:rsidRDefault="00E10B7E" w:rsidP="00AA0C80">
      <w:pPr>
        <w:jc w:val="both"/>
      </w:pPr>
    </w:p>
    <w:p w14:paraId="7D91758C" w14:textId="2A9731B6" w:rsidR="00AA0C80" w:rsidRDefault="00E10B7E" w:rsidP="00AA0C8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8F3AC" wp14:editId="2DF47EF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485900" cy="2247900"/>
            <wp:effectExtent l="0" t="0" r="0" b="0"/>
            <wp:wrapSquare wrapText="bothSides"/>
            <wp:docPr id="196708088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D9DC85B-7BE3-458E-8D88-430A28EA11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8F70FB2" w14:textId="0D6303D8" w:rsidR="00AA0C80" w:rsidRDefault="00AA0C80" w:rsidP="00AA0C80">
      <w:pPr>
        <w:jc w:val="both"/>
      </w:pPr>
      <w:r>
        <w:t xml:space="preserve">También observamos </w:t>
      </w:r>
      <w:r w:rsidR="00E10B7E">
        <w:t>el rango de antigüedad de los trabajadores donde la mayor proporción esta en el rango de trabajadores que oscila entre .05 – 6 años de antigüedad lo que corresponde a un 73%, lo que en términos generales y acorto plazo podría indicar una señal de alerta por el poco tiempo de antigüedad de dichos trabajadores, explicado en el gráfico de la derecha.</w:t>
      </w:r>
    </w:p>
    <w:p w14:paraId="6559746D" w14:textId="77777777" w:rsidR="00E10B7E" w:rsidRDefault="00E10B7E" w:rsidP="00AA0C80">
      <w:pPr>
        <w:jc w:val="both"/>
      </w:pPr>
    </w:p>
    <w:p w14:paraId="41E58550" w14:textId="360DFC4D" w:rsidR="00FA6E68" w:rsidRDefault="00FA6E68" w:rsidP="005345D9">
      <w:pPr>
        <w:jc w:val="both"/>
      </w:pPr>
      <w:r>
        <w:t xml:space="preserve">Conforme al índice de Rotación de Personal (IRP) podemos ver que en términos generales tiene un valor </w:t>
      </w:r>
      <w:r w:rsidR="0000117A">
        <w:t>de 13.73</w:t>
      </w:r>
      <w:r w:rsidRPr="00FA6E68">
        <w:t>%</w:t>
      </w:r>
      <w:r>
        <w:t xml:space="preserve"> que competen a los años de 1975-2023, pero para fines prácticos usaremos el valor de </w:t>
      </w:r>
      <w:r w:rsidRPr="00FA6E68">
        <w:t>2.78%</w:t>
      </w:r>
      <w:r>
        <w:t xml:space="preserve"> que corresponde a el año de 2022</w:t>
      </w:r>
      <w:r w:rsidR="005345D9">
        <w:t>,</w:t>
      </w:r>
      <w:r>
        <w:t xml:space="preserve"> esto se debe a que ese año hubieron 3 tipos de </w:t>
      </w:r>
      <w:proofErr w:type="gramStart"/>
      <w:r>
        <w:t>bajas</w:t>
      </w:r>
      <w:r w:rsidR="005345D9">
        <w:t xml:space="preserve">, </w:t>
      </w:r>
      <w:r>
        <w:t xml:space="preserve"> inducidas</w:t>
      </w:r>
      <w:proofErr w:type="gramEnd"/>
      <w:r>
        <w:t xml:space="preserve"> con 80 bajas, voluntarias con 514 y transferencias con 1</w:t>
      </w:r>
      <w:r w:rsidR="005345D9">
        <w:t xml:space="preserve">, además lo utilizamos como base ya es que el año anterior y con mayor numero de bajas. </w:t>
      </w:r>
    </w:p>
    <w:p w14:paraId="7B946A48" w14:textId="7991AA51" w:rsidR="00FA6E68" w:rsidRDefault="00FA6E68" w:rsidP="005345D9">
      <w:pPr>
        <w:jc w:val="both"/>
      </w:pPr>
      <w:r>
        <w:t xml:space="preserve">Las áreas donde se puede observar </w:t>
      </w:r>
      <w:proofErr w:type="spellStart"/>
      <w:r>
        <w:t>mas</w:t>
      </w:r>
      <w:proofErr w:type="spellEnd"/>
      <w:r>
        <w:t xml:space="preserve"> bajas </w:t>
      </w:r>
      <w:r w:rsidR="0000117A">
        <w:t xml:space="preserve">correspondiente a su tipo de actividad </w:t>
      </w:r>
      <w:proofErr w:type="gramStart"/>
      <w:r w:rsidR="0000117A">
        <w:t>es :</w:t>
      </w:r>
      <w:proofErr w:type="gramEnd"/>
      <w:r w:rsidR="0000117A">
        <w:t xml:space="preserve"> Operador, </w:t>
      </w:r>
      <w:r>
        <w:t xml:space="preserve"> </w:t>
      </w:r>
      <w:r w:rsidR="0000117A">
        <w:t>Asesor, y Líder todo esto representado en el grafico siguiente.</w:t>
      </w:r>
    </w:p>
    <w:p w14:paraId="5836C471" w14:textId="77777777" w:rsidR="00FA6E68" w:rsidRDefault="00FA6E68" w:rsidP="00AA0C80">
      <w:pPr>
        <w:jc w:val="both"/>
      </w:pPr>
    </w:p>
    <w:p w14:paraId="4EB7E4C0" w14:textId="3B092F6E" w:rsidR="00FA6E68" w:rsidRDefault="00FA6E68" w:rsidP="00AA0C8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6D552B" wp14:editId="17B85274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6153150" cy="1933575"/>
            <wp:effectExtent l="0" t="0" r="0" b="9525"/>
            <wp:wrapSquare wrapText="bothSides"/>
            <wp:docPr id="6022751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AD9C3A3-B9A6-4484-9E30-F3A320DFB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44BA6C0" w14:textId="0FC5CBD9" w:rsidR="0000117A" w:rsidRDefault="0000117A" w:rsidP="00AA0C80">
      <w:pPr>
        <w:jc w:val="both"/>
      </w:pPr>
      <w:r>
        <w:t xml:space="preserve">Correspondiente a las instancias </w:t>
      </w:r>
      <w:r w:rsidR="005345D9">
        <w:t>te</w:t>
      </w:r>
      <w:r>
        <w:t>nemos un total de empleados</w:t>
      </w:r>
      <w:r w:rsidR="005345D9">
        <w:t>,</w:t>
      </w:r>
      <w:r>
        <w:t xml:space="preserve"> si queremos alcanzar la meta del crecimiento del 10% para el siguiente año lo que haremos es contemplar</w:t>
      </w:r>
      <w:r w:rsidR="005345D9">
        <w:t>,</w:t>
      </w:r>
      <w:r>
        <w:t xml:space="preserve"> El índice de rotación de personal para el año 2022 y sumarlo a nuestro año actual para así ten</w:t>
      </w:r>
      <w:r w:rsidR="005345D9">
        <w:t>er</w:t>
      </w:r>
      <w:r>
        <w:t xml:space="preserve"> el total acumulado de empleados que contrataremos para el siguiente año ya que compensa los empleados salientes y los reincorpora en nuestro análisis. </w:t>
      </w:r>
    </w:p>
    <w:tbl>
      <w:tblPr>
        <w:tblStyle w:val="Tablaconcuadrcula"/>
        <w:tblW w:w="9720" w:type="dxa"/>
        <w:jc w:val="center"/>
        <w:tblLook w:val="04A0" w:firstRow="1" w:lastRow="0" w:firstColumn="1" w:lastColumn="0" w:noHBand="0" w:noVBand="1"/>
      </w:tblPr>
      <w:tblGrid>
        <w:gridCol w:w="1447"/>
        <w:gridCol w:w="1333"/>
        <w:gridCol w:w="1269"/>
        <w:gridCol w:w="1470"/>
        <w:gridCol w:w="1300"/>
        <w:gridCol w:w="1470"/>
        <w:gridCol w:w="1431"/>
      </w:tblGrid>
      <w:tr w:rsidR="0000117A" w:rsidRPr="0000117A" w14:paraId="3F65AC4D" w14:textId="77777777" w:rsidTr="0000117A">
        <w:trPr>
          <w:trHeight w:val="1286"/>
          <w:jc w:val="center"/>
        </w:trPr>
        <w:tc>
          <w:tcPr>
            <w:tcW w:w="1447" w:type="dxa"/>
            <w:noWrap/>
            <w:hideMark/>
          </w:tcPr>
          <w:p w14:paraId="7A9E7F4B" w14:textId="77777777" w:rsidR="0000117A" w:rsidRPr="0000117A" w:rsidRDefault="0000117A" w:rsidP="0000117A">
            <w:pPr>
              <w:jc w:val="both"/>
            </w:pPr>
            <w:r w:rsidRPr="0000117A">
              <w:t>Instancia</w:t>
            </w:r>
          </w:p>
        </w:tc>
        <w:tc>
          <w:tcPr>
            <w:tcW w:w="1333" w:type="dxa"/>
            <w:hideMark/>
          </w:tcPr>
          <w:p w14:paraId="2D8661E0" w14:textId="77777777" w:rsidR="0000117A" w:rsidRPr="0000117A" w:rsidRDefault="0000117A" w:rsidP="0000117A">
            <w:pPr>
              <w:jc w:val="both"/>
            </w:pPr>
            <w:r w:rsidRPr="0000117A">
              <w:t xml:space="preserve">EMPLEADOS </w:t>
            </w:r>
          </w:p>
        </w:tc>
        <w:tc>
          <w:tcPr>
            <w:tcW w:w="1269" w:type="dxa"/>
            <w:hideMark/>
          </w:tcPr>
          <w:p w14:paraId="17658B25" w14:textId="77777777" w:rsidR="0000117A" w:rsidRPr="0000117A" w:rsidRDefault="0000117A" w:rsidP="0000117A">
            <w:pPr>
              <w:jc w:val="both"/>
            </w:pPr>
            <w:r w:rsidRPr="0000117A">
              <w:t>IRP 2022</w:t>
            </w:r>
          </w:p>
        </w:tc>
        <w:tc>
          <w:tcPr>
            <w:tcW w:w="1470" w:type="dxa"/>
            <w:hideMark/>
          </w:tcPr>
          <w:p w14:paraId="2D97C9D5" w14:textId="77777777" w:rsidR="0000117A" w:rsidRPr="0000117A" w:rsidRDefault="0000117A" w:rsidP="0000117A">
            <w:pPr>
              <w:jc w:val="both"/>
            </w:pPr>
            <w:r w:rsidRPr="0000117A">
              <w:t>CRECIMIENTO DESEADO 10%</w:t>
            </w:r>
          </w:p>
        </w:tc>
        <w:tc>
          <w:tcPr>
            <w:tcW w:w="1300" w:type="dxa"/>
            <w:hideMark/>
          </w:tcPr>
          <w:p w14:paraId="3326BD7B" w14:textId="77777777" w:rsidR="0000117A" w:rsidRPr="0000117A" w:rsidRDefault="0000117A" w:rsidP="0000117A">
            <w:pPr>
              <w:jc w:val="both"/>
            </w:pPr>
            <w:r w:rsidRPr="0000117A">
              <w:t>CREMIENTO NECESARIO A 2023 VS 2022</w:t>
            </w:r>
          </w:p>
        </w:tc>
        <w:tc>
          <w:tcPr>
            <w:tcW w:w="1470" w:type="dxa"/>
            <w:hideMark/>
          </w:tcPr>
          <w:p w14:paraId="703FEE00" w14:textId="77777777" w:rsidR="0000117A" w:rsidRPr="0000117A" w:rsidRDefault="0000117A" w:rsidP="0000117A">
            <w:pPr>
              <w:jc w:val="both"/>
            </w:pPr>
            <w:r w:rsidRPr="0000117A">
              <w:t>CRECIMIENTO DE EMPLEADOS A 2023</w:t>
            </w:r>
          </w:p>
        </w:tc>
        <w:tc>
          <w:tcPr>
            <w:tcW w:w="1431" w:type="dxa"/>
            <w:noWrap/>
            <w:hideMark/>
          </w:tcPr>
          <w:p w14:paraId="5F9A596E" w14:textId="77777777" w:rsidR="0000117A" w:rsidRPr="0000117A" w:rsidRDefault="0000117A" w:rsidP="0000117A">
            <w:pPr>
              <w:jc w:val="both"/>
            </w:pPr>
            <w:r w:rsidRPr="0000117A">
              <w:t>ACUMULADO</w:t>
            </w:r>
          </w:p>
        </w:tc>
      </w:tr>
      <w:tr w:rsidR="0000117A" w:rsidRPr="0000117A" w14:paraId="309F1B4F" w14:textId="77777777" w:rsidTr="0000117A">
        <w:trPr>
          <w:trHeight w:val="428"/>
          <w:jc w:val="center"/>
        </w:trPr>
        <w:tc>
          <w:tcPr>
            <w:tcW w:w="1447" w:type="dxa"/>
            <w:noWrap/>
            <w:hideMark/>
          </w:tcPr>
          <w:p w14:paraId="3A8FC98F" w14:textId="77777777" w:rsidR="0000117A" w:rsidRPr="0000117A" w:rsidRDefault="0000117A" w:rsidP="0000117A">
            <w:pPr>
              <w:jc w:val="both"/>
            </w:pPr>
            <w:r w:rsidRPr="0000117A">
              <w:t>GEKT</w:t>
            </w:r>
          </w:p>
        </w:tc>
        <w:tc>
          <w:tcPr>
            <w:tcW w:w="1333" w:type="dxa"/>
            <w:noWrap/>
            <w:hideMark/>
          </w:tcPr>
          <w:p w14:paraId="393446A5" w14:textId="77777777" w:rsidR="0000117A" w:rsidRPr="0000117A" w:rsidRDefault="0000117A" w:rsidP="0000117A">
            <w:pPr>
              <w:jc w:val="both"/>
            </w:pPr>
            <w:r w:rsidRPr="0000117A">
              <w:t>98592</w:t>
            </w:r>
          </w:p>
        </w:tc>
        <w:tc>
          <w:tcPr>
            <w:tcW w:w="1269" w:type="dxa"/>
            <w:noWrap/>
            <w:hideMark/>
          </w:tcPr>
          <w:p w14:paraId="2586FDA9" w14:textId="77777777" w:rsidR="0000117A" w:rsidRPr="0000117A" w:rsidRDefault="0000117A" w:rsidP="0000117A">
            <w:pPr>
              <w:jc w:val="both"/>
            </w:pPr>
            <w:r w:rsidRPr="0000117A">
              <w:t>2.8%</w:t>
            </w:r>
          </w:p>
        </w:tc>
        <w:tc>
          <w:tcPr>
            <w:tcW w:w="1470" w:type="dxa"/>
            <w:noWrap/>
            <w:hideMark/>
          </w:tcPr>
          <w:p w14:paraId="46BE0E71" w14:textId="77777777" w:rsidR="0000117A" w:rsidRPr="0000117A" w:rsidRDefault="0000117A" w:rsidP="0000117A">
            <w:pPr>
              <w:jc w:val="both"/>
            </w:pPr>
            <w:r w:rsidRPr="0000117A">
              <w:t>10%</w:t>
            </w:r>
          </w:p>
        </w:tc>
        <w:tc>
          <w:tcPr>
            <w:tcW w:w="1300" w:type="dxa"/>
            <w:noWrap/>
            <w:hideMark/>
          </w:tcPr>
          <w:p w14:paraId="043CDAEC" w14:textId="77777777" w:rsidR="0000117A" w:rsidRPr="0000117A" w:rsidRDefault="0000117A" w:rsidP="0000117A">
            <w:pPr>
              <w:jc w:val="both"/>
            </w:pPr>
            <w:r w:rsidRPr="0000117A">
              <w:t>12.8%</w:t>
            </w:r>
          </w:p>
        </w:tc>
        <w:tc>
          <w:tcPr>
            <w:tcW w:w="1470" w:type="dxa"/>
            <w:noWrap/>
            <w:hideMark/>
          </w:tcPr>
          <w:p w14:paraId="2DA7495B" w14:textId="77777777" w:rsidR="0000117A" w:rsidRPr="0000117A" w:rsidRDefault="0000117A" w:rsidP="0000117A">
            <w:pPr>
              <w:jc w:val="both"/>
            </w:pPr>
            <w:r w:rsidRPr="0000117A">
              <w:t>12595.69485</w:t>
            </w:r>
          </w:p>
        </w:tc>
        <w:tc>
          <w:tcPr>
            <w:tcW w:w="1431" w:type="dxa"/>
            <w:noWrap/>
            <w:hideMark/>
          </w:tcPr>
          <w:p w14:paraId="05B5F5B0" w14:textId="77777777" w:rsidR="0000117A" w:rsidRPr="0000117A" w:rsidRDefault="0000117A" w:rsidP="0000117A">
            <w:pPr>
              <w:jc w:val="both"/>
            </w:pPr>
            <w:r w:rsidRPr="0000117A">
              <w:t>111187.6948</w:t>
            </w:r>
          </w:p>
        </w:tc>
      </w:tr>
      <w:tr w:rsidR="0000117A" w:rsidRPr="0000117A" w14:paraId="6B8CB790" w14:textId="77777777" w:rsidTr="0000117A">
        <w:trPr>
          <w:trHeight w:val="428"/>
          <w:jc w:val="center"/>
        </w:trPr>
        <w:tc>
          <w:tcPr>
            <w:tcW w:w="1447" w:type="dxa"/>
            <w:noWrap/>
            <w:hideMark/>
          </w:tcPr>
          <w:p w14:paraId="62E76C48" w14:textId="77777777" w:rsidR="0000117A" w:rsidRPr="0000117A" w:rsidRDefault="0000117A" w:rsidP="0000117A">
            <w:pPr>
              <w:jc w:val="both"/>
            </w:pPr>
            <w:r w:rsidRPr="0000117A">
              <w:t>NA</w:t>
            </w:r>
          </w:p>
        </w:tc>
        <w:tc>
          <w:tcPr>
            <w:tcW w:w="1333" w:type="dxa"/>
            <w:noWrap/>
            <w:hideMark/>
          </w:tcPr>
          <w:p w14:paraId="6331E40A" w14:textId="77777777" w:rsidR="0000117A" w:rsidRPr="0000117A" w:rsidRDefault="0000117A" w:rsidP="0000117A">
            <w:pPr>
              <w:jc w:val="both"/>
            </w:pPr>
            <w:r w:rsidRPr="0000117A">
              <w:t>2</w:t>
            </w:r>
          </w:p>
        </w:tc>
        <w:tc>
          <w:tcPr>
            <w:tcW w:w="1269" w:type="dxa"/>
            <w:noWrap/>
            <w:hideMark/>
          </w:tcPr>
          <w:p w14:paraId="0C064454" w14:textId="77777777" w:rsidR="0000117A" w:rsidRPr="0000117A" w:rsidRDefault="0000117A" w:rsidP="0000117A">
            <w:pPr>
              <w:jc w:val="both"/>
            </w:pPr>
            <w:r w:rsidRPr="0000117A">
              <w:t>2.8%</w:t>
            </w:r>
          </w:p>
        </w:tc>
        <w:tc>
          <w:tcPr>
            <w:tcW w:w="1470" w:type="dxa"/>
            <w:noWrap/>
            <w:hideMark/>
          </w:tcPr>
          <w:p w14:paraId="6778052F" w14:textId="77777777" w:rsidR="0000117A" w:rsidRPr="0000117A" w:rsidRDefault="0000117A" w:rsidP="0000117A">
            <w:pPr>
              <w:jc w:val="both"/>
            </w:pPr>
            <w:r w:rsidRPr="0000117A">
              <w:t>10%</w:t>
            </w:r>
          </w:p>
        </w:tc>
        <w:tc>
          <w:tcPr>
            <w:tcW w:w="1300" w:type="dxa"/>
            <w:noWrap/>
            <w:hideMark/>
          </w:tcPr>
          <w:p w14:paraId="026BBE89" w14:textId="77777777" w:rsidR="0000117A" w:rsidRPr="0000117A" w:rsidRDefault="0000117A" w:rsidP="0000117A">
            <w:pPr>
              <w:jc w:val="both"/>
            </w:pPr>
            <w:r w:rsidRPr="0000117A">
              <w:t>12.8%</w:t>
            </w:r>
          </w:p>
        </w:tc>
        <w:tc>
          <w:tcPr>
            <w:tcW w:w="1470" w:type="dxa"/>
            <w:noWrap/>
            <w:hideMark/>
          </w:tcPr>
          <w:p w14:paraId="7A7934CE" w14:textId="77777777" w:rsidR="0000117A" w:rsidRPr="0000117A" w:rsidRDefault="0000117A" w:rsidP="0000117A">
            <w:pPr>
              <w:jc w:val="both"/>
            </w:pPr>
            <w:r w:rsidRPr="0000117A">
              <w:t>0.255511499</w:t>
            </w:r>
          </w:p>
        </w:tc>
        <w:tc>
          <w:tcPr>
            <w:tcW w:w="1431" w:type="dxa"/>
            <w:noWrap/>
            <w:hideMark/>
          </w:tcPr>
          <w:p w14:paraId="16EBB508" w14:textId="77777777" w:rsidR="0000117A" w:rsidRPr="0000117A" w:rsidRDefault="0000117A" w:rsidP="0000117A">
            <w:pPr>
              <w:jc w:val="both"/>
            </w:pPr>
            <w:r w:rsidRPr="0000117A">
              <w:t>2.255511499</w:t>
            </w:r>
          </w:p>
        </w:tc>
      </w:tr>
      <w:tr w:rsidR="0000117A" w:rsidRPr="0000117A" w14:paraId="5F9CAC4E" w14:textId="77777777" w:rsidTr="0000117A">
        <w:trPr>
          <w:trHeight w:val="428"/>
          <w:jc w:val="center"/>
        </w:trPr>
        <w:tc>
          <w:tcPr>
            <w:tcW w:w="1447" w:type="dxa"/>
            <w:noWrap/>
            <w:hideMark/>
          </w:tcPr>
          <w:p w14:paraId="106B1058" w14:textId="77777777" w:rsidR="0000117A" w:rsidRPr="0000117A" w:rsidRDefault="0000117A" w:rsidP="0000117A">
            <w:pPr>
              <w:jc w:val="both"/>
            </w:pPr>
            <w:r w:rsidRPr="0000117A">
              <w:t>TPY</w:t>
            </w:r>
          </w:p>
        </w:tc>
        <w:tc>
          <w:tcPr>
            <w:tcW w:w="1333" w:type="dxa"/>
            <w:noWrap/>
            <w:hideMark/>
          </w:tcPr>
          <w:p w14:paraId="765EAB59" w14:textId="77777777" w:rsidR="0000117A" w:rsidRPr="0000117A" w:rsidRDefault="0000117A" w:rsidP="0000117A">
            <w:pPr>
              <w:jc w:val="both"/>
            </w:pPr>
            <w:r w:rsidRPr="0000117A">
              <w:t>6801</w:t>
            </w:r>
          </w:p>
        </w:tc>
        <w:tc>
          <w:tcPr>
            <w:tcW w:w="1269" w:type="dxa"/>
            <w:noWrap/>
            <w:hideMark/>
          </w:tcPr>
          <w:p w14:paraId="28E07C0E" w14:textId="77777777" w:rsidR="0000117A" w:rsidRPr="0000117A" w:rsidRDefault="0000117A" w:rsidP="0000117A">
            <w:pPr>
              <w:jc w:val="both"/>
            </w:pPr>
            <w:r w:rsidRPr="0000117A">
              <w:t>2.8%</w:t>
            </w:r>
          </w:p>
        </w:tc>
        <w:tc>
          <w:tcPr>
            <w:tcW w:w="1470" w:type="dxa"/>
            <w:noWrap/>
            <w:hideMark/>
          </w:tcPr>
          <w:p w14:paraId="4703EF57" w14:textId="77777777" w:rsidR="0000117A" w:rsidRPr="0000117A" w:rsidRDefault="0000117A" w:rsidP="0000117A">
            <w:pPr>
              <w:jc w:val="both"/>
            </w:pPr>
            <w:r w:rsidRPr="0000117A">
              <w:t>10%</w:t>
            </w:r>
          </w:p>
        </w:tc>
        <w:tc>
          <w:tcPr>
            <w:tcW w:w="1300" w:type="dxa"/>
            <w:noWrap/>
            <w:hideMark/>
          </w:tcPr>
          <w:p w14:paraId="7D01B6AA" w14:textId="77777777" w:rsidR="0000117A" w:rsidRPr="0000117A" w:rsidRDefault="0000117A" w:rsidP="0000117A">
            <w:pPr>
              <w:jc w:val="both"/>
            </w:pPr>
            <w:r w:rsidRPr="0000117A">
              <w:t>12.8%</w:t>
            </w:r>
          </w:p>
        </w:tc>
        <w:tc>
          <w:tcPr>
            <w:tcW w:w="1470" w:type="dxa"/>
            <w:noWrap/>
            <w:hideMark/>
          </w:tcPr>
          <w:p w14:paraId="45C9A4B3" w14:textId="77777777" w:rsidR="0000117A" w:rsidRPr="0000117A" w:rsidRDefault="0000117A" w:rsidP="0000117A">
            <w:pPr>
              <w:jc w:val="both"/>
            </w:pPr>
            <w:r w:rsidRPr="0000117A">
              <w:t>868.8668517</w:t>
            </w:r>
          </w:p>
        </w:tc>
        <w:tc>
          <w:tcPr>
            <w:tcW w:w="1431" w:type="dxa"/>
            <w:noWrap/>
            <w:hideMark/>
          </w:tcPr>
          <w:p w14:paraId="63C03420" w14:textId="77777777" w:rsidR="0000117A" w:rsidRPr="0000117A" w:rsidRDefault="0000117A" w:rsidP="0000117A">
            <w:pPr>
              <w:jc w:val="both"/>
            </w:pPr>
            <w:r w:rsidRPr="0000117A">
              <w:t>7669.866852</w:t>
            </w:r>
          </w:p>
        </w:tc>
      </w:tr>
      <w:tr w:rsidR="0000117A" w:rsidRPr="0000117A" w14:paraId="179BC800" w14:textId="77777777" w:rsidTr="0000117A">
        <w:trPr>
          <w:trHeight w:val="428"/>
          <w:jc w:val="center"/>
        </w:trPr>
        <w:tc>
          <w:tcPr>
            <w:tcW w:w="1447" w:type="dxa"/>
            <w:noWrap/>
            <w:hideMark/>
          </w:tcPr>
          <w:p w14:paraId="188B0FC5" w14:textId="77777777" w:rsidR="0000117A" w:rsidRPr="0000117A" w:rsidRDefault="0000117A" w:rsidP="0000117A">
            <w:pPr>
              <w:jc w:val="both"/>
            </w:pPr>
            <w:r w:rsidRPr="0000117A">
              <w:t>TVA</w:t>
            </w:r>
          </w:p>
        </w:tc>
        <w:tc>
          <w:tcPr>
            <w:tcW w:w="1333" w:type="dxa"/>
            <w:noWrap/>
            <w:hideMark/>
          </w:tcPr>
          <w:p w14:paraId="29E8AD78" w14:textId="77777777" w:rsidR="0000117A" w:rsidRPr="0000117A" w:rsidRDefault="0000117A" w:rsidP="0000117A">
            <w:pPr>
              <w:jc w:val="both"/>
            </w:pPr>
            <w:r w:rsidRPr="0000117A">
              <w:t>8561</w:t>
            </w:r>
          </w:p>
        </w:tc>
        <w:tc>
          <w:tcPr>
            <w:tcW w:w="1269" w:type="dxa"/>
            <w:noWrap/>
            <w:hideMark/>
          </w:tcPr>
          <w:p w14:paraId="5E539136" w14:textId="77777777" w:rsidR="0000117A" w:rsidRPr="0000117A" w:rsidRDefault="0000117A" w:rsidP="0000117A">
            <w:pPr>
              <w:jc w:val="both"/>
            </w:pPr>
            <w:r w:rsidRPr="0000117A">
              <w:t>2.8%</w:t>
            </w:r>
          </w:p>
        </w:tc>
        <w:tc>
          <w:tcPr>
            <w:tcW w:w="1470" w:type="dxa"/>
            <w:noWrap/>
            <w:hideMark/>
          </w:tcPr>
          <w:p w14:paraId="46F69C6F" w14:textId="77777777" w:rsidR="0000117A" w:rsidRPr="0000117A" w:rsidRDefault="0000117A" w:rsidP="0000117A">
            <w:pPr>
              <w:jc w:val="both"/>
            </w:pPr>
            <w:r w:rsidRPr="0000117A">
              <w:t>10%</w:t>
            </w:r>
          </w:p>
        </w:tc>
        <w:tc>
          <w:tcPr>
            <w:tcW w:w="1300" w:type="dxa"/>
            <w:noWrap/>
            <w:hideMark/>
          </w:tcPr>
          <w:p w14:paraId="7DDC23AA" w14:textId="77777777" w:rsidR="0000117A" w:rsidRPr="0000117A" w:rsidRDefault="0000117A" w:rsidP="0000117A">
            <w:pPr>
              <w:jc w:val="both"/>
            </w:pPr>
            <w:r w:rsidRPr="0000117A">
              <w:t>12.8%</w:t>
            </w:r>
          </w:p>
        </w:tc>
        <w:tc>
          <w:tcPr>
            <w:tcW w:w="1470" w:type="dxa"/>
            <w:noWrap/>
            <w:hideMark/>
          </w:tcPr>
          <w:p w14:paraId="01512CB2" w14:textId="77777777" w:rsidR="0000117A" w:rsidRPr="0000117A" w:rsidRDefault="0000117A" w:rsidP="0000117A">
            <w:pPr>
              <w:jc w:val="both"/>
            </w:pPr>
            <w:r w:rsidRPr="0000117A">
              <w:t>1093.716971</w:t>
            </w:r>
          </w:p>
        </w:tc>
        <w:tc>
          <w:tcPr>
            <w:tcW w:w="1431" w:type="dxa"/>
            <w:noWrap/>
            <w:hideMark/>
          </w:tcPr>
          <w:p w14:paraId="222C4690" w14:textId="77777777" w:rsidR="0000117A" w:rsidRPr="0000117A" w:rsidRDefault="0000117A" w:rsidP="0000117A">
            <w:pPr>
              <w:jc w:val="both"/>
            </w:pPr>
            <w:r w:rsidRPr="0000117A">
              <w:t>9654.716971</w:t>
            </w:r>
          </w:p>
        </w:tc>
      </w:tr>
    </w:tbl>
    <w:p w14:paraId="58F2357C" w14:textId="77777777" w:rsidR="0000117A" w:rsidRDefault="0000117A" w:rsidP="00AA0C80">
      <w:pPr>
        <w:jc w:val="both"/>
      </w:pPr>
    </w:p>
    <w:p w14:paraId="4574C02A" w14:textId="020A3DD6" w:rsidR="0000117A" w:rsidRDefault="0000117A" w:rsidP="00AA0C80">
      <w:pPr>
        <w:jc w:val="both"/>
      </w:pPr>
      <w:r>
        <w:t>Por otra parte, correspondiente a las semanas</w:t>
      </w:r>
      <w:r w:rsidR="005345D9">
        <w:t xml:space="preserve"> de</w:t>
      </w:r>
      <w:r>
        <w:t xml:space="preserve"> </w:t>
      </w:r>
      <w:r w:rsidR="005345D9">
        <w:t>octubre</w:t>
      </w:r>
      <w:r>
        <w:t xml:space="preserve"> de 2023 se reporta que el mayor numero de empleados contratados </w:t>
      </w:r>
      <w:r w:rsidR="005345D9">
        <w:t>corresponden a</w:t>
      </w:r>
      <w:r>
        <w:t xml:space="preserve"> Operador</w:t>
      </w:r>
      <w:r w:rsidR="005345D9">
        <w:t>es</w:t>
      </w:r>
      <w:r>
        <w:t>, Asesor</w:t>
      </w:r>
      <w:r w:rsidR="005345D9">
        <w:t>es</w:t>
      </w:r>
      <w:r>
        <w:t>, Gestor</w:t>
      </w:r>
      <w:r w:rsidR="005345D9">
        <w:t>es</w:t>
      </w:r>
      <w:r>
        <w:t>. Pero En términos generales Involucrando todas las cuentas de posición nos da un total de 1,920 Empleados contratados</w:t>
      </w:r>
      <w:r w:rsidR="005345D9">
        <w:t xml:space="preserve"> y para una proyección del 10% para todas estas áreas nos dice que se deberían de contratar alrededor de 2,165 empleados para el siguiente año, y ya en la tabla de Excel correspondiente a la hoja </w:t>
      </w:r>
      <w:proofErr w:type="spellStart"/>
      <w:r w:rsidR="005345D9">
        <w:t>Dash</w:t>
      </w:r>
      <w:proofErr w:type="spellEnd"/>
      <w:r w:rsidR="005345D9">
        <w:t xml:space="preserve">   se puede precisar con mayor detalle las áreas donde debería de haber un mayor crecimiento.</w:t>
      </w:r>
    </w:p>
    <w:p w14:paraId="5CBFA00D" w14:textId="2A74F38E" w:rsidR="005345D9" w:rsidRDefault="005345D9" w:rsidP="00AA0C80">
      <w:pPr>
        <w:jc w:val="both"/>
      </w:pPr>
    </w:p>
    <w:p w14:paraId="450A2971" w14:textId="694DB323" w:rsidR="0000117A" w:rsidRDefault="0000117A" w:rsidP="00AA0C80">
      <w:pPr>
        <w:jc w:val="both"/>
      </w:pPr>
    </w:p>
    <w:sectPr w:rsidR="0000117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9A18" w14:textId="77777777" w:rsidR="00AA7890" w:rsidRDefault="00AA7890" w:rsidP="005345D9">
      <w:pPr>
        <w:spacing w:after="0" w:line="240" w:lineRule="auto"/>
      </w:pPr>
      <w:r>
        <w:separator/>
      </w:r>
    </w:p>
  </w:endnote>
  <w:endnote w:type="continuationSeparator" w:id="0">
    <w:p w14:paraId="1529B3A4" w14:textId="77777777" w:rsidR="00AA7890" w:rsidRDefault="00AA7890" w:rsidP="0053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6DE6" w14:textId="55C851B1" w:rsidR="005345D9" w:rsidRDefault="005345D9" w:rsidP="005345D9">
    <w:pPr>
      <w:pStyle w:val="Piedepgina"/>
      <w:jc w:val="right"/>
    </w:pPr>
    <w:r>
      <w:t>Elaborado por Fernando Lazcano Cárdenas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703C" w14:textId="77777777" w:rsidR="00AA7890" w:rsidRDefault="00AA7890" w:rsidP="005345D9">
      <w:pPr>
        <w:spacing w:after="0" w:line="240" w:lineRule="auto"/>
      </w:pPr>
      <w:r>
        <w:separator/>
      </w:r>
    </w:p>
  </w:footnote>
  <w:footnote w:type="continuationSeparator" w:id="0">
    <w:p w14:paraId="171FFE70" w14:textId="77777777" w:rsidR="00AA7890" w:rsidRDefault="00AA7890" w:rsidP="00534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0"/>
    <w:rsid w:val="0000117A"/>
    <w:rsid w:val="00252CE7"/>
    <w:rsid w:val="003F52AD"/>
    <w:rsid w:val="005345D9"/>
    <w:rsid w:val="00A0300C"/>
    <w:rsid w:val="00AA0C80"/>
    <w:rsid w:val="00AA7890"/>
    <w:rsid w:val="00E10B7E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7499"/>
  <w15:chartTrackingRefBased/>
  <w15:docId w15:val="{70938A51-9EFC-4B83-83AE-96D694FC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4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D9"/>
  </w:style>
  <w:style w:type="paragraph" w:styleId="Piedepgina">
    <w:name w:val="footer"/>
    <w:basedOn w:val="Normal"/>
    <w:link w:val="PiedepginaCar"/>
    <w:uiPriority w:val="99"/>
    <w:unhideWhenUsed/>
    <w:rsid w:val="00534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\OneDrive\Plantilla%20acti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\OneDrive\Plantilla%20acti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\OneDrive\Plantilla%20activ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[Plantilla activa.xlsx]Dinamicas!TablaDinámica1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Distribución de las Edades de los Trabajadores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ysClr val="window" lastClr="FFFF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ysClr val="window" lastClr="FFFF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ysClr val="window" lastClr="FFFF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5198311514523006E-2"/>
          <c:y val="0.26587813620071682"/>
          <c:w val="0.79847063414425534"/>
          <c:h val="0.38786103349984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Dinamicas!$B$17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Dinamicas!$A$18:$A$88</c:f>
              <c:strCache>
                <c:ptCount val="70"/>
                <c:pt idx="0">
                  <c:v>12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90</c:v>
                </c:pt>
                <c:pt idx="67">
                  <c:v>91</c:v>
                </c:pt>
                <c:pt idx="68">
                  <c:v>92</c:v>
                </c:pt>
                <c:pt idx="69">
                  <c:v>(en blanco)</c:v>
                </c:pt>
              </c:strCache>
            </c:strRef>
          </c:cat>
          <c:val>
            <c:numRef>
              <c:f>Dinamicas!$B$18:$B$88</c:f>
              <c:numCache>
                <c:formatCode>General</c:formatCode>
                <c:ptCount val="70"/>
                <c:pt idx="0">
                  <c:v>1</c:v>
                </c:pt>
                <c:pt idx="1">
                  <c:v>1</c:v>
                </c:pt>
                <c:pt idx="2">
                  <c:v>9</c:v>
                </c:pt>
                <c:pt idx="3">
                  <c:v>111</c:v>
                </c:pt>
                <c:pt idx="4">
                  <c:v>906</c:v>
                </c:pt>
                <c:pt idx="5">
                  <c:v>1416</c:v>
                </c:pt>
                <c:pt idx="6">
                  <c:v>2198</c:v>
                </c:pt>
                <c:pt idx="7">
                  <c:v>2883</c:v>
                </c:pt>
                <c:pt idx="8">
                  <c:v>3777</c:v>
                </c:pt>
                <c:pt idx="9">
                  <c:v>4550</c:v>
                </c:pt>
                <c:pt idx="10">
                  <c:v>4954</c:v>
                </c:pt>
                <c:pt idx="11">
                  <c:v>5209</c:v>
                </c:pt>
                <c:pt idx="12">
                  <c:v>5349</c:v>
                </c:pt>
                <c:pt idx="13">
                  <c:v>5393</c:v>
                </c:pt>
                <c:pt idx="14">
                  <c:v>5424</c:v>
                </c:pt>
                <c:pt idx="15">
                  <c:v>5146</c:v>
                </c:pt>
                <c:pt idx="16">
                  <c:v>5005</c:v>
                </c:pt>
                <c:pt idx="17">
                  <c:v>4661</c:v>
                </c:pt>
                <c:pt idx="18">
                  <c:v>4413</c:v>
                </c:pt>
                <c:pt idx="19">
                  <c:v>4102</c:v>
                </c:pt>
                <c:pt idx="20">
                  <c:v>3764</c:v>
                </c:pt>
                <c:pt idx="21">
                  <c:v>3427</c:v>
                </c:pt>
                <c:pt idx="22">
                  <c:v>3137</c:v>
                </c:pt>
                <c:pt idx="23">
                  <c:v>2876</c:v>
                </c:pt>
                <c:pt idx="24">
                  <c:v>2639</c:v>
                </c:pt>
                <c:pt idx="25">
                  <c:v>2470</c:v>
                </c:pt>
                <c:pt idx="26">
                  <c:v>2237</c:v>
                </c:pt>
                <c:pt idx="27">
                  <c:v>2099</c:v>
                </c:pt>
                <c:pt idx="28">
                  <c:v>1874</c:v>
                </c:pt>
                <c:pt idx="29">
                  <c:v>1669</c:v>
                </c:pt>
                <c:pt idx="30">
                  <c:v>1468</c:v>
                </c:pt>
                <c:pt idx="31">
                  <c:v>1441</c:v>
                </c:pt>
                <c:pt idx="32">
                  <c:v>1296</c:v>
                </c:pt>
                <c:pt idx="33">
                  <c:v>1140</c:v>
                </c:pt>
                <c:pt idx="34">
                  <c:v>1113</c:v>
                </c:pt>
                <c:pt idx="35">
                  <c:v>1025</c:v>
                </c:pt>
                <c:pt idx="36">
                  <c:v>926</c:v>
                </c:pt>
                <c:pt idx="37">
                  <c:v>794</c:v>
                </c:pt>
                <c:pt idx="38">
                  <c:v>687</c:v>
                </c:pt>
                <c:pt idx="39">
                  <c:v>582</c:v>
                </c:pt>
                <c:pt idx="40">
                  <c:v>477</c:v>
                </c:pt>
                <c:pt idx="41">
                  <c:v>438</c:v>
                </c:pt>
                <c:pt idx="42">
                  <c:v>355</c:v>
                </c:pt>
                <c:pt idx="43">
                  <c:v>287</c:v>
                </c:pt>
                <c:pt idx="44">
                  <c:v>246</c:v>
                </c:pt>
                <c:pt idx="45">
                  <c:v>208</c:v>
                </c:pt>
                <c:pt idx="46">
                  <c:v>110</c:v>
                </c:pt>
                <c:pt idx="47">
                  <c:v>108</c:v>
                </c:pt>
                <c:pt idx="48">
                  <c:v>86</c:v>
                </c:pt>
                <c:pt idx="49">
                  <c:v>47</c:v>
                </c:pt>
                <c:pt idx="50">
                  <c:v>37</c:v>
                </c:pt>
                <c:pt idx="51">
                  <c:v>13</c:v>
                </c:pt>
                <c:pt idx="52">
                  <c:v>16</c:v>
                </c:pt>
                <c:pt idx="53">
                  <c:v>29</c:v>
                </c:pt>
                <c:pt idx="54">
                  <c:v>13</c:v>
                </c:pt>
                <c:pt idx="55">
                  <c:v>11</c:v>
                </c:pt>
                <c:pt idx="56">
                  <c:v>8</c:v>
                </c:pt>
                <c:pt idx="57">
                  <c:v>3</c:v>
                </c:pt>
                <c:pt idx="58">
                  <c:v>7</c:v>
                </c:pt>
                <c:pt idx="59">
                  <c:v>3</c:v>
                </c:pt>
                <c:pt idx="60">
                  <c:v>5</c:v>
                </c:pt>
                <c:pt idx="61">
                  <c:v>3</c:v>
                </c:pt>
                <c:pt idx="62">
                  <c:v>3</c:v>
                </c:pt>
                <c:pt idx="63">
                  <c:v>1</c:v>
                </c:pt>
                <c:pt idx="64">
                  <c:v>2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2</c:v>
                </c:pt>
                <c:pt idx="69">
                  <c:v>9263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18-4820-90B6-2E5874922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3913903"/>
        <c:axId val="1442041327"/>
      </c:barChart>
      <c:catAx>
        <c:axId val="145391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42041327"/>
        <c:crosses val="autoZero"/>
        <c:auto val="1"/>
        <c:lblAlgn val="ctr"/>
        <c:lblOffset val="100"/>
        <c:noMultiLvlLbl val="0"/>
      </c:catAx>
      <c:valAx>
        <c:axId val="144204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5391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[Plantilla activa.xlsx]Dinamicas!TablaDinámica4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800">
                <a:solidFill>
                  <a:sysClr val="windowText" lastClr="000000"/>
                </a:solidFill>
              </a:rPr>
              <a:t>PORCENTAJE</a:t>
            </a:r>
            <a:r>
              <a:rPr lang="en-US" sz="800" baseline="0">
                <a:solidFill>
                  <a:sysClr val="windowText" lastClr="000000"/>
                </a:solidFill>
              </a:rPr>
              <a:t> DE </a:t>
            </a:r>
            <a:r>
              <a:rPr lang="es-MX" sz="800" b="0" i="0" u="none" strike="noStrike" baseline="0">
                <a:solidFill>
                  <a:sysClr val="windowText" lastClr="000000"/>
                </a:solidFill>
                <a:effectLst/>
              </a:rPr>
              <a:t>ANTIGÜEDAD</a:t>
            </a:r>
            <a:r>
              <a:rPr lang="es-MX" sz="800" b="0" i="0" u="none" strike="noStrike" baseline="0">
                <a:solidFill>
                  <a:sysClr val="windowText" lastClr="000000"/>
                </a:solidFill>
              </a:rPr>
              <a:t>  POR AÑOS</a:t>
            </a:r>
            <a:endParaRPr lang="en-US" sz="8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3407227942661012"/>
          <c:y val="1.432003202989457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4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2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tx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9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5"/>
        <c:spPr>
          <a:solidFill>
            <a:schemeClr val="accent4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6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2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tx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6"/>
        <c:spPr>
          <a:solidFill>
            <a:schemeClr val="accent4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8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9"/>
        <c:spPr>
          <a:solidFill>
            <a:schemeClr val="accent2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0"/>
        <c:spPr>
          <a:solidFill>
            <a:schemeClr val="tx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4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4"/>
        <c:spPr>
          <a:solidFill>
            <a:schemeClr val="accent1"/>
          </a:solidFill>
          <a:ln w="19050">
            <a:noFill/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1.3099804832088297E-2"/>
          <c:y val="0.37832056227870847"/>
          <c:w val="0.98690024693658851"/>
          <c:h val="0.72140031584411013"/>
        </c:manualLayout>
      </c:layout>
      <c:doughnutChart>
        <c:varyColors val="1"/>
        <c:ser>
          <c:idx val="0"/>
          <c:order val="0"/>
          <c:tx>
            <c:strRef>
              <c:f>Dinamicas!$B$106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2DB-42C6-93B5-3BFC66DC95D6}"/>
              </c:ext>
            </c:extLst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2DB-42C6-93B5-3BFC66DC95D6}"/>
              </c:ext>
            </c:extLst>
          </c:dPt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2DB-42C6-93B5-3BFC66DC95D6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2DB-42C6-93B5-3BFC66DC95D6}"/>
              </c:ext>
            </c:extLst>
          </c:dPt>
          <c:dPt>
            <c:idx val="4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92DB-42C6-93B5-3BFC66DC95D6}"/>
              </c:ext>
            </c:extLst>
          </c:dPt>
          <c:dPt>
            <c:idx val="5"/>
            <c:bubble3D val="0"/>
            <c:spPr>
              <a:solidFill>
                <a:schemeClr val="tx2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92DB-42C6-93B5-3BFC66DC95D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92DB-42C6-93B5-3BFC66DC95D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92DB-42C6-93B5-3BFC66DC95D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92DB-42C6-93B5-3BFC66DC95D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92DB-42C6-93B5-3BFC66DC95D6}"/>
              </c:ext>
            </c:extLst>
          </c:dPt>
          <c:cat>
            <c:strRef>
              <c:f>Dinamicas!$A$107:$A$117</c:f>
              <c:strCache>
                <c:ptCount val="10"/>
                <c:pt idx="0">
                  <c:v>(en blanco)</c:v>
                </c:pt>
                <c:pt idx="1">
                  <c:v>0.0520547945205479-6.05205479452055</c:v>
                </c:pt>
                <c:pt idx="2">
                  <c:v>6.05205479452055-12.0520547945205</c:v>
                </c:pt>
                <c:pt idx="3">
                  <c:v>12.0520547945205-18.0520547945205</c:v>
                </c:pt>
                <c:pt idx="4">
                  <c:v>18.0520547945205-24.0520547945205</c:v>
                </c:pt>
                <c:pt idx="5">
                  <c:v>24.0520547945205-30.0520547945205</c:v>
                </c:pt>
                <c:pt idx="6">
                  <c:v>30.0520547945205-36.0520547945205</c:v>
                </c:pt>
                <c:pt idx="7">
                  <c:v>36.0520547945206-42.0520547945206</c:v>
                </c:pt>
                <c:pt idx="8">
                  <c:v>42.0520547945206-48.0520547945206</c:v>
                </c:pt>
                <c:pt idx="9">
                  <c:v>48.0520547945206-54.0520547945206</c:v>
                </c:pt>
              </c:strCache>
            </c:strRef>
          </c:cat>
          <c:val>
            <c:numRef>
              <c:f>Dinamicas!$B$107:$B$117</c:f>
              <c:numCache>
                <c:formatCode>General</c:formatCode>
                <c:ptCount val="10"/>
                <c:pt idx="0">
                  <c:v>9262</c:v>
                </c:pt>
                <c:pt idx="1">
                  <c:v>82691</c:v>
                </c:pt>
                <c:pt idx="2">
                  <c:v>16180</c:v>
                </c:pt>
                <c:pt idx="3">
                  <c:v>3213</c:v>
                </c:pt>
                <c:pt idx="4">
                  <c:v>1674</c:v>
                </c:pt>
                <c:pt idx="5">
                  <c:v>792</c:v>
                </c:pt>
                <c:pt idx="6">
                  <c:v>122</c:v>
                </c:pt>
                <c:pt idx="7">
                  <c:v>15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2DB-42C6-93B5-3BFC66DC9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[Plantilla activa.xlsx]Dinamicas!TablaDinámica20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Bajas por Tipo de Actividad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bg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bg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Dinamicas!$B$152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Dinamicas!$A$153:$A$205</c:f>
              <c:strCache>
                <c:ptCount val="52"/>
                <c:pt idx="0">
                  <c:v>CAMAROGRAFO - EDITOR</c:v>
                </c:pt>
                <c:pt idx="1">
                  <c:v>TECNICO</c:v>
                </c:pt>
                <c:pt idx="2">
                  <c:v>VENDEDOR</c:v>
                </c:pt>
                <c:pt idx="3">
                  <c:v>ASISTENTE OPERATIVO</c:v>
                </c:pt>
                <c:pt idx="4">
                  <c:v>CONSULTOR REGIONAL CH</c:v>
                </c:pt>
                <c:pt idx="5">
                  <c:v>AUX MECANICO</c:v>
                </c:pt>
                <c:pt idx="6">
                  <c:v>EJECUTIVO ELEKTRA MOTOS</c:v>
                </c:pt>
                <c:pt idx="7">
                  <c:v>CAJERA PRINCIPAL</c:v>
                </c:pt>
                <c:pt idx="8">
                  <c:v>ENCARGADO</c:v>
                </c:pt>
                <c:pt idx="9">
                  <c:v>ARCHIVISTA</c:v>
                </c:pt>
                <c:pt idx="10">
                  <c:v>MICROFONISTA</c:v>
                </c:pt>
                <c:pt idx="11">
                  <c:v>AUXILIAR</c:v>
                </c:pt>
                <c:pt idx="12">
                  <c:v>RECLUTADOR</c:v>
                </c:pt>
                <c:pt idx="13">
                  <c:v>AUDITOR SR.</c:v>
                </c:pt>
                <c:pt idx="14">
                  <c:v>Sub líder promotoría conectividad</c:v>
                </c:pt>
                <c:pt idx="15">
                  <c:v>CAMAROGRAFO</c:v>
                </c:pt>
                <c:pt idx="16">
                  <c:v>TALENTO</c:v>
                </c:pt>
                <c:pt idx="17">
                  <c:v>CONDUCTOR B</c:v>
                </c:pt>
                <c:pt idx="18">
                  <c:v>ALMACENISTA</c:v>
                </c:pt>
                <c:pt idx="19">
                  <c:v>REABASTECEDOR</c:v>
                </c:pt>
                <c:pt idx="20">
                  <c:v>CHECADOR</c:v>
                </c:pt>
                <c:pt idx="21">
                  <c:v>REPORTERO</c:v>
                </c:pt>
                <c:pt idx="22">
                  <c:v>EJECUTIVO</c:v>
                </c:pt>
                <c:pt idx="23">
                  <c:v>AUXILIAR TRANSPORTE A baz ENTREGAS</c:v>
                </c:pt>
                <c:pt idx="24">
                  <c:v>MONTACARGUISTA</c:v>
                </c:pt>
                <c:pt idx="25">
                  <c:v>MANIOBRISTA</c:v>
                </c:pt>
                <c:pt idx="26">
                  <c:v>CAJERO SUPERVISOR</c:v>
                </c:pt>
                <c:pt idx="27">
                  <c:v>ADMINISTRADOR</c:v>
                </c:pt>
                <c:pt idx="28">
                  <c:v>MONITORISTA</c:v>
                </c:pt>
                <c:pt idx="29">
                  <c:v>CONDUCTOR A</c:v>
                </c:pt>
                <c:pt idx="30">
                  <c:v>COORDINADOR</c:v>
                </c:pt>
                <c:pt idx="31">
                  <c:v>CHOFER</c:v>
                </c:pt>
                <c:pt idx="32">
                  <c:v>SURTIDOR</c:v>
                </c:pt>
                <c:pt idx="33">
                  <c:v>SUPERVISOR</c:v>
                </c:pt>
                <c:pt idx="34">
                  <c:v>DIRECTOR</c:v>
                </c:pt>
                <c:pt idx="35">
                  <c:v>DESARROLLADOR</c:v>
                </c:pt>
                <c:pt idx="36">
                  <c:v>INGENIERO</c:v>
                </c:pt>
                <c:pt idx="37">
                  <c:v>CONSULTOR</c:v>
                </c:pt>
                <c:pt idx="38">
                  <c:v>PROMOTOR</c:v>
                </c:pt>
                <c:pt idx="39">
                  <c:v>ANALISTA</c:v>
                </c:pt>
                <c:pt idx="40">
                  <c:v>CONDUCTOR C</c:v>
                </c:pt>
                <c:pt idx="41">
                  <c:v>CAJERO DE TIEMPO PARCIAL</c:v>
                </c:pt>
                <c:pt idx="42">
                  <c:v>AUXILIAR TRANSPORTE B</c:v>
                </c:pt>
                <c:pt idx="43">
                  <c:v>CAJERO LIDER</c:v>
                </c:pt>
                <c:pt idx="44">
                  <c:v>OPERARIO</c:v>
                </c:pt>
                <c:pt idx="45">
                  <c:v>GERENTE</c:v>
                </c:pt>
                <c:pt idx="46">
                  <c:v>GESTOR</c:v>
                </c:pt>
                <c:pt idx="47">
                  <c:v>JEFE</c:v>
                </c:pt>
                <c:pt idx="48">
                  <c:v>CAJERO UNIVERSAL</c:v>
                </c:pt>
                <c:pt idx="49">
                  <c:v>LIDER</c:v>
                </c:pt>
                <c:pt idx="50">
                  <c:v>ASESOR</c:v>
                </c:pt>
                <c:pt idx="51">
                  <c:v>OPERADOR</c:v>
                </c:pt>
              </c:strCache>
            </c:strRef>
          </c:cat>
          <c:val>
            <c:numRef>
              <c:f>Dinamicas!$B$153:$B$205</c:f>
              <c:numCache>
                <c:formatCode>General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8</c:v>
                </c:pt>
                <c:pt idx="36">
                  <c:v>8</c:v>
                </c:pt>
                <c:pt idx="37">
                  <c:v>9</c:v>
                </c:pt>
                <c:pt idx="38">
                  <c:v>13</c:v>
                </c:pt>
                <c:pt idx="39">
                  <c:v>13</c:v>
                </c:pt>
                <c:pt idx="40">
                  <c:v>14</c:v>
                </c:pt>
                <c:pt idx="41">
                  <c:v>16</c:v>
                </c:pt>
                <c:pt idx="42">
                  <c:v>18</c:v>
                </c:pt>
                <c:pt idx="43">
                  <c:v>18</c:v>
                </c:pt>
                <c:pt idx="44">
                  <c:v>19</c:v>
                </c:pt>
                <c:pt idx="45">
                  <c:v>24</c:v>
                </c:pt>
                <c:pt idx="46">
                  <c:v>25</c:v>
                </c:pt>
                <c:pt idx="47">
                  <c:v>44</c:v>
                </c:pt>
                <c:pt idx="48">
                  <c:v>59</c:v>
                </c:pt>
                <c:pt idx="49">
                  <c:v>62</c:v>
                </c:pt>
                <c:pt idx="50">
                  <c:v>164</c:v>
                </c:pt>
                <c:pt idx="51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4-4462-83FA-D42B5EF543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9335007"/>
        <c:axId val="936157551"/>
      </c:barChart>
      <c:catAx>
        <c:axId val="799335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36157551"/>
        <c:crosses val="autoZero"/>
        <c:auto val="1"/>
        <c:lblAlgn val="ctr"/>
        <c:lblOffset val="100"/>
        <c:noMultiLvlLbl val="0"/>
      </c:catAx>
      <c:valAx>
        <c:axId val="93615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9933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Lazcano Cárdenas</dc:creator>
  <cp:keywords/>
  <dc:description/>
  <cp:lastModifiedBy>Fernando Lazcano Cárdenas</cp:lastModifiedBy>
  <cp:revision>2</cp:revision>
  <dcterms:created xsi:type="dcterms:W3CDTF">2023-11-06T19:31:00Z</dcterms:created>
  <dcterms:modified xsi:type="dcterms:W3CDTF">2023-11-06T20:23:00Z</dcterms:modified>
</cp:coreProperties>
</file>