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2"/>
        </w:numPr>
        <w:ind w:left="720" w:hanging="360"/>
        <w:jc w:val="both"/>
      </w:pPr>
      <w:bookmarkStart w:colFirst="0" w:colLast="0" w:name="_heading=h.2wsq5qfvboud" w:id="2"/>
      <w:bookmarkEnd w:id="2"/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75"/>
        <w:gridCol w:w="1050"/>
        <w:gridCol w:w="4830"/>
        <w:gridCol w:w="1560"/>
        <w:tblGridChange w:id="0">
          <w:tblGrid>
            <w:gridCol w:w="2175"/>
            <w:gridCol w:w="1050"/>
            <w:gridCol w:w="4830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Gestão da Documentação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N02: Acompanhamento do Processo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N03: Geração de Relatórios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relatórios com filtros ( status do processo)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Gráfico quantitativo de associados em cada etapa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e-mail a cada evolução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recibo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aos prazos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sms-alerta quanto ao envio de e-mails do clube ao associado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 pendências existentes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 resumido de todos os processos do clube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dos modelos pré definidos (declarações, procuração, GRU,etc)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protocolos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Informativo sobre itens pendentes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 evolução do protocolo, contemplando itens cumpridos e pendente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Virtualização de documentos/comprovantes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Lançamento/controle de pagamentos (associados)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das etapas para emissão de CR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modelo de documentos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stakeholder (médicos e instrutores)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Armazenamento de dados (banco de dados)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antecedentes criminais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 relacionadas a área de atuação do clube.(Google Alerts)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processos criminais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Permissão de propriedade de dados (Autorização)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troca de senha dos usuários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inserção de usuário do sistema(stakeholder), com restrições de acessos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Relatorios programados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F">
      <w:pPr>
        <w:jc w:val="cente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tRK75Ou/2lVWSQYe2R0B98bHQ==">AMUW2mV1Sn2utIdpgBRiuqa5nb83+kjWTklUu/A29s8NZUgpXx1REyaE+PhKLmC1Nu9M4+fB3ZTKHyO9W0kSld1O/FZqN+4aXMufPJLVTe0czkmHq7Hgkajf7hQVH9nmmGMHw1iOJQFUBbfo8iyfZwkjt7x75IKgbq9gksTXifje2/nl3rAvivg=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