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rPr>
          <w:color w:val="000000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right="-306.2598425196836"/>
        <w:rPr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rPr>
          <w:color w:val="000000"/>
          <w:sz w:val="52"/>
          <w:szCs w:val="52"/>
        </w:rPr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Análise das Causas Raízes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45"/>
        <w:gridCol w:w="1125"/>
        <w:gridCol w:w="4785"/>
        <w:gridCol w:w="1560"/>
        <w:tblGridChange w:id="0">
          <w:tblGrid>
            <w:gridCol w:w="2145"/>
            <w:gridCol w:w="1125"/>
            <w:gridCol w:w="4785"/>
            <w:gridCol w:w="15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Leitao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fernando.leitao@aluno.faculdadeimpacta.com.br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 Rizzardo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giovanni.rizzardo@aluno.faculdadeimpacta.com.br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11-97026-9211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 H. Kuramoto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renato.kuramoto@aluno.faculdadeimpacta.com.br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11-94527-4033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304800</wp:posOffset>
                </wp:positionV>
                <wp:extent cx="6043930" cy="618871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35" y="625085"/>
                          <a:ext cx="6043930" cy="6188710"/>
                          <a:chOff x="2324035" y="625085"/>
                          <a:chExt cx="6185077" cy="6679840"/>
                        </a:xfrm>
                      </wpg:grpSpPr>
                      <wpg:grpSp>
                        <wpg:cNvGrpSpPr/>
                        <wpg:grpSpPr>
                          <a:xfrm>
                            <a:off x="2324035" y="625085"/>
                            <a:ext cx="6185077" cy="6679840"/>
                            <a:chOff x="2681135" y="966618"/>
                            <a:chExt cx="6185443" cy="66913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681135" y="1027282"/>
                              <a:ext cx="6044275" cy="619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81135" y="966618"/>
                              <a:ext cx="6185443" cy="6691335"/>
                              <a:chOff x="2587684" y="1156423"/>
                              <a:chExt cx="5011386" cy="541926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587684" y="1205554"/>
                                <a:ext cx="4318075" cy="445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662299" y="1156423"/>
                                <a:ext cx="4936771" cy="5419268"/>
                                <a:chOff x="1044628" y="85277"/>
                                <a:chExt cx="6365921" cy="4928398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123950" y="757550"/>
                                  <a:ext cx="5314825" cy="342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907122" y="1563768"/>
                                  <a:ext cx="1609423" cy="1360546"/>
                                  <a:chOff x="3402172" y="1316118"/>
                                  <a:chExt cx="1609423" cy="1360546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 rot="1181716">
                                    <a:off x="3523214" y="1518565"/>
                                    <a:ext cx="1367289" cy="955653"/>
                                  </a:xfrm>
                                  <a:prstGeom prst="round2DiagRect">
                                    <a:avLst>
                                      <a:gd fmla="val 40429" name="adj1"/>
                                      <a:gd fmla="val 13160" name="adj2"/>
                                    </a:avLst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3529895" y="1673692"/>
                                    <a:ext cx="1481700" cy="7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75.00000953674316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Ausência de controle de documentos e processos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CnPr/>
                              <wps:spPr>
                                <a:xfrm flipH="1">
                                  <a:off x="1123950" y="2228850"/>
                                  <a:ext cx="3867000" cy="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48000" y="2112593"/>
                                  <a:ext cx="3762549" cy="2901082"/>
                                  <a:chOff x="3648000" y="2112593"/>
                                  <a:chExt cx="3762549" cy="2901082"/>
                                </a:xfrm>
                              </wpg:grpSpPr>
                              <wps:wsp>
                                <wps:cNvCnPr/>
                                <wps:spPr>
                                  <a:xfrm flipH="1">
                                    <a:off x="3648000" y="2219325"/>
                                    <a:ext cx="962100" cy="12954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 rot="-3700259">
                                    <a:off x="4836529" y="1873724"/>
                                    <a:ext cx="1474281" cy="33788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Processos não categorizados por hierarquia e/ou importância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CnPr/>
                              <wps:spPr>
                                <a:xfrm rot="10800000">
                                  <a:off x="3066975" y="932692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 flipH="1" rot="3515101">
                                  <a:off x="864477" y="870813"/>
                                  <a:ext cx="2340771" cy="8909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Documentos sem registro de entrada e saída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11795" y="2228850"/>
                                  <a:ext cx="1779685" cy="2499007"/>
                                  <a:chOff x="3311995" y="2219325"/>
                                  <a:chExt cx="1779685" cy="2499007"/>
                                </a:xfrm>
                              </wpg:grpSpPr>
                              <wps:wsp>
                                <wps:cNvCnPr/>
                                <wps:spPr>
                                  <a:xfrm flipH="1">
                                    <a:off x="3648000" y="2219325"/>
                                    <a:ext cx="962100" cy="12954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 rot="-3679784">
                                    <a:off x="3020590" y="3136958"/>
                                    <a:ext cx="2362495" cy="7365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Ações manuais irrastreaveisl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SpPr/>
                            <wps:cNvPr id="20" name="Shape 20"/>
                            <wps:spPr>
                              <a:xfrm flipH="1" rot="3817821">
                                <a:off x="3501697" y="2307805"/>
                                <a:ext cx="2085056" cy="775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Processos sequenciados por empirismo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068478" y="2059831"/>
                                <a:ext cx="840000" cy="1424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304800</wp:posOffset>
                </wp:positionV>
                <wp:extent cx="6043930" cy="6188710"/>
                <wp:effectExtent b="0" l="0" r="0" t="0"/>
                <wp:wrapSquare wrapText="bothSides" distB="114300" distT="11430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188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Análise das Causas Raízes OPE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fRtTBkcVDzeMXNwRDhCfwsN4PQ==">AMUW2mXZ26EOZCYlrWpAHYVXUnB+HW2rEmpNuJ+PE65g73m3877Fd1GiXe375NZdImSnSHHviA0LkO63JEEJ+DGpoynBSVjx1/QLQ98Wbb/uLjj7yVdBPuFyjNtQVtSTY7HjRvedtu1W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