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TechFive -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90"/>
        <w:gridCol w:w="1050"/>
        <w:gridCol w:w="4755"/>
        <w:gridCol w:w="1620"/>
        <w:tblGridChange w:id="0">
          <w:tblGrid>
            <w:gridCol w:w="2190"/>
            <w:gridCol w:w="1050"/>
            <w:gridCol w:w="4755"/>
            <w:gridCol w:w="162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 dinheiro suficiente para algum investimento.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Legislação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deverá seguir as normativas e modelos de documentos para o processo de concessão de CR e está passível de mudança a qualquer momento durante o período de desenvolvimento.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sz w:val="20"/>
          <w:szCs w:val="20"/>
          <w:rtl w:val="0"/>
        </w:rPr>
        <w:t xml:space="preserve">Associação Tatuapé de Tiro Esportivo não nos limita em nada na criação do Software, uma vez que tudo hoje é feito manualmente em livros de registro e planilhas eletrônicas (excel).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w11+sC0VKaJcp1kGv+JKnot2YA==">AMUW2mUtNwKwqGMC10MVon0t0ffAvwUx3O+gJ3oXyYxt0ZFo9NYtjHsPEH+y/W6UlSuUIzC3TJdvaTVV/TOyIuZTlPz+gOEenZ01SymXp1PY2SXjbeB0PoEwJN0lmitRqWCuNrbpLTo2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2019-10-07T16:02:00Z</dcterms:created>
</cp:coreProperties>
</file>