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CENÁRIO DE CONTENÇÃO - AULA 3.4</w:t>
      </w:r>
    </w:p>
    <w:p>
      <w:pPr>
        <w:jc w:val="center"/>
      </w:pPr>
      <w:r>
        <w:rPr>
          <w:color w:val="666666"/>
          <w:sz w:val="26"/>
        </w:rPr>
        <w:t>TechVarejo S.A. - Ransomware no Servidor de Banco de Dados</w:t>
      </w:r>
    </w:p>
    <w:p/>
    <w:p>
      <w:pPr>
        <w:pStyle w:val="Heading2"/>
      </w:pPr>
      <w:r>
        <w:rPr>
          <w:color w:val="1A3A5C"/>
        </w:rPr>
        <w:t>1. SOBRE A TECHVAREJO</w:t>
      </w:r>
    </w:p>
    <w:p>
      <w:pPr>
        <w:spacing w:after="120"/>
      </w:pPr>
      <w:r>
        <w:rPr>
          <w:b w:val="0"/>
          <w:sz w:val="22"/>
        </w:rPr>
        <w:t>A TechVarejo S.A. é uma empresa de varejo de médio porte, com 800 funcionários. Sua infraestrutura crítica inclui os seguintes servidores:</w:t>
      </w:r>
    </w:p>
    <w:p>
      <w:pPr>
        <w:pStyle w:val="ListBullet"/>
        <w:spacing w:after="60"/>
      </w:pPr>
      <w:r>
        <w:rPr>
          <w:sz w:val="22"/>
        </w:rPr>
        <w:t>SRV-DB-01: Servidor de Banco de Dados de Produção (SQL Server)</w:t>
      </w:r>
    </w:p>
    <w:p>
      <w:pPr>
        <w:pStyle w:val="ListBullet"/>
        <w:spacing w:after="60"/>
      </w:pPr>
      <w:r>
        <w:rPr>
          <w:sz w:val="22"/>
        </w:rPr>
        <w:t>SRV-APP-01: Servidor de Aplicação Web</w:t>
      </w:r>
    </w:p>
    <w:p>
      <w:pPr>
        <w:pStyle w:val="ListBullet"/>
        <w:spacing w:after="60"/>
      </w:pPr>
      <w:r>
        <w:rPr>
          <w:sz w:val="22"/>
        </w:rPr>
        <w:t>SRV-FILE-01: Servidor de Arquivos (documentos departamentais)</w:t>
      </w:r>
    </w:p>
    <w:p>
      <w:pPr>
        <w:pStyle w:val="ListBullet"/>
        <w:spacing w:after="60"/>
      </w:pPr>
      <w:r>
        <w:rPr>
          <w:sz w:val="22"/>
        </w:rPr>
        <w:t>DC-01: Controlador de Domínio</w:t>
      </w:r>
    </w:p>
    <w:p>
      <w:pPr>
        <w:spacing w:after="200"/>
      </w:pPr>
      <w:r>
        <w:rPr>
          <w:b w:val="0"/>
          <w:sz w:val="22"/>
        </w:rPr>
        <w:t>Todos os servidores rodam Windows Server 2019.</w:t>
      </w:r>
    </w:p>
    <w:p>
      <w:pPr>
        <w:pStyle w:val="Heading2"/>
      </w:pPr>
      <w:r>
        <w:rPr>
          <w:color w:val="1A3A5C"/>
        </w:rPr>
        <w:t>2. O INCIDENTE</w:t>
      </w:r>
    </w:p>
    <w:p>
      <w:pPr>
        <w:pStyle w:val="ListBullet"/>
        <w:spacing w:after="60"/>
      </w:pPr>
      <w:r>
        <w:rPr>
          <w:b/>
          <w:sz w:val="22"/>
        </w:rPr>
        <w:t xml:space="preserve">14:30 — </w:t>
      </w:r>
      <w:r>
        <w:rPr>
          <w:sz w:val="22"/>
        </w:rPr>
        <w:t>O EDR gera um alerta crítico no SRV-DB-01:</w:t>
      </w:r>
    </w:p>
    <w:p>
      <w:pPr>
        <w:pStyle w:val="ListBullet"/>
        <w:spacing w:after="60"/>
      </w:pPr>
      <w:r>
        <w:rPr>
          <w:sz w:val="22"/>
        </w:rPr>
        <w:t>Regra: "Ransomware Behavior Detected"</w:t>
      </w:r>
    </w:p>
    <w:p>
      <w:pPr>
        <w:pStyle w:val="ListBullet"/>
        <w:spacing w:after="60"/>
      </w:pPr>
      <w:r>
        <w:rPr>
          <w:sz w:val="22"/>
        </w:rPr>
        <w:t>Processo: encryptor.exe (PID 4521)</w:t>
      </w:r>
    </w:p>
    <w:p>
      <w:pPr>
        <w:pStyle w:val="ListBullet"/>
        <w:spacing w:after="60"/>
      </w:pPr>
      <w:r>
        <w:rPr>
          <w:sz w:val="22"/>
        </w:rPr>
        <w:t>Comportamento: Criptografia em massa de arquivos .mdf e .ldf</w:t>
      </w:r>
    </w:p>
    <w:p>
      <w:pPr>
        <w:pStyle w:val="ListBullet"/>
        <w:spacing w:after="60"/>
      </w:pPr>
      <w:r>
        <w:rPr>
          <w:sz w:val="22"/>
        </w:rPr>
        <w:t>Conexão de rede: 203.0.113.45:4444 (TCP estabelecida)</w:t>
      </w:r>
    </w:p>
    <w:p>
      <w:pPr>
        <w:pStyle w:val="ListBullet"/>
        <w:spacing w:after="60"/>
      </w:pPr>
      <w:r>
        <w:rPr>
          <w:sz w:val="22"/>
        </w:rPr>
        <w:t>Usuário: svc_backup (conta de serviço, membro de Administradores locais)</w:t>
      </w:r>
    </w:p>
    <w:p/>
    <w:p>
      <w:pPr>
        <w:pStyle w:val="ListBullet"/>
        <w:spacing w:after="60"/>
      </w:pPr>
      <w:r>
        <w:rPr>
          <w:b/>
          <w:sz w:val="22"/>
        </w:rPr>
        <w:t xml:space="preserve">14:31 — </w:t>
      </w:r>
      <w:r>
        <w:rPr>
          <w:sz w:val="22"/>
        </w:rPr>
        <w:t>O N1 confirma o alerta e escala para você (N2).</w:t>
      </w:r>
    </w:p>
    <w:p>
      <w:pPr>
        <w:pStyle w:val="ListBullet"/>
        <w:spacing w:after="60"/>
      </w:pPr>
      <w:r>
        <w:rPr>
          <w:b/>
          <w:sz w:val="22"/>
        </w:rPr>
        <w:t xml:space="preserve">14:32 — </w:t>
      </w:r>
      <w:r>
        <w:rPr>
          <w:sz w:val="22"/>
        </w:rPr>
        <w:t>O Incident Commander autoriza a contenção.</w:t>
      </w:r>
    </w:p>
    <w:p>
      <w:pPr>
        <w:pStyle w:val="Heading2"/>
      </w:pPr>
      <w:r>
        <w:rPr>
          <w:color w:val="1A3A5C"/>
        </w:rPr>
        <w:t>3. O QUE VOCÊ SABE</w:t>
      </w:r>
    </w:p>
    <w:p>
      <w:pPr>
        <w:pStyle w:val="ListBullet"/>
        <w:spacing w:after="60"/>
      </w:pPr>
      <w:r>
        <w:rPr>
          <w:sz w:val="22"/>
        </w:rPr>
        <w:t>O ransomware está ATIVO e criptografando arquivos no momento.</w:t>
      </w:r>
    </w:p>
    <w:p>
      <w:pPr>
        <w:pStyle w:val="ListBullet"/>
        <w:spacing w:after="60"/>
      </w:pPr>
      <w:r>
        <w:rPr>
          <w:sz w:val="22"/>
        </w:rPr>
        <w:t>Há uma conexão C2 estabelecida com o IP 203.0.113.45 na porta 4444.</w:t>
      </w:r>
    </w:p>
    <w:p>
      <w:pPr>
        <w:pStyle w:val="ListBullet"/>
        <w:spacing w:after="60"/>
      </w:pPr>
      <w:r>
        <w:rPr>
          <w:sz w:val="22"/>
        </w:rPr>
        <w:t>A conta svc_backup está sendo usada pelo atacante.</w:t>
      </w:r>
    </w:p>
    <w:p>
      <w:pPr>
        <w:pStyle w:val="ListBullet"/>
        <w:spacing w:after="60"/>
      </w:pPr>
      <w:r>
        <w:rPr>
          <w:sz w:val="22"/>
        </w:rPr>
        <w:t>Há tentativas de movimento lateral para SRV-APP-01 (192.168.10.20) e SRV-FILE-01 (192.168.10.30).</w:t>
      </w:r>
    </w:p>
    <w:p>
      <w:pPr>
        <w:pStyle w:val="ListBullet"/>
        <w:spacing w:after="60"/>
      </w:pPr>
      <w:r>
        <w:rPr>
          <w:sz w:val="22"/>
        </w:rPr>
        <w:t>O banco de dados tem backups em C:\Backup\ (último backup realizado às 12:00 de hoje).</w:t>
      </w:r>
    </w:p>
    <w:p>
      <w:pPr>
        <w:pStyle w:val="ListBullet"/>
        <w:spacing w:after="60"/>
      </w:pPr>
      <w:r>
        <w:rPr>
          <w:sz w:val="22"/>
        </w:rPr>
        <w:t>O N3 e o time de redes estão de sobreaviso.</w:t>
      </w:r>
    </w:p>
    <w:p>
      <w:pPr>
        <w:pStyle w:val="Heading2"/>
      </w:pPr>
      <w:r>
        <w:rPr>
          <w:color w:val="1A3A5C"/>
        </w:rPr>
        <w:t>4. O QUE VOCÊ PRECISA FAZER</w:t>
      </w:r>
    </w:p>
    <w:p>
      <w:pPr>
        <w:spacing w:after="120"/>
      </w:pPr>
      <w:r>
        <w:rPr>
          <w:b/>
          <w:sz w:val="22"/>
        </w:rPr>
        <w:t>Execute as 5 fases da contenção na seguinte ordem:</w:t>
      </w:r>
    </w:p>
    <w:p/>
    <w:p>
      <w:pPr>
        <w:spacing w:after="80"/>
      </w:pPr>
      <w:r>
        <w:rPr>
          <w:b/>
          <w:sz w:val="22"/>
        </w:rPr>
        <w:t xml:space="preserve">Fase 1: </w:t>
      </w:r>
      <w:r>
        <w:rPr>
          <w:sz w:val="22"/>
        </w:rPr>
        <w:t>Coletar evidências voláteis do SRV-DB-01 antes de qualquer ação.</w:t>
      </w:r>
    </w:p>
    <w:p>
      <w:pPr>
        <w:spacing w:after="80"/>
      </w:pPr>
      <w:r>
        <w:rPr>
          <w:b/>
          <w:sz w:val="22"/>
        </w:rPr>
        <w:t xml:space="preserve">Fase 2: </w:t>
      </w:r>
      <w:r>
        <w:rPr>
          <w:sz w:val="22"/>
        </w:rPr>
        <w:t>Isolar o SRV-DB-01 da rede para interromper a comunicação com o C2.</w:t>
      </w:r>
    </w:p>
    <w:p>
      <w:pPr>
        <w:spacing w:after="80"/>
      </w:pPr>
      <w:r>
        <w:rPr>
          <w:b/>
          <w:sz w:val="22"/>
        </w:rPr>
        <w:t xml:space="preserve">Fase 3: </w:t>
      </w:r>
      <w:r>
        <w:rPr>
          <w:sz w:val="22"/>
        </w:rPr>
        <w:t>Bloquear a conta de serviço svc_backup e revogar tokens associados.</w:t>
      </w:r>
    </w:p>
    <w:p>
      <w:pPr>
        <w:spacing w:after="80"/>
      </w:pPr>
      <w:r>
        <w:rPr>
          <w:b/>
          <w:sz w:val="22"/>
        </w:rPr>
        <w:t xml:space="preserve">Fase 4: </w:t>
      </w:r>
      <w:r>
        <w:rPr>
          <w:sz w:val="22"/>
        </w:rPr>
        <w:t>Conter o movimento lateral bloqueando SMB, RDP e WinRM.</w:t>
      </w:r>
    </w:p>
    <w:p>
      <w:pPr>
        <w:spacing w:after="80"/>
      </w:pPr>
      <w:r>
        <w:rPr>
          <w:b/>
          <w:sz w:val="22"/>
        </w:rPr>
        <w:t xml:space="preserve">Fase 5: </w:t>
      </w:r>
      <w:r>
        <w:rPr>
          <w:sz w:val="22"/>
        </w:rPr>
        <w:t>Documentar todas as ações e preparar o briefing para o Incident Commander.</w:t>
      </w:r>
    </w:p>
    <w:p>
      <w:pPr>
        <w:pStyle w:val="Heading2"/>
      </w:pPr>
      <w:r>
        <w:rPr>
          <w:color w:val="1A3A5C"/>
        </w:rPr>
        <w:t>5. REGRAS</w:t>
      </w:r>
    </w:p>
    <w:p>
      <w:pPr>
        <w:pStyle w:val="ListBullet"/>
        <w:spacing w:after="60"/>
      </w:pPr>
      <w:r>
        <w:rPr>
          <w:sz w:val="22"/>
        </w:rPr>
        <w:t>NÃO desligue a máquina. Isolar é diferente de desligar. O isolamento remove a conectividade de rede mas preserva as evidências em disco e memória.</w:t>
      </w:r>
    </w:p>
    <w:p>
      <w:pPr>
        <w:pStyle w:val="ListBullet"/>
        <w:spacing w:after="60"/>
      </w:pPr>
      <w:r>
        <w:rPr>
          <w:sz w:val="22"/>
        </w:rPr>
        <w:t>NÃO alerte outros departamentos. A comunicação externa ao time de RI é feita exclusivamente pelo Incident Commander.</w:t>
      </w:r>
    </w:p>
    <w:p>
      <w:pPr>
        <w:pStyle w:val="ListBullet"/>
        <w:spacing w:after="60"/>
      </w:pPr>
      <w:r>
        <w:rPr>
          <w:sz w:val="22"/>
        </w:rPr>
        <w:t>Documente CADA ação com horário preciso. O log cronológico é a espinha dorsal do relatório pós-incidente.</w:t>
      </w:r>
    </w:p>
    <w:p>
      <w:pPr>
        <w:pStyle w:val="ListBullet"/>
        <w:spacing w:after="60"/>
      </w:pPr>
      <w:r>
        <w:rPr>
          <w:sz w:val="22"/>
        </w:rPr>
        <w:t>Siga o checklist na planilha 'aula3_4_checklist_contencao.xlsx' rigorosamente.</w:t>
      </w:r>
    </w:p>
    <w:p/>
    <w:p>
      <w:pPr>
        <w:jc w:val="center"/>
      </w:pPr>
      <w:r>
        <w:rPr>
          <w:color w:val="999999"/>
          <w:sz w:val="18"/>
        </w:rPr>
        <w:t>— FIM DO DOCUMENTO —</w:t>
      </w:r>
    </w:p>
    <w:p>
      <w:pPr>
        <w:jc w:val="center"/>
      </w:pPr>
      <w:r>
        <w:rPr>
          <w:color w:val="999999"/>
          <w:sz w:val="16"/>
        </w:rPr>
        <w:t>Curso de SOC - Resposta a Incidentes | Aula 3.4 | Instrutor: Fernando Costa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