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00"/>
      </w:pPr>
    </w:p>
    <w:p>
      <w:pPr>
        <w:spacing w:after="200"/>
        <w:jc w:val="center"/>
      </w:pPr>
      <w:r>
        <w:rPr>
          <w:b/>
          <w:bCs/>
          <w:color w:val="1B5E20"/>
          <w:sz w:val="44"/>
          <w:szCs w:val="44"/>
        </w:rPr>
        <w:t xml:space="preserve">MEMORIAL DESCRITIVO</w:t>
      </w:r>
    </w:p>
    <w:p>
      <w:pPr>
        <w:spacing w:after="600"/>
        <w:jc w:val="center"/>
      </w:pPr>
      <w:r>
        <w:rPr>
          <w:color w:val="6B4A34"/>
          <w:sz w:val="24"/>
          <w:szCs w:val="24"/>
        </w:rPr>
        <w:t xml:space="preserve">Registro de Programa de Computador — INPI</w:t>
      </w:r>
    </w:p>
    <w:p>
      <w:pPr>
        <w:spacing w:after="100"/>
        <w:jc w:val="center"/>
      </w:pPr>
      <w:r>
        <w:rPr>
          <w:b/>
          <w:bCs/>
          <w:sz w:val="36"/>
          <w:szCs w:val="36"/>
        </w:rPr>
        <w:t xml:space="preserve">CalTEC - Calagem</w:t>
      </w:r>
    </w:p>
    <w:p>
      <w:pPr>
        <w:spacing w:after="600"/>
        <w:jc w:val="center"/>
      </w:pPr>
      <w:r>
        <w:rPr>
          <w:color w:val="6B4A34"/>
          <w:sz w:val="24"/>
          <w:szCs w:val="24"/>
        </w:rPr>
        <w:t xml:space="preserve">Módulo IAC (Saturação por Bases)</w:t>
      </w:r>
    </w:p>
    <w:p>
      <w:pPr>
        <w:spacing w:after="80"/>
        <w:jc w:val="center"/>
      </w:pPr>
      <w:r>
        <w:rPr>
          <w:sz w:val="22"/>
          <w:szCs w:val="22"/>
        </w:rPr>
        <w:t xml:space="preserve">Titular: Fernando Ferrari Putti — UNESP</w:t>
      </w:r>
    </w:p>
    <w:p>
      <w:pPr>
        <w:spacing w:after="80"/>
        <w:jc w:val="center"/>
      </w:pPr>
      <w:r>
        <w:rPr>
          <w:sz w:val="22"/>
          <w:szCs w:val="22"/>
        </w:rPr>
        <w:t xml:space="preserve">Coautoria: Jéssica Pigatto de Queiroz Barcelos — UNOESTE</w:t>
      </w:r>
    </w:p>
    <w:p>
      <w:pPr>
        <w:spacing w:after="80"/>
        <w:jc w:val="center"/>
      </w:pPr>
      <w:r>
        <w:rPr>
          <w:sz w:val="22"/>
          <w:szCs w:val="22"/>
        </w:rPr>
        <w:t xml:space="preserve">Data de criação: 13/08/2026</w:t>
      </w:r>
    </w:p>
    <w:p>
      <w:r>
        <w:br w:type="page"/>
      </w:r>
    </w:p>
    <w:p>
      <w:pPr>
        <w:pStyle w:val="Heading1"/>
        <w:spacing w:after="160" w:before="320"/>
      </w:pPr>
      <w:r>
        <w:t xml:space="preserve">1. Identificação do Programa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300"/>
      </w:tblGrid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5E2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6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5E2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Título do programa</w:t>
            </w:r>
          </w:p>
        </w:tc>
        <w:tc>
          <w:tcPr>
            <w:tcW w:type="dxa" w:w="6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CalTEC - Calagem (Módulo IAC)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Titular</w:t>
            </w:r>
          </w:p>
        </w:tc>
        <w:tc>
          <w:tcPr>
            <w:tcW w:type="dxa" w:w="6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Fernando Ferrari Putti — Universidade Estadual Paulista (UNESP)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Coautoria</w:t>
            </w:r>
          </w:p>
        </w:tc>
        <w:tc>
          <w:tcPr>
            <w:tcW w:type="dxa" w:w="6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Jéssica Pigatto de Queiroz Barcelos — Universidade do Oeste Paulista (UNOESTE)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Data de criação</w:t>
            </w:r>
          </w:p>
        </w:tc>
        <w:tc>
          <w:tcPr>
            <w:tcW w:type="dxa" w:w="6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13/08/2026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Linguagens de programação</w:t>
            </w:r>
          </w:p>
        </w:tc>
        <w:tc>
          <w:tcPr>
            <w:tcW w:type="dxa" w:w="6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Python 3.14 (versão desktop); HTML5, CSS3 e JavaScript ES6+ (versão web)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Tipo de programa</w:t>
            </w:r>
          </w:p>
        </w:tc>
        <w:tc>
          <w:tcPr>
            <w:tcW w:type="dxa" w:w="6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Aplicativo utilitário científico (calculadora de recomendação agronômica)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Campo de aplicação</w:t>
            </w:r>
          </w:p>
        </w:tc>
        <w:tc>
          <w:tcPr>
            <w:tcW w:type="dxa" w:w="6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Agronomia — Ciência do Solo, Fertilidade e Corretivos Agrícolas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Ambiente operacional</w:t>
            </w:r>
          </w:p>
        </w:tc>
        <w:tc>
          <w:tcPr>
            <w:tcW w:type="dxa" w:w="6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Windows 10/11 (executável standalone) e navegadores web compatíveis com Progressive Web Apps (PWA)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Algoritmo/decisão</w:t>
            </w:r>
          </w:p>
        </w:tc>
        <w:tc>
          <w:tcPr>
            <w:tcW w:type="dxa" w:w="6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Determinístico: aplica fórmula fechada conforme os dados de solo informados</w:t>
            </w:r>
          </w:p>
        </w:tc>
      </w:tr>
    </w:tbl>
    <w:p>
      <w:pPr>
        <w:pStyle w:val="Heading1"/>
        <w:spacing w:after="160" w:before="320"/>
      </w:pPr>
      <w:r>
        <w:t xml:space="preserve">2. Resumo / Descrição Geral</w:t>
      </w:r>
    </w:p>
    <w:p>
      <w:pPr>
        <w:spacing w:after="160"/>
      </w:pPr>
      <w:r>
        <w:t xml:space="preserve">Este módulo corresponde à versão inicial do programa CalTEC-Calagem, restrita ao método de recomendação de calagem por Saturação por Bases (V%), conforme o Boletim Técnico 100 do Instituto Agronômico de Campinas (IAC). Recebe os resultados de uma análise de solo (capacidade de troca catiônica, saturação por bases atual e desejada, e poder relativo de neutralização total do calcário) e calcula a necessidade de calagem (NC), em toneladas por hectare e quilogramas por hectare, com opção de cálculo do total para uma área informada.</w:t>
      </w:r>
    </w:p>
    <w:p>
      <w:pPr>
        <w:spacing w:after="160"/>
      </w:pPr>
      <w:r>
        <w:t xml:space="preserve">Está disponível em duas variantes de distribuição: aplicativo desktop para Windows (executável standalone) e aplicativo web progressivo (PWA), com a mesma lógica de cálculo implementada de forma independente em cada plataforma.</w:t>
      </w:r>
    </w:p>
    <w:p>
      <w:pPr>
        <w:pStyle w:val="Heading1"/>
        <w:spacing w:after="160" w:before="320"/>
      </w:pPr>
      <w:r>
        <w:t xml:space="preserve">3. Descrição Funcional</w:t>
      </w:r>
    </w:p>
    <w:p>
      <w:pPr>
        <w:spacing w:after="160"/>
      </w:pPr>
      <w:r>
        <w:t xml:space="preserve">O usuário informa a capacidade de troca catiônica do solo (CTC), podendo escolher a unidade de medida (cmolc/dm³ ou mmolc/dm³, com conversão automática), a saturação por bases atual (V1) e desejada (V2), e o poder relativo de neutralização total (PRNT) do calcário disponível. O programa aplica a fórmula NC (t/ha) = CTC × (V2 − V1) / PRNT e apresenta o resultado em t/ha e kg/ha, calculando também o total de calcário para uma área informada, se fornecida. Caso a saturação desejada seja igual ou inferior à atual, o programa informa que não há necessidade de calagem.</w:t>
      </w:r>
    </w:p>
    <w:p>
      <w:pPr>
        <w:pStyle w:val="Heading1"/>
        <w:spacing w:after="160" w:before="320"/>
      </w:pPr>
      <w:r>
        <w:t xml:space="preserve">4. Fundamentação Científica</w:t>
      </w:r>
    </w:p>
    <w:p>
      <w:pPr>
        <w:spacing w:after="160"/>
      </w:pPr>
      <w:r>
        <w:t xml:space="preserve">RAIJ, B. van; CANTARELLA, H.; QUAGGIO, J. A.; FURLANI, A. M. C. Recomendações de adubação e calagem para o estado de São Paulo. 2. ed. Campinas: Instituto Agronômico (IAC), 1996. (Boletim Técnico, 100).</w:t>
      </w:r>
    </w:p>
    <w:p>
      <w:pPr>
        <w:pStyle w:val="Heading1"/>
        <w:spacing w:after="160" w:before="320"/>
      </w:pPr>
      <w:r>
        <w:t xml:space="preserve">5. Arquitetura e Tecnologias Utilizadas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300"/>
      </w:tblGrid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5E2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Componente</w:t>
            </w:r>
          </w:p>
        </w:tc>
        <w:tc>
          <w:tcPr>
            <w:tcW w:type="dxa" w:w="6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5E2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Tecnologia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Lógica de cálculo (desktop)</w:t>
            </w:r>
          </w:p>
        </w:tc>
        <w:tc>
          <w:tcPr>
            <w:tcW w:type="dxa" w:w="6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Python 3.14 — módulo calagem_calc.py, função pura e independente de interface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Interface gráfica (desktop)</w:t>
            </w:r>
          </w:p>
        </w:tc>
        <w:tc>
          <w:tcPr>
            <w:tcW w:type="dxa" w:w="6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Tkinter/ttk — módulo calagem_app.py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Empacotamento (desktop)</w:t>
            </w:r>
          </w:p>
        </w:tc>
        <w:tc>
          <w:tcPr>
            <w:tcW w:type="dxa" w:w="6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PyInstaller — geração de executável standalone (.exe)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Manipulação de imagens</w:t>
            </w:r>
          </w:p>
        </w:tc>
        <w:tc>
          <w:tcPr>
            <w:tcW w:type="dxa" w:w="6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Pillow (PIL) — carregamento dos logotipos institucionais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Lógica de cálculo (web)</w:t>
            </w:r>
          </w:p>
        </w:tc>
        <w:tc>
          <w:tcPr>
            <w:tcW w:type="dxa" w:w="6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JavaScript ES6+ — arquivo app.js, replica a mesma fórmula do módulo Python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Interface (web)</w:t>
            </w:r>
          </w:p>
        </w:tc>
        <w:tc>
          <w:tcPr>
            <w:tcW w:type="dxa" w:w="6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HTML5 e CSS3 — arquivos index.html e style.css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Funcionamento offline</w:t>
            </w:r>
          </w:p>
        </w:tc>
        <w:tc>
          <w:tcPr>
            <w:tcW w:type="dxa" w:w="6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Web App Manifest e Service Worker (Progressive Web App)</w:t>
            </w:r>
          </w:p>
        </w:tc>
      </w:tr>
    </w:tbl>
    <w:p>
      <w:pPr>
        <w:pStyle w:val="Heading1"/>
        <w:spacing w:after="160" w:before="320"/>
      </w:pPr>
      <w:r>
        <w:t xml:space="preserve">6. Fluxograma de Funcionamento</w:t>
      </w:r>
    </w:p>
    <w:p>
      <w:pPr>
        <w:spacing w:after="200"/>
        <w:jc w:val="center"/>
      </w:pPr>
      <w:r>
        <w:drawing>
          <wp:inline distT="0" distB="0" distL="0" distR="0">
            <wp:extent cx="4000500" cy="45053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4505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  <w:spacing w:after="160" w:before="320"/>
      </w:pPr>
      <w:r>
        <w:t xml:space="preserve">7. Trechos do Programa-Fonte (representativos)</w:t>
      </w:r>
    </w:p>
    <w:p>
      <w:pPr>
        <w:spacing w:after="160"/>
      </w:pPr>
      <w:r>
        <w:t xml:space="preserve">Os trechos a seguir correspondem às linhas iniciais e finais dos três arquivos de código-fonte principais do programa, apresentados para fins de caracterização de autoria e originalidade, conforme praxe do INPI. O código-fonte completo será apresentado em anexo ao processo de registro, conforme exigido.</w:t>
      </w:r>
    </w:p>
    <w:p>
      <w:pPr>
        <w:pStyle w:val="Heading2"/>
        <w:spacing w:after="120" w:before="240"/>
      </w:pPr>
      <w:r>
        <w:t xml:space="preserve">7.1 calagem_calc.py (módulo de cálculo — versão desktop)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"""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Cálculo da necessidade de calagem pelo método da saturação por bases (V%).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Referência: RAIJ, B. van; CANTARELLA, H.; QUAGGIO, J. A.; FURLANI, A. M. C.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Recomendações de adubação e calagem para o estado de São Paulo. 2. ed.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Campinas: Instituto Agronômico (IAC), 1996. (Boletim Técnico, 100).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...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"""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from dataclasses import dataclass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from typing import Literal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UnidadeCTC = Literal["cmolc", "mmolc"]</w:t>
      </w:r>
    </w:p>
    <w:p>
      <w:pPr>
        <w:spacing w:after="160"/>
      </w:pPr>
      <w:r>
        <w:rPr>
          <w:i/>
          <w:iCs/>
        </w:rPr>
        <w:t xml:space="preserve">(...)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r3_certo = calcular_nc_saturacao_bases(ctc=50, v1=0, v2=40, prnt=100, unidade_ctc="mmolc")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r3_errado = calcular_nc_saturacao_bases(ctc=5, v1=0, v2=40, prnt=100, unidade_ctc="cmolc")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assert abs(r3_certo.nc_t_ha - r3_errado.nc_t_ha) &lt; 1e-9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print("Caso 3 (conversão mmolc-&gt;cmolc consistente):", r3_certo.nc_t_ha, "t/ha")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print("OK: cálculo conferido contra exemplo de fonte externa e contra "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      "o erro clássico de unidade documentado na literatura.")</w:t>
      </w:r>
    </w:p>
    <w:p>
      <w:pPr>
        <w:pStyle w:val="Heading2"/>
        <w:spacing w:after="120" w:before="240"/>
      </w:pPr>
      <w:r>
        <w:t xml:space="preserve">7.2 calagem_app.py (interface gráfica — versão desktop)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"""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Interface gráfica para cálculo da necessidade de calagem.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Método: saturação por bases (V%) - Boletim 100/IAC.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"""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import sys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import tkinter as tk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from pathlib import Path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from tkinter import ttk, messagebox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from PIL import Image, ImageTk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from calagem_calc import calcular_nc_saturacao_bases</w:t>
      </w:r>
    </w:p>
    <w:p>
      <w:pPr>
        <w:spacing w:after="160"/>
      </w:pPr>
      <w:r>
        <w:rPr>
          <w:i/>
          <w:iCs/>
        </w:rPr>
        <w:t xml:space="preserve">(...)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    if v2 &lt;= v1: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        self.resultado_var.set("Solo já está com saturação por bases igual ou acima da desejada...")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        return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    texto = f"Necessidade de calagem: {r.nc_t_ha:.3f} t/ha  ({r.nc_kg_ha:.1f} kg/ha)"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    if r.total_t is not None: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        texto += f"\nTotal para a área informada: {r.total_t:.3f} t  ({r.total_kg:.1f} kg)"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    self.resultado_var.set(texto)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if __name__ == "__main__":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app = CalagemApp()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app.mainloop()</w:t>
      </w:r>
    </w:p>
    <w:p>
      <w:pPr>
        <w:pStyle w:val="Heading2"/>
        <w:spacing w:after="120" w:before="240"/>
      </w:pPr>
      <w:r>
        <w:t xml:space="preserve">7.3 app.js (módulo de cálculo e interface — versão web)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/*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* Lógica de cálculo da necessidade de calagem - espelha calagem_calc.py.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* Método da saturação por bases (V%) - Boletim 100/IAC.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*/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function calcularNCBases(ctc, v1, v2, prnt, areaHa, unidadeCtc) {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if (!(ctc &gt; 0)) throw new Error("CTC deve ser maior que zero.");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...</w:t>
      </w:r>
    </w:p>
    <w:p>
      <w:pPr>
        <w:spacing w:after="160"/>
      </w:pPr>
      <w:r>
        <w:rPr>
          <w:i/>
          <w:iCs/>
        </w:rPr>
        <w:t xml:space="preserve">(...)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try {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const r = calcularNCBases(ctc, v1, v2, prnt, area, unidade);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resultadoEl.textContent = r.semNecessidade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  ? "Solo já está com saturação por bases igual ou acima da desejada..."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  : formatarResultado(r);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resultadoEl.classList.add("visivel");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} catch (err) {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erroEl.textContent = err.message;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erroEl.classList.add("visivel");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}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});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</w:pPr>
    <w:rPr>
      <w:b/>
      <w:bCs/>
      <w:color w:val="1B5E20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20" w:before="240"/>
    </w:pPr>
    <w:rPr>
      <w:b/>
      <w:bCs/>
      <w:color w:val="6B4A3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420df5c44f4aad5ec512cf2dfb8cc7370075f6d7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2026-08-13T22:12:23.843Z</dcterms:created>
  <dcterms:modified xsi:type="dcterms:W3CDTF">2026-08-13T22:12:23.844Z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