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713600383f3dfe89eaebe38b4ec4928d486d83"/>
      <w:r>
        <w:t xml:space="preserve">OS-001 — Verificação de premissas e comportamento do FinScore (FORNAX) — Dr. Fernando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Aberta (aguardando devolutiva)</w:t>
      </w:r>
      <w:r>
        <w:t xml:space="preserve"> </w:t>
      </w:r>
      <w:r>
        <w:rPr>
          <w:b/>
        </w:rPr>
        <w:t xml:space="preserve">Cliente/grupo:</w:t>
      </w:r>
      <w:r>
        <w:t xml:space="preserve"> </w:t>
      </w:r>
      <w:r>
        <w:t xml:space="preserve">GRUPO FORNAX — empresa</w:t>
      </w:r>
      <w:r>
        <w:t xml:space="preserve"> </w:t>
      </w:r>
      <w:r>
        <w:rPr>
          <w:b/>
        </w:rPr>
        <w:t xml:space="preserve">FORNAX Consultoria</w:t>
      </w:r>
      <w:r>
        <w:t xml:space="preserve"> </w:t>
      </w:r>
      <w:r>
        <w:t xml:space="preserve">(CNPJ 10.585.521/0001-01)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01/07/2026</w:t>
      </w:r>
    </w:p>
    <w:p>
      <w:pPr>
        <w:pStyle w:val="BodyText"/>
      </w:pPr>
      <w:r>
        <w:t xml:space="preserve">Dr. Fernando, rodamos o FinScore oficial da FORNAX e o resultado é contraintuitivo para o perfil da empresa. Antes de tratar a decisão como definitiva, gostaríamos da sua verificação e opinião sobre três pontos. Tudo abaixo é reproduzível no código de produção; nada foi alterado no modelo.</w:t>
      </w:r>
    </w:p>
    <w:p>
      <w:pPr>
        <w:pStyle w:val="Heading2"/>
      </w:pPr>
      <w:bookmarkStart w:id="21" w:name="o-que-foi-feito-fato"/>
      <w:r>
        <w:t xml:space="preserve">1. O que foi feito (fato)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Entrada montada a partir de</w:t>
      </w:r>
      <w:r>
        <w:t xml:space="preserve"> </w:t>
      </w:r>
      <w:r>
        <w:rPr>
          <w:b/>
        </w:rPr>
        <w:t xml:space="preserve">Balanço + DRE assinados</w:t>
      </w:r>
      <w:r>
        <w:t xml:space="preserve"> </w:t>
      </w:r>
      <w:r>
        <w:t xml:space="preserve">(JCG Auditoria), 3 anos fechados</w:t>
      </w:r>
      <w:r>
        <w:t xml:space="preserve"> </w:t>
      </w:r>
      <w:r>
        <w:rPr>
          <w:b/>
        </w:rPr>
        <w:t xml:space="preserve">2023, 2024, 2025</w:t>
      </w:r>
      <w:r>
        <w:t xml:space="preserve">. Os três balanços conciliam:</w:t>
      </w:r>
      <w:r>
        <w:t xml:space="preserve"> </w:t>
      </w:r>
      <w:r>
        <w:rPr>
          <w:b/>
        </w:rPr>
        <w:t xml:space="preserve">Ativo = Passivo Exigível + PL, diferença R$ 0,00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Convenção aplicada:</w:t>
      </w:r>
      <w:r>
        <w:t xml:space="preserve"> </w:t>
      </w:r>
      <w:r>
        <w:rPr>
          <w:rStyle w:val="VerbatimChar"/>
        </w:rPr>
        <w:t xml:space="preserve">p_Passivo_Total = Ativo Total</w:t>
      </w:r>
      <w:r>
        <w:t xml:space="preserve">; contas de despesa/resultado em módulo (positivo).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FinScore Ajustado = 227,5 — Levemente Acima do Risco</w:t>
      </w:r>
      <w:r>
        <w:t xml:space="preserve"> </w:t>
      </w:r>
      <w:r>
        <w:t xml:space="preserve">(produção, scikit-learn 1.4.2; Bruto −1,09).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Confirmado 1:1 pelo parecer do sistema:</w:t>
      </w:r>
      <w:r>
        <w:t xml:space="preserve"> </w:t>
      </w:r>
      <w:r>
        <w:t xml:space="preserve">227,50 / decisão</w:t>
      </w:r>
      <w:r>
        <w:t xml:space="preserve"> </w:t>
      </w:r>
      <w:r>
        <w:rPr>
          <w:b/>
        </w:rPr>
        <w:t xml:space="preserve">NÃO APROVAR</w:t>
      </w:r>
      <w:r>
        <w:t xml:space="preserve">.</w:t>
      </w:r>
    </w:p>
    <w:p>
      <w:pPr>
        <w:pStyle w:val="Heading2"/>
      </w:pPr>
      <w:bookmarkStart w:id="22" w:name="por-que-isso-chama-atenção"/>
      <w:r>
        <w:t xml:space="preserve">2. Por que isso chama atenção</w:t>
      </w:r>
      <w:bookmarkEnd w:id="22"/>
    </w:p>
    <w:p>
      <w:pPr>
        <w:pStyle w:val="FirstParagraph"/>
      </w:pPr>
      <w:r>
        <w:t xml:space="preserve">A FORNAX é uma consultoria</w:t>
      </w:r>
      <w:r>
        <w:t xml:space="preserve"> </w:t>
      </w:r>
      <w:r>
        <w:rPr>
          <w:b/>
        </w:rPr>
        <w:t xml:space="preserve">muito lucrativa e em crescimento</w:t>
      </w:r>
      <w:r>
        <w:t xml:space="preserve">:</w:t>
      </w:r>
      <w:r>
        <w:t xml:space="preserve"> </w:t>
      </w:r>
      <w:r>
        <w:t xml:space="preserve">- Receita líquida:</w:t>
      </w:r>
      <w:r>
        <w:t xml:space="preserve"> </w:t>
      </w:r>
      <w:r>
        <w:rPr>
          <w:b/>
        </w:rPr>
        <w:t xml:space="preserve">35,0 → 43,3 → 48,7 mi</w:t>
      </w:r>
      <w:r>
        <w:t xml:space="preserve"> </w:t>
      </w:r>
      <w:r>
        <w:t xml:space="preserve">(crescendo todo ano).</w:t>
      </w:r>
      <w:r>
        <w:t xml:space="preserve"> </w:t>
      </w:r>
      <w:r>
        <w:t xml:space="preserve">- Margem líquida:</w:t>
      </w:r>
      <w:r>
        <w:t xml:space="preserve"> </w:t>
      </w:r>
      <w:r>
        <w:rPr>
          <w:b/>
        </w:rPr>
        <w:t xml:space="preserve">28% → 33% → 24%</w:t>
      </w:r>
      <w:r>
        <w:t xml:space="preserve">. Margem EBITDA:</w:t>
      </w:r>
      <w:r>
        <w:t xml:space="preserve"> </w:t>
      </w:r>
      <w:r>
        <w:rPr>
          <w:b/>
        </w:rPr>
        <w:t xml:space="preserve">40% → 44% → 38%</w:t>
      </w:r>
      <w:r>
        <w:t xml:space="preserve">.</w:t>
      </w:r>
      <w:r>
        <w:t xml:space="preserve"> </w:t>
      </w:r>
      <w:r>
        <w:t xml:space="preserve">- Cobertura de juros altíssima; caixa positivo; sem dívida financeira relevante.</w:t>
      </w:r>
    </w:p>
    <w:p>
      <w:pPr>
        <w:pStyle w:val="BodyText"/>
      </w:pPr>
      <w:r>
        <w:t xml:space="preserve">Uma empresa com esse perfil receber</w:t>
      </w:r>
      <w:r>
        <w:t xml:space="preserve"> </w:t>
      </w:r>
      <w:r>
        <w:t xml:space="preserve">“</w:t>
      </w:r>
      <w:r>
        <w:t xml:space="preserve">não aprovar</w:t>
      </w:r>
      <w:r>
        <w:t xml:space="preserve">”</w:t>
      </w:r>
      <w:r>
        <w:t xml:space="preserve"> </w:t>
      </w:r>
      <w:r>
        <w:t xml:space="preserve">no FinScore é o que motiva a verificação.</w:t>
      </w:r>
    </w:p>
    <w:p>
      <w:pPr>
        <w:pStyle w:val="Heading2"/>
      </w:pPr>
      <w:bookmarkStart w:id="23" w:name="Xb691c50412c751cd2a6a394199490cbf146d25a"/>
      <w:r>
        <w:t xml:space="preserve">3. Diagnóstico (verificável): o score é dominado por um ano atípico</w:t>
      </w:r>
      <w:bookmarkEnd w:id="23"/>
    </w:p>
    <w:p>
      <w:pPr>
        <w:pStyle w:val="FirstParagraph"/>
      </w:pPr>
      <w:r>
        <w:t xml:space="preserve">Índices calculados pelo próprio código (2025 / 2024 / 2023):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Margem Líquida</w:t>
            </w:r>
          </w:p>
        </w:tc>
        <w:tc>
          <w:p>
            <w:pPr>
              <w:pStyle w:val="Compact"/>
              <w:jc w:val="left"/>
            </w:pPr>
            <w:r>
              <w:t xml:space="preserve">0,24</w:t>
            </w:r>
          </w:p>
        </w:tc>
        <w:tc>
          <w:p>
            <w:pPr>
              <w:pStyle w:val="Compact"/>
              <w:jc w:val="left"/>
            </w:pPr>
            <w:r>
              <w:t xml:space="preserve">0,33</w:t>
            </w:r>
          </w:p>
        </w:tc>
        <w:tc>
          <w:p>
            <w:pPr>
              <w:pStyle w:val="Compact"/>
              <w:jc w:val="left"/>
            </w:pPr>
            <w:r>
              <w:t xml:space="preserve">0,28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ROA</w:t>
            </w:r>
          </w:p>
        </w:tc>
        <w:tc>
          <w:p>
            <w:pPr>
              <w:pStyle w:val="Compact"/>
              <w:jc w:val="left"/>
            </w:pPr>
            <w:r>
              <w:t xml:space="preserve">1,15</w:t>
            </w:r>
          </w:p>
        </w:tc>
        <w:tc>
          <w:p>
            <w:pPr>
              <w:pStyle w:val="Compact"/>
              <w:jc w:val="left"/>
            </w:pPr>
            <w:r>
              <w:t xml:space="preserve">1,61</w:t>
            </w:r>
          </w:p>
        </w:tc>
        <w:tc>
          <w:p>
            <w:pPr>
              <w:pStyle w:val="Compact"/>
              <w:jc w:val="left"/>
            </w:pPr>
            <w:r>
              <w:t xml:space="preserve">2,02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ROE</w:t>
            </w:r>
          </w:p>
        </w:tc>
        <w:tc>
          <w:p>
            <w:pPr>
              <w:pStyle w:val="Compact"/>
              <w:jc w:val="left"/>
            </w:pPr>
            <w:r>
              <w:t xml:space="preserve">2,39</w:t>
            </w:r>
          </w:p>
        </w:tc>
        <w:tc>
          <w:p>
            <w:pPr>
              <w:pStyle w:val="Compact"/>
              <w:jc w:val="left"/>
            </w:pPr>
            <w:r>
              <w:t xml:space="preserve">3,18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86,33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Margem EBITDA</w:t>
            </w:r>
          </w:p>
        </w:tc>
        <w:tc>
          <w:p>
            <w:pPr>
              <w:pStyle w:val="Compact"/>
              <w:jc w:val="left"/>
            </w:pPr>
            <w:r>
              <w:t xml:space="preserve">0,38</w:t>
            </w:r>
          </w:p>
        </w:tc>
        <w:tc>
          <w:p>
            <w:pPr>
              <w:pStyle w:val="Compact"/>
              <w:jc w:val="left"/>
            </w:pPr>
            <w:r>
              <w:t xml:space="preserve">0,44</w:t>
            </w:r>
          </w:p>
        </w:tc>
        <w:tc>
          <w:p>
            <w:pPr>
              <w:pStyle w:val="Compact"/>
              <w:jc w:val="left"/>
            </w:pPr>
            <w:r>
              <w:t xml:space="preserve">0,40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Alavancagem (DL/EBITDA)</w:t>
            </w:r>
          </w:p>
        </w:tc>
        <w:tc>
          <w:p>
            <w:pPr>
              <w:pStyle w:val="Compact"/>
              <w:jc w:val="left"/>
            </w:pPr>
            <w:r>
              <w:t xml:space="preserve">0,25</w:t>
            </w:r>
          </w:p>
        </w:tc>
        <w:tc>
          <w:p>
            <w:pPr>
              <w:pStyle w:val="Compact"/>
              <w:jc w:val="left"/>
            </w:pPr>
            <w:r>
              <w:t xml:space="preserve">0,18</w:t>
            </w:r>
          </w:p>
        </w:tc>
        <w:tc>
          <w:p>
            <w:pPr>
              <w:pStyle w:val="Compact"/>
              <w:jc w:val="left"/>
            </w:pPr>
            <w:r>
              <w:t xml:space="preserve">0,15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Endividamento</w:t>
            </w:r>
          </w:p>
        </w:tc>
        <w:tc>
          <w:p>
            <w:pPr>
              <w:pStyle w:val="Compact"/>
              <w:jc w:val="left"/>
            </w:pPr>
            <w:r>
              <w:t xml:space="preserve">0,52</w:t>
            </w:r>
          </w:p>
        </w:tc>
        <w:tc>
          <w:p>
            <w:pPr>
              <w:pStyle w:val="Compact"/>
              <w:jc w:val="left"/>
            </w:pPr>
            <w:r>
              <w:t xml:space="preserve">0,49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0,98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Cobertura de Juros</w:t>
            </w:r>
          </w:p>
        </w:tc>
        <w:tc>
          <w:p>
            <w:pPr>
              <w:pStyle w:val="Compact"/>
              <w:jc w:val="left"/>
            </w:pPr>
            <w:r>
              <w:t xml:space="preserve">18,40</w:t>
            </w:r>
          </w:p>
        </w:tc>
        <w:tc>
          <w:p>
            <w:pPr>
              <w:pStyle w:val="Compact"/>
              <w:jc w:val="left"/>
            </w:pPr>
            <w:r>
              <w:t xml:space="preserve">1.413,0</w:t>
            </w:r>
          </w:p>
        </w:tc>
        <w:tc>
          <w:p>
            <w:pPr>
              <w:pStyle w:val="Compact"/>
              <w:jc w:val="left"/>
            </w:pPr>
            <w:r>
              <w:t xml:space="preserve">1.196,4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Giro do Ativo</w:t>
            </w:r>
          </w:p>
        </w:tc>
        <w:tc>
          <w:p>
            <w:pPr>
              <w:pStyle w:val="Compact"/>
              <w:jc w:val="left"/>
            </w:pPr>
            <w:r>
              <w:t xml:space="preserve">4,78</w:t>
            </w:r>
          </w:p>
        </w:tc>
        <w:tc>
          <w:p>
            <w:pPr>
              <w:pStyle w:val="Compact"/>
              <w:jc w:val="left"/>
            </w:pPr>
            <w:r>
              <w:t xml:space="preserve">4,90</w:t>
            </w:r>
          </w:p>
        </w:tc>
        <w:tc>
          <w:p>
            <w:pPr>
              <w:pStyle w:val="Compact"/>
              <w:jc w:val="left"/>
            </w:pPr>
            <w:r>
              <w:t xml:space="preserve">7,21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PMR (dias)</w:t>
            </w:r>
          </w:p>
        </w:tc>
        <w:tc>
          <w:p>
            <w:pPr>
              <w:pStyle w:val="Compact"/>
              <w:jc w:val="left"/>
            </w:pPr>
            <w:r>
              <w:t xml:space="preserve">65,0</w:t>
            </w:r>
          </w:p>
        </w:tc>
        <w:tc>
          <w:p>
            <w:pPr>
              <w:pStyle w:val="Compact"/>
              <w:jc w:val="left"/>
            </w:pPr>
            <w:r>
              <w:t xml:space="preserve">55,2</w:t>
            </w:r>
          </w:p>
        </w:tc>
        <w:tc>
          <w:p>
            <w:pPr>
              <w:pStyle w:val="Compact"/>
              <w:jc w:val="left"/>
            </w:pPr>
            <w:r>
              <w:t xml:space="preserve">11,4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PMP (dias)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Liquidez Corrente / Seca</w:t>
            </w:r>
          </w:p>
        </w:tc>
        <w:tc>
          <w:p>
            <w:pPr>
              <w:pStyle w:val="Compact"/>
              <w:jc w:val="left"/>
            </w:pPr>
            <w:r>
              <w:t xml:space="preserve">1,91</w:t>
            </w:r>
          </w:p>
        </w:tc>
        <w:tc>
          <w:p>
            <w:pPr>
              <w:pStyle w:val="Compact"/>
              <w:jc w:val="left"/>
            </w:pPr>
            <w:r>
              <w:t xml:space="preserve">2,71</w:t>
            </w:r>
          </w:p>
        </w:tc>
        <w:tc>
          <w:p>
            <w:pPr>
              <w:pStyle w:val="Compact"/>
              <w:jc w:val="left"/>
            </w:pPr>
            <w:r>
              <w:t xml:space="preserve">1,35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CCL/Ativo</w:t>
            </w:r>
          </w:p>
        </w:tc>
        <w:tc>
          <w:p>
            <w:pPr>
              <w:pStyle w:val="Compact"/>
              <w:jc w:val="left"/>
            </w:pPr>
            <w:r>
              <w:t xml:space="preserve">0,47</w:t>
            </w:r>
          </w:p>
        </w:tc>
        <w:tc>
          <w:p>
            <w:pPr>
              <w:pStyle w:val="Compact"/>
              <w:jc w:val="left"/>
            </w:pPr>
            <w:r>
              <w:t xml:space="preserve">0,62</w:t>
            </w:r>
          </w:p>
        </w:tc>
        <w:tc>
          <w:p>
            <w:pPr>
              <w:pStyle w:val="Compact"/>
              <w:jc w:val="left"/>
            </w:pPr>
            <w:r>
              <w:t xml:space="preserve">0,26</w:t>
            </w:r>
          </w:p>
        </w:tc>
      </w:tr>
    </w:tbl>
    <w:p>
      <w:pPr>
        <w:pStyle w:val="BodyText"/>
      </w:pPr>
      <w:r>
        <w:t xml:space="preserve">Em</w:t>
      </w:r>
      <w:r>
        <w:t xml:space="preserve"> </w:t>
      </w:r>
      <w:r>
        <w:rPr>
          <w:b/>
        </w:rPr>
        <w:t xml:space="preserve">2023</w:t>
      </w:r>
      <w:r>
        <w:t xml:space="preserve">, a FORNAX distribuiu quase todo o lucro, deixando o</w:t>
      </w:r>
      <w:r>
        <w:t xml:space="preserve"> </w:t>
      </w:r>
      <w:r>
        <w:rPr>
          <w:b/>
        </w:rPr>
        <w:t xml:space="preserve">PL em R$ 113.153</w:t>
      </w:r>
      <w:r>
        <w:t xml:space="preserve"> </w:t>
      </w:r>
      <w:r>
        <w:t xml:space="preserve">(vs R$ 4,47 mi em 2024 e R$ 4,92 mi em 2025). Só por causa disso,</w:t>
      </w:r>
      <w:r>
        <w:t xml:space="preserve"> </w:t>
      </w:r>
      <w:r>
        <w:rPr>
          <w:b/>
        </w:rPr>
        <w:t xml:space="preserve">2023 vira outlier em vários índices</w:t>
      </w:r>
      <w:r>
        <w:t xml:space="preserve">: ROE 86,3 (vs 2–3), Endividamento 0,98 (vs ~0,5), Giro 7,21 (vs ~4,8). Como o FinScore padroniza cada índice sobre os 3 anos da própria empresa (z-score) e roda o PCA sobre n=3,</w:t>
      </w:r>
      <w:r>
        <w:t xml:space="preserve"> </w:t>
      </w:r>
      <w:r>
        <w:rPr>
          <w:b/>
        </w:rPr>
        <w:t xml:space="preserve">o ano de 2023 domina o eixo</w:t>
      </w:r>
      <w:r>
        <w:t xml:space="preserve"> </w:t>
      </w:r>
      <w:r>
        <w:t xml:space="preserve">— o z-score de 2023 em ROE, Endividamento e Giro é</w:t>
      </w:r>
      <w:r>
        <w:t xml:space="preserve"> </w:t>
      </w:r>
      <w:r>
        <w:rPr>
          <w:b/>
        </w:rPr>
        <w:t xml:space="preserve">+1,41</w:t>
      </w:r>
      <w:r>
        <w:t xml:space="preserve">, o máximo possível com 3 pontos.</w:t>
      </w:r>
    </w:p>
    <w:p>
      <w:pPr>
        <w:pStyle w:val="BodyText"/>
      </w:pPr>
      <w:r>
        <w:rPr>
          <w:b/>
        </w:rPr>
        <w:t xml:space="preserve">Sensibilidade (quantifica a fragilidade):</w:t>
      </w:r>
      <w:r>
        <w:t xml:space="preserve"> </w:t>
      </w:r>
      <w:r>
        <w:t xml:space="preserve">removendo o ano de 2023 (rodando só 2024+2025), o FinScore Ajustado vai de</w:t>
      </w:r>
      <w:r>
        <w:t xml:space="preserve"> </w:t>
      </w:r>
      <w:r>
        <w:rPr>
          <w:b/>
        </w:rPr>
        <w:t xml:space="preserve">227,5 para 142,5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muda 85 pontos</w:t>
      </w:r>
      <w:r>
        <w:t xml:space="preserve"> </w:t>
      </w:r>
      <w:r>
        <w:t xml:space="preserve">por conta de um único ano atípico. O resultado é, portanto,</w:t>
      </w:r>
      <w:r>
        <w:t xml:space="preserve"> </w:t>
      </w:r>
      <w:r>
        <w:rPr>
          <w:b/>
        </w:rPr>
        <w:t xml:space="preserve">frágil em relação a 2023</w:t>
      </w:r>
      <w:r>
        <w:t xml:space="preserve">, não um retrato estável da empresa.</w:t>
      </w:r>
    </w:p>
    <w:p>
      <w:pPr>
        <w:pStyle w:val="Heading2"/>
      </w:pPr>
      <w:bookmarkStart w:id="24" w:name="X84d8168393e3291faf9613abafe86a13ee5681e"/>
      <w:r>
        <w:t xml:space="preserve">4. Correção de leitura sobre custos (para não desviar o foco)</w:t>
      </w:r>
      <w:bookmarkEnd w:id="24"/>
    </w:p>
    <w:p>
      <w:pPr>
        <w:pStyle w:val="FirstParagraph"/>
      </w:pPr>
      <w:r>
        <w:t xml:space="preserve">A FORNAX é serviço e não tem CMV (Lucro Bruto = Receita Líquida), então</w:t>
      </w:r>
      <w:r>
        <w:t xml:space="preserve"> </w:t>
      </w:r>
      <w:r>
        <w:rPr>
          <w:rStyle w:val="VerbatimChar"/>
        </w:rPr>
        <w:t xml:space="preserve">r_Custos = 0</w:t>
      </w:r>
      <w:r>
        <w:t xml:space="preserve">. Verificamos o efeito disso: ele atinge</w:t>
      </w:r>
      <w:r>
        <w:t xml:space="preserve"> </w:t>
      </w:r>
      <w:r>
        <w:rPr>
          <w:b/>
        </w:rPr>
        <w:t xml:space="preserve">somente o PMP</w:t>
      </w:r>
      <w:r>
        <w:t xml:space="preserve"> </w:t>
      </w:r>
      <w:r>
        <w:t xml:space="preserve">(Contas a Pagar ÷ Custos), que fica N/A.</w:t>
      </w:r>
      <w:r>
        <w:t xml:space="preserve"> </w:t>
      </w:r>
      <w:r>
        <w:rPr>
          <w:b/>
        </w:rPr>
        <w:t xml:space="preserve">Não afeta</w:t>
      </w:r>
      <w:r>
        <w:t xml:space="preserve"> </w:t>
      </w:r>
      <w:r>
        <w:t xml:space="preserve">as margens nem o EBITDA — as despesas de pessoal (salários, INSS, FGTS etc., ~24–31 mi/ano) já estão subtraídas no Lucro Líquido e no EBIT/EBITDA. Ou seja,</w:t>
      </w:r>
      <w:r>
        <w:t xml:space="preserve"> </w:t>
      </w:r>
      <w:r>
        <w:rPr>
          <w:b/>
        </w:rPr>
        <w:t xml:space="preserve">o custo-zero não é o que derruba o score</w:t>
      </w:r>
      <w:r>
        <w:t xml:space="preserve">; o que pesa é o ano atípico de 2023.</w:t>
      </w:r>
    </w:p>
    <w:p>
      <w:pPr>
        <w:pStyle w:val="Heading2"/>
      </w:pPr>
      <w:bookmarkStart w:id="25" w:name="pontos-para-sua-verificação-e-opinião"/>
      <w:r>
        <w:t xml:space="preserve">5. Pontos para sua verificação e opinião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Ano com PL atipicamente baixo por distribuição de lucro.</w:t>
      </w:r>
      <w:r>
        <w:t xml:space="preserve"> </w:t>
      </w:r>
      <w:r>
        <w:t xml:space="preserve">Como o modelo deve tratar exercícios em que o PL cai muito por distribuição (gerando ROE/Endividamento outliers)? Há normalização/tratamento previsto, ou o score deve ser lido com ressalva?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Robustez com n=3.</w:t>
      </w:r>
      <w:r>
        <w:t xml:space="preserve"> </w:t>
      </w:r>
      <w:r>
        <w:t xml:space="preserve">O comportamento observado (score dominado por um único ano atípico, resultando em</w:t>
      </w:r>
      <w:r>
        <w:t xml:space="preserve"> </w:t>
      </w:r>
      <w:r>
        <w:t xml:space="preserve">“</w:t>
      </w:r>
      <w:r>
        <w:t xml:space="preserve">não aprovar</w:t>
      </w:r>
      <w:r>
        <w:t xml:space="preserve">”</w:t>
      </w:r>
      <w:r>
        <w:t xml:space="preserve"> </w:t>
      </w:r>
      <w:r>
        <w:t xml:space="preserve">para uma empresa lucrativa e crescente) é o pretendido para o modelo?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Custos em empresa de serviço.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r_Custos = 0</w:t>
      </w:r>
      <w:r>
        <w:t xml:space="preserve"> </w:t>
      </w:r>
      <w:r>
        <w:t xml:space="preserve">(custo capturado só via Lucro Líquido; PMP N/A) é o comportamento pretendido para consultorias/serviços, ou deveria existir um campo de</w:t>
      </w:r>
      <w:r>
        <w:t xml:space="preserve"> </w:t>
      </w:r>
      <w:r>
        <w:t xml:space="preserve">“</w:t>
      </w:r>
      <w:r>
        <w:t xml:space="preserve">custo dos serviços</w:t>
      </w:r>
      <w:r>
        <w:t xml:space="preserve">”</w:t>
      </w:r>
      <w:r>
        <w:t xml:space="preserve">?</w:t>
      </w:r>
    </w:p>
    <w:p>
      <w:pPr>
        <w:pStyle w:val="Heading2"/>
      </w:pPr>
      <w:bookmarkStart w:id="26" w:name="X745ea6df1b3377e667a38e893f52c25f55090c5"/>
      <w:r>
        <w:t xml:space="preserve">6. Onde verificar (tudo anexado a este e-mail)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DADOS_FORNAX.xlsx</w:t>
      </w:r>
      <w:r>
        <w:t xml:space="preserve"> </w:t>
      </w:r>
      <w:r>
        <w:t xml:space="preserve">— a entrada dos 16 campos, pronta para rodar no código de produção (scikit-learn 1.4.2).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FORNAX_BALANCO-DRE_2023.pdf</w:t>
      </w:r>
      <w:r>
        <w:t xml:space="preserve">,</w:t>
      </w:r>
      <w:r>
        <w:t xml:space="preserve"> </w:t>
      </w:r>
      <w:r>
        <w:rPr>
          <w:b/>
        </w:rPr>
        <w:t xml:space="preserve">FORNAX_BALANCO-DRE_2024.pdf</w:t>
      </w:r>
      <w:r>
        <w:t xml:space="preserve">,</w:t>
      </w:r>
      <w:r>
        <w:t xml:space="preserve"> </w:t>
      </w:r>
      <w:r>
        <w:rPr>
          <w:b/>
        </w:rPr>
        <w:t xml:space="preserve">FORNAX_BALANCO-DRE_2025.pdf</w:t>
      </w:r>
      <w:r>
        <w:t xml:space="preserve"> </w:t>
      </w:r>
      <w:r>
        <w:t xml:space="preserve">— os Balanço e DRE assinados (a fonte), para conferir a extração campo a campo.</w:t>
      </w:r>
    </w:p>
    <w:p>
      <w:pPr>
        <w:numPr>
          <w:ilvl w:val="0"/>
          <w:numId w:val="1003"/>
        </w:numPr>
        <w:pStyle w:val="Compact"/>
      </w:pPr>
      <w:r>
        <w:t xml:space="preserve">A tabela de índices, o diagnóstico e a sensibilidade estão neste próprio memo (seções 3 e 4). Nada além dos anexos é necessário.</w:t>
      </w:r>
    </w:p>
    <w:p>
      <w:pPr>
        <w:pStyle w:val="Heading2"/>
      </w:pPr>
      <w:bookmarkStart w:id="27" w:name="o-que-se-pede"/>
      <w:r>
        <w:t xml:space="preserve">O que se pede</w:t>
      </w:r>
      <w:bookmarkEnd w:id="27"/>
    </w:p>
    <w:p>
      <w:pPr>
        <w:pStyle w:val="FirstParagraph"/>
      </w:pPr>
      <w:r>
        <w:t xml:space="preserve">Sua verificação dos números e sua orientação sobre os três pontos, para decidirmos se o</w:t>
      </w:r>
      <w:r>
        <w:t xml:space="preserve"> </w:t>
      </w:r>
      <w:r>
        <w:t xml:space="preserve">“</w:t>
      </w:r>
      <w:r>
        <w:t xml:space="preserve">não aprovar</w:t>
      </w:r>
      <w:r>
        <w:t xml:space="preserve">”</w:t>
      </w:r>
      <w:r>
        <w:t xml:space="preserve"> </w:t>
      </w:r>
      <w:r>
        <w:t xml:space="preserve">da FORNAX se mantém ou se as premissas mudam a leitura.</w:t>
      </w:r>
    </w:p>
    <w:p>
      <w:pPr>
        <w:pStyle w:val="BlockText"/>
      </w:pPr>
      <w:r>
        <w:t xml:space="preserve">Observação: e-mail correspondente</w:t>
      </w:r>
      <w:r>
        <w:t xml:space="preserve"> </w:t>
      </w:r>
      <w:r>
        <w:rPr>
          <w:b/>
        </w:rPr>
        <w:t xml:space="preserve">não enviado</w:t>
      </w:r>
      <w:r>
        <w:t xml:space="preserve"> </w:t>
      </w:r>
      <w:r>
        <w:t xml:space="preserve">— aguarda aprovação (texto + envio).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2026-07-01T19:20:14Z</dcterms:created>
  <dcterms:modified xsi:type="dcterms:W3CDTF">2026-07-01T19:20:14Z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