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FCB2C" w14:textId="77777777" w:rsidR="0037164A" w:rsidRPr="0037164A" w:rsidRDefault="0037164A" w:rsidP="0037164A">
      <w:r w:rsidRPr="0037164A">
        <w:rPr>
          <w:b/>
          <w:bCs/>
        </w:rPr>
        <w:t>PARECER DE ANÁLISE DE CRÉDITO</w:t>
      </w:r>
    </w:p>
    <w:p w14:paraId="38E23372" w14:textId="77777777" w:rsidR="0037164A" w:rsidRPr="0037164A" w:rsidRDefault="0037164A" w:rsidP="0037164A">
      <w:r w:rsidRPr="0037164A">
        <w:pict w14:anchorId="12BD0AEB">
          <v:rect id="_x0000_i1067" style="width:0;height:1.5pt" o:hralign="center" o:hrstd="t" o:hr="t" fillcolor="#a0a0a0" stroked="f"/>
        </w:pict>
      </w:r>
    </w:p>
    <w:p w14:paraId="58DC7BCC" w14:textId="77777777" w:rsidR="0037164A" w:rsidRPr="0037164A" w:rsidRDefault="0037164A" w:rsidP="0037164A">
      <w:pPr>
        <w:rPr>
          <w:b/>
          <w:bCs/>
        </w:rPr>
      </w:pPr>
      <w:r w:rsidRPr="0037164A">
        <w:rPr>
          <w:b/>
          <w:bCs/>
        </w:rPr>
        <w:t>1. INTRODUÇÃO</w:t>
      </w:r>
    </w:p>
    <w:p w14:paraId="1D8623B8" w14:textId="77777777" w:rsidR="0037164A" w:rsidRPr="0037164A" w:rsidRDefault="0037164A" w:rsidP="0037164A">
      <w:r w:rsidRPr="0037164A">
        <w:t xml:space="preserve">Este parecer tem como objetivo fornecer uma análise detalhada da situação financeira da empresa </w:t>
      </w:r>
      <w:r w:rsidRPr="0037164A">
        <w:rPr>
          <w:b/>
          <w:bCs/>
        </w:rPr>
        <w:t>EVERYMIND SISTEMAS</w:t>
      </w:r>
      <w:r w:rsidRPr="0037164A">
        <w:t xml:space="preserve">, com base em suas demonstrações contábeis e índices financeiros no período de </w:t>
      </w:r>
      <w:r w:rsidRPr="0037164A">
        <w:rPr>
          <w:b/>
          <w:bCs/>
        </w:rPr>
        <w:t>2021 a 2023</w:t>
      </w:r>
      <w:r w:rsidRPr="0037164A">
        <w:t xml:space="preserve">. A avaliação busca determinar a viabilidade da concessão de crédito, considerando o </w:t>
      </w:r>
      <w:proofErr w:type="spellStart"/>
      <w:r w:rsidRPr="0037164A">
        <w:t>FinScore</w:t>
      </w:r>
      <w:proofErr w:type="spellEnd"/>
      <w:r w:rsidRPr="0037164A">
        <w:t xml:space="preserve"> e outros parâmetros de risco.</w:t>
      </w:r>
    </w:p>
    <w:p w14:paraId="3E14FED2" w14:textId="77777777" w:rsidR="0037164A" w:rsidRPr="0037164A" w:rsidRDefault="0037164A" w:rsidP="0037164A">
      <w:r w:rsidRPr="0037164A">
        <w:pict w14:anchorId="7958A4F8">
          <v:rect id="_x0000_i1068" style="width:0;height:1.5pt" o:hralign="center" o:hrstd="t" o:hr="t" fillcolor="#a0a0a0" stroked="f"/>
        </w:pict>
      </w:r>
    </w:p>
    <w:p w14:paraId="468081E0" w14:textId="77777777" w:rsidR="0037164A" w:rsidRPr="0037164A" w:rsidRDefault="0037164A" w:rsidP="0037164A">
      <w:pPr>
        <w:rPr>
          <w:b/>
          <w:bCs/>
        </w:rPr>
      </w:pPr>
      <w:r w:rsidRPr="0037164A">
        <w:rPr>
          <w:b/>
          <w:bCs/>
        </w:rPr>
        <w:t>2. METODOLOGIA</w:t>
      </w:r>
    </w:p>
    <w:p w14:paraId="4B034212" w14:textId="77777777" w:rsidR="0037164A" w:rsidRPr="0037164A" w:rsidRDefault="0037164A" w:rsidP="0037164A">
      <w:r w:rsidRPr="0037164A">
        <w:t xml:space="preserve">A análise segue as diretrizes do </w:t>
      </w:r>
      <w:proofErr w:type="spellStart"/>
      <w:r w:rsidRPr="0037164A">
        <w:rPr>
          <w:b/>
          <w:bCs/>
        </w:rPr>
        <w:t>FinScore</w:t>
      </w:r>
      <w:proofErr w:type="spellEnd"/>
      <w:r w:rsidRPr="0037164A">
        <w:t>, um indicador consolidado que avalia a saúde financeira da empresa por meio da Análise de Componentes Principais (PCA) e técnicas estatísticas.</w:t>
      </w:r>
    </w:p>
    <w:p w14:paraId="570A8242" w14:textId="77777777" w:rsidR="0037164A" w:rsidRPr="0037164A" w:rsidRDefault="0037164A" w:rsidP="0037164A">
      <w:pPr>
        <w:rPr>
          <w:b/>
          <w:bCs/>
        </w:rPr>
      </w:pPr>
      <w:r w:rsidRPr="0037164A">
        <w:rPr>
          <w:b/>
          <w:bCs/>
        </w:rPr>
        <w:t xml:space="preserve">Classificação do </w:t>
      </w:r>
      <w:proofErr w:type="spellStart"/>
      <w:r w:rsidRPr="0037164A">
        <w:rPr>
          <w:b/>
          <w:bCs/>
        </w:rPr>
        <w:t>FinScore</w:t>
      </w:r>
      <w:proofErr w:type="spellEnd"/>
      <w:r w:rsidRPr="0037164A">
        <w:rPr>
          <w:b/>
          <w:bCs/>
        </w:rPr>
        <w:t>:</w:t>
      </w:r>
    </w:p>
    <w:p w14:paraId="4933F006" w14:textId="77777777" w:rsidR="0037164A" w:rsidRPr="0037164A" w:rsidRDefault="0037164A" w:rsidP="0037164A">
      <w:pPr>
        <w:numPr>
          <w:ilvl w:val="0"/>
          <w:numId w:val="1"/>
        </w:numPr>
      </w:pPr>
      <w:proofErr w:type="spellStart"/>
      <w:r w:rsidRPr="0037164A">
        <w:rPr>
          <w:b/>
          <w:bCs/>
        </w:rPr>
        <w:t>FinScore</w:t>
      </w:r>
      <w:proofErr w:type="spellEnd"/>
      <w:r w:rsidRPr="0037164A">
        <w:rPr>
          <w:b/>
          <w:bCs/>
        </w:rPr>
        <w:t xml:space="preserve"> Bruto</w:t>
      </w:r>
      <w:r w:rsidRPr="0037164A">
        <w:t>: Intervalo de -2 a +2.</w:t>
      </w:r>
    </w:p>
    <w:p w14:paraId="688BEC0C" w14:textId="77777777" w:rsidR="0037164A" w:rsidRPr="0037164A" w:rsidRDefault="0037164A" w:rsidP="0037164A">
      <w:pPr>
        <w:numPr>
          <w:ilvl w:val="0"/>
          <w:numId w:val="1"/>
        </w:numPr>
      </w:pPr>
      <w:proofErr w:type="spellStart"/>
      <w:r w:rsidRPr="0037164A">
        <w:rPr>
          <w:b/>
          <w:bCs/>
        </w:rPr>
        <w:t>FinScore</w:t>
      </w:r>
      <w:proofErr w:type="spellEnd"/>
      <w:r w:rsidRPr="0037164A">
        <w:rPr>
          <w:b/>
          <w:bCs/>
        </w:rPr>
        <w:t xml:space="preserve"> Ajustado</w:t>
      </w:r>
      <w:r w:rsidRPr="0037164A">
        <w:t>: Convertido para uma escala de 0 a 1000.</w:t>
      </w:r>
    </w:p>
    <w:p w14:paraId="5AEB6857" w14:textId="77777777" w:rsidR="0037164A" w:rsidRPr="0037164A" w:rsidRDefault="0037164A" w:rsidP="0037164A">
      <w:pPr>
        <w:numPr>
          <w:ilvl w:val="0"/>
          <w:numId w:val="1"/>
        </w:numPr>
      </w:pPr>
      <w:proofErr w:type="spellStart"/>
      <w:r w:rsidRPr="0037164A">
        <w:rPr>
          <w:b/>
          <w:bCs/>
        </w:rPr>
        <w:t>FinScore</w:t>
      </w:r>
      <w:proofErr w:type="spellEnd"/>
      <w:r w:rsidRPr="0037164A">
        <w:rPr>
          <w:b/>
          <w:bCs/>
        </w:rPr>
        <w:t xml:space="preserve"> Final</w:t>
      </w:r>
      <w:r w:rsidRPr="0037164A">
        <w:t xml:space="preserve">: Combina o </w:t>
      </w:r>
      <w:proofErr w:type="spellStart"/>
      <w:r w:rsidRPr="0037164A">
        <w:t>FinScore</w:t>
      </w:r>
      <w:proofErr w:type="spellEnd"/>
      <w:r w:rsidRPr="0037164A">
        <w:t xml:space="preserve"> Ajustado com o Serasa Score.</w:t>
      </w:r>
    </w:p>
    <w:p w14:paraId="140EC599" w14:textId="77777777" w:rsidR="0037164A" w:rsidRPr="0037164A" w:rsidRDefault="0037164A" w:rsidP="0037164A">
      <w:r w:rsidRPr="0037164A">
        <w:t>Classificação geral: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2905"/>
      </w:tblGrid>
      <w:tr w:rsidR="0037164A" w:rsidRPr="0037164A" w14:paraId="5666FB97" w14:textId="77777777" w:rsidTr="003716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F38F4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Intervalo</w:t>
            </w:r>
          </w:p>
        </w:tc>
        <w:tc>
          <w:tcPr>
            <w:tcW w:w="0" w:type="auto"/>
            <w:vAlign w:val="center"/>
            <w:hideMark/>
          </w:tcPr>
          <w:p w14:paraId="63F8AF39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Categoria</w:t>
            </w:r>
          </w:p>
        </w:tc>
      </w:tr>
      <w:tr w:rsidR="0037164A" w:rsidRPr="0037164A" w14:paraId="42125C49" w14:textId="77777777" w:rsidTr="0037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C08C" w14:textId="77777777" w:rsidR="0037164A" w:rsidRPr="0037164A" w:rsidRDefault="0037164A" w:rsidP="0037164A">
            <w:r w:rsidRPr="0037164A">
              <w:t>&gt; 750</w:t>
            </w:r>
          </w:p>
        </w:tc>
        <w:tc>
          <w:tcPr>
            <w:tcW w:w="0" w:type="auto"/>
            <w:vAlign w:val="center"/>
            <w:hideMark/>
          </w:tcPr>
          <w:p w14:paraId="61BD9BE4" w14:textId="77777777" w:rsidR="0037164A" w:rsidRPr="0037164A" w:rsidRDefault="0037164A" w:rsidP="0037164A">
            <w:r w:rsidRPr="0037164A">
              <w:t>Muito Abaixo do Risco</w:t>
            </w:r>
          </w:p>
        </w:tc>
      </w:tr>
      <w:tr w:rsidR="0037164A" w:rsidRPr="0037164A" w14:paraId="671F7D42" w14:textId="77777777" w:rsidTr="0037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B29EB" w14:textId="77777777" w:rsidR="0037164A" w:rsidRPr="0037164A" w:rsidRDefault="0037164A" w:rsidP="0037164A">
            <w:r w:rsidRPr="0037164A">
              <w:t>500 - 750</w:t>
            </w:r>
          </w:p>
        </w:tc>
        <w:tc>
          <w:tcPr>
            <w:tcW w:w="0" w:type="auto"/>
            <w:vAlign w:val="center"/>
            <w:hideMark/>
          </w:tcPr>
          <w:p w14:paraId="0B340E91" w14:textId="77777777" w:rsidR="0037164A" w:rsidRPr="0037164A" w:rsidRDefault="0037164A" w:rsidP="0037164A">
            <w:r w:rsidRPr="0037164A">
              <w:t>Levemente Abaixo do Risco</w:t>
            </w:r>
          </w:p>
        </w:tc>
      </w:tr>
      <w:tr w:rsidR="0037164A" w:rsidRPr="0037164A" w14:paraId="09C175B6" w14:textId="77777777" w:rsidTr="0037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529BD" w14:textId="77777777" w:rsidR="0037164A" w:rsidRPr="0037164A" w:rsidRDefault="0037164A" w:rsidP="0037164A">
            <w:r w:rsidRPr="0037164A">
              <w:t>250 - 500</w:t>
            </w:r>
          </w:p>
        </w:tc>
        <w:tc>
          <w:tcPr>
            <w:tcW w:w="0" w:type="auto"/>
            <w:vAlign w:val="center"/>
            <w:hideMark/>
          </w:tcPr>
          <w:p w14:paraId="4CEF0C8E" w14:textId="77777777" w:rsidR="0037164A" w:rsidRPr="0037164A" w:rsidRDefault="0037164A" w:rsidP="0037164A">
            <w:r w:rsidRPr="0037164A">
              <w:t>Neutro</w:t>
            </w:r>
          </w:p>
        </w:tc>
      </w:tr>
      <w:tr w:rsidR="0037164A" w:rsidRPr="0037164A" w14:paraId="5A1491D8" w14:textId="77777777" w:rsidTr="0037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D7D97" w14:textId="77777777" w:rsidR="0037164A" w:rsidRPr="0037164A" w:rsidRDefault="0037164A" w:rsidP="0037164A">
            <w:r w:rsidRPr="0037164A">
              <w:t>100 - 250</w:t>
            </w:r>
          </w:p>
        </w:tc>
        <w:tc>
          <w:tcPr>
            <w:tcW w:w="0" w:type="auto"/>
            <w:vAlign w:val="center"/>
            <w:hideMark/>
          </w:tcPr>
          <w:p w14:paraId="2F57E5B8" w14:textId="77777777" w:rsidR="0037164A" w:rsidRPr="0037164A" w:rsidRDefault="0037164A" w:rsidP="0037164A">
            <w:r w:rsidRPr="0037164A">
              <w:t>Levemente Acima do Risco</w:t>
            </w:r>
          </w:p>
        </w:tc>
      </w:tr>
      <w:tr w:rsidR="0037164A" w:rsidRPr="0037164A" w14:paraId="55E887FB" w14:textId="77777777" w:rsidTr="0037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E8AE" w14:textId="77777777" w:rsidR="0037164A" w:rsidRPr="0037164A" w:rsidRDefault="0037164A" w:rsidP="0037164A">
            <w:r w:rsidRPr="0037164A">
              <w:t>≤ 100</w:t>
            </w:r>
          </w:p>
        </w:tc>
        <w:tc>
          <w:tcPr>
            <w:tcW w:w="0" w:type="auto"/>
            <w:vAlign w:val="center"/>
            <w:hideMark/>
          </w:tcPr>
          <w:p w14:paraId="498A338D" w14:textId="77777777" w:rsidR="0037164A" w:rsidRPr="0037164A" w:rsidRDefault="0037164A" w:rsidP="0037164A">
            <w:r w:rsidRPr="0037164A">
              <w:t>Muito Acima do Risco</w:t>
            </w:r>
          </w:p>
        </w:tc>
      </w:tr>
    </w:tbl>
    <w:p w14:paraId="54B58744" w14:textId="77777777" w:rsidR="0037164A" w:rsidRPr="0037164A" w:rsidRDefault="0037164A" w:rsidP="0037164A">
      <w:r w:rsidRPr="0037164A">
        <w:t xml:space="preserve">O </w:t>
      </w:r>
      <w:r w:rsidRPr="0037164A">
        <w:rPr>
          <w:b/>
          <w:bCs/>
        </w:rPr>
        <w:t>Serasa Score</w:t>
      </w:r>
      <w:r w:rsidRPr="0037164A">
        <w:t xml:space="preserve"> também foi utilizado como um indicador complementar.</w:t>
      </w:r>
    </w:p>
    <w:p w14:paraId="531328CC" w14:textId="77777777" w:rsidR="0037164A" w:rsidRPr="0037164A" w:rsidRDefault="0037164A" w:rsidP="0037164A">
      <w:r w:rsidRPr="0037164A">
        <w:pict w14:anchorId="58BDC8DC">
          <v:rect id="_x0000_i1069" style="width:0;height:1.5pt" o:hralign="center" o:hrstd="t" o:hr="t" fillcolor="#a0a0a0" stroked="f"/>
        </w:pict>
      </w:r>
    </w:p>
    <w:p w14:paraId="211105EF" w14:textId="77777777" w:rsidR="0037164A" w:rsidRPr="0037164A" w:rsidRDefault="0037164A" w:rsidP="0037164A">
      <w:pPr>
        <w:rPr>
          <w:b/>
          <w:bCs/>
        </w:rPr>
      </w:pPr>
      <w:r w:rsidRPr="0037164A">
        <w:rPr>
          <w:b/>
          <w:bCs/>
        </w:rPr>
        <w:t>3. ANÁLISE DOS DADOS CONTÁBEIS</w:t>
      </w:r>
    </w:p>
    <w:p w14:paraId="251D63EA" w14:textId="77777777" w:rsidR="0037164A" w:rsidRPr="0037164A" w:rsidRDefault="0037164A" w:rsidP="0037164A">
      <w:r w:rsidRPr="0037164A">
        <w:t>A tabela a seguir apresenta os principais dados contábeis da empresa: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656"/>
        <w:gridCol w:w="656"/>
        <w:gridCol w:w="468"/>
        <w:gridCol w:w="656"/>
        <w:gridCol w:w="707"/>
        <w:gridCol w:w="656"/>
        <w:gridCol w:w="656"/>
        <w:gridCol w:w="656"/>
        <w:gridCol w:w="656"/>
        <w:gridCol w:w="605"/>
        <w:gridCol w:w="656"/>
        <w:gridCol w:w="526"/>
        <w:gridCol w:w="671"/>
      </w:tblGrid>
      <w:tr w:rsidR="0037164A" w:rsidRPr="0037164A" w14:paraId="6C6AD1E2" w14:textId="77777777" w:rsidTr="003716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EC36C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lastRenderedPageBreak/>
              <w:t>Ano</w:t>
            </w:r>
          </w:p>
        </w:tc>
        <w:tc>
          <w:tcPr>
            <w:tcW w:w="0" w:type="auto"/>
            <w:vAlign w:val="center"/>
            <w:hideMark/>
          </w:tcPr>
          <w:p w14:paraId="46EC0803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Ativo Circulante</w:t>
            </w:r>
          </w:p>
        </w:tc>
        <w:tc>
          <w:tcPr>
            <w:tcW w:w="0" w:type="auto"/>
            <w:vAlign w:val="center"/>
            <w:hideMark/>
          </w:tcPr>
          <w:p w14:paraId="67FC25A4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Passivo Circulante</w:t>
            </w:r>
          </w:p>
        </w:tc>
        <w:tc>
          <w:tcPr>
            <w:tcW w:w="0" w:type="auto"/>
            <w:vAlign w:val="center"/>
            <w:hideMark/>
          </w:tcPr>
          <w:p w14:paraId="4F3CFA84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Estoques</w:t>
            </w:r>
          </w:p>
        </w:tc>
        <w:tc>
          <w:tcPr>
            <w:tcW w:w="0" w:type="auto"/>
            <w:vAlign w:val="center"/>
            <w:hideMark/>
          </w:tcPr>
          <w:p w14:paraId="7163700B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Lucro Líquido</w:t>
            </w:r>
          </w:p>
        </w:tc>
        <w:tc>
          <w:tcPr>
            <w:tcW w:w="0" w:type="auto"/>
            <w:vAlign w:val="center"/>
            <w:hideMark/>
          </w:tcPr>
          <w:p w14:paraId="0ECE4AE3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Receita Total</w:t>
            </w:r>
          </w:p>
        </w:tc>
        <w:tc>
          <w:tcPr>
            <w:tcW w:w="0" w:type="auto"/>
            <w:vAlign w:val="center"/>
            <w:hideMark/>
          </w:tcPr>
          <w:p w14:paraId="1B1BA7BB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Ativo Total</w:t>
            </w:r>
          </w:p>
        </w:tc>
        <w:tc>
          <w:tcPr>
            <w:tcW w:w="0" w:type="auto"/>
            <w:vAlign w:val="center"/>
            <w:hideMark/>
          </w:tcPr>
          <w:p w14:paraId="0EFE6C6E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Patrimônio Líquido</w:t>
            </w:r>
          </w:p>
        </w:tc>
        <w:tc>
          <w:tcPr>
            <w:tcW w:w="0" w:type="auto"/>
            <w:vAlign w:val="center"/>
            <w:hideMark/>
          </w:tcPr>
          <w:p w14:paraId="519273FA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Passivo Total</w:t>
            </w:r>
          </w:p>
        </w:tc>
        <w:tc>
          <w:tcPr>
            <w:tcW w:w="0" w:type="auto"/>
            <w:vAlign w:val="center"/>
            <w:hideMark/>
          </w:tcPr>
          <w:p w14:paraId="7A782A9D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EBIT</w:t>
            </w:r>
          </w:p>
        </w:tc>
        <w:tc>
          <w:tcPr>
            <w:tcW w:w="0" w:type="auto"/>
            <w:vAlign w:val="center"/>
            <w:hideMark/>
          </w:tcPr>
          <w:p w14:paraId="6F07BF58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Despesa de Juros</w:t>
            </w:r>
          </w:p>
        </w:tc>
        <w:tc>
          <w:tcPr>
            <w:tcW w:w="0" w:type="auto"/>
            <w:vAlign w:val="center"/>
            <w:hideMark/>
          </w:tcPr>
          <w:p w14:paraId="17448BFB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Contas a Receber</w:t>
            </w:r>
          </w:p>
        </w:tc>
        <w:tc>
          <w:tcPr>
            <w:tcW w:w="0" w:type="auto"/>
            <w:vAlign w:val="center"/>
            <w:hideMark/>
          </w:tcPr>
          <w:p w14:paraId="3BBADD26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Contas a Pagar</w:t>
            </w:r>
          </w:p>
        </w:tc>
        <w:tc>
          <w:tcPr>
            <w:tcW w:w="0" w:type="auto"/>
            <w:vAlign w:val="center"/>
            <w:hideMark/>
          </w:tcPr>
          <w:p w14:paraId="0AC2C0CB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Custos</w:t>
            </w:r>
          </w:p>
        </w:tc>
      </w:tr>
      <w:tr w:rsidR="0037164A" w:rsidRPr="0037164A" w14:paraId="4C67F12B" w14:textId="77777777" w:rsidTr="0037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2B666" w14:textId="77777777" w:rsidR="0037164A" w:rsidRPr="0037164A" w:rsidRDefault="0037164A" w:rsidP="0037164A">
            <w:r w:rsidRPr="0037164A">
              <w:t>2021</w:t>
            </w:r>
          </w:p>
        </w:tc>
        <w:tc>
          <w:tcPr>
            <w:tcW w:w="0" w:type="auto"/>
            <w:vAlign w:val="center"/>
            <w:hideMark/>
          </w:tcPr>
          <w:p w14:paraId="581C4517" w14:textId="77777777" w:rsidR="0037164A" w:rsidRPr="0037164A" w:rsidRDefault="0037164A" w:rsidP="0037164A">
            <w:r w:rsidRPr="0037164A">
              <w:t>31.384.711,39</w:t>
            </w:r>
          </w:p>
        </w:tc>
        <w:tc>
          <w:tcPr>
            <w:tcW w:w="0" w:type="auto"/>
            <w:vAlign w:val="center"/>
            <w:hideMark/>
          </w:tcPr>
          <w:p w14:paraId="4F935B9F" w14:textId="77777777" w:rsidR="0037164A" w:rsidRPr="0037164A" w:rsidRDefault="0037164A" w:rsidP="0037164A">
            <w:r w:rsidRPr="0037164A">
              <w:t>15.202.912,60</w:t>
            </w:r>
          </w:p>
        </w:tc>
        <w:tc>
          <w:tcPr>
            <w:tcW w:w="0" w:type="auto"/>
            <w:vAlign w:val="center"/>
            <w:hideMark/>
          </w:tcPr>
          <w:p w14:paraId="632EBB8D" w14:textId="77777777" w:rsidR="0037164A" w:rsidRPr="0037164A" w:rsidRDefault="0037164A" w:rsidP="0037164A">
            <w:r w:rsidRPr="0037164A">
              <w:t>0</w:t>
            </w:r>
          </w:p>
        </w:tc>
        <w:tc>
          <w:tcPr>
            <w:tcW w:w="0" w:type="auto"/>
            <w:vAlign w:val="center"/>
            <w:hideMark/>
          </w:tcPr>
          <w:p w14:paraId="12DDF36E" w14:textId="77777777" w:rsidR="0037164A" w:rsidRPr="0037164A" w:rsidRDefault="0037164A" w:rsidP="0037164A">
            <w:r w:rsidRPr="0037164A">
              <w:t>8.459.554,85</w:t>
            </w:r>
          </w:p>
        </w:tc>
        <w:tc>
          <w:tcPr>
            <w:tcW w:w="0" w:type="auto"/>
            <w:vAlign w:val="center"/>
            <w:hideMark/>
          </w:tcPr>
          <w:p w14:paraId="67D08951" w14:textId="77777777" w:rsidR="0037164A" w:rsidRPr="0037164A" w:rsidRDefault="0037164A" w:rsidP="0037164A">
            <w:r w:rsidRPr="0037164A">
              <w:t>84.125.360,00</w:t>
            </w:r>
          </w:p>
        </w:tc>
        <w:tc>
          <w:tcPr>
            <w:tcW w:w="0" w:type="auto"/>
            <w:vAlign w:val="center"/>
            <w:hideMark/>
          </w:tcPr>
          <w:p w14:paraId="4630D7C5" w14:textId="77777777" w:rsidR="0037164A" w:rsidRPr="0037164A" w:rsidRDefault="0037164A" w:rsidP="0037164A">
            <w:r w:rsidRPr="0037164A">
              <w:t>33.901.216,81</w:t>
            </w:r>
          </w:p>
        </w:tc>
        <w:tc>
          <w:tcPr>
            <w:tcW w:w="0" w:type="auto"/>
            <w:vAlign w:val="center"/>
            <w:hideMark/>
          </w:tcPr>
          <w:p w14:paraId="5AD27742" w14:textId="77777777" w:rsidR="0037164A" w:rsidRPr="0037164A" w:rsidRDefault="0037164A" w:rsidP="0037164A">
            <w:r w:rsidRPr="0037164A">
              <w:t>10.083.081,76</w:t>
            </w:r>
          </w:p>
        </w:tc>
        <w:tc>
          <w:tcPr>
            <w:tcW w:w="0" w:type="auto"/>
            <w:vAlign w:val="center"/>
            <w:hideMark/>
          </w:tcPr>
          <w:p w14:paraId="5735FEE2" w14:textId="77777777" w:rsidR="0037164A" w:rsidRPr="0037164A" w:rsidRDefault="0037164A" w:rsidP="0037164A">
            <w:r w:rsidRPr="0037164A">
              <w:t>23.818.135,05</w:t>
            </w:r>
          </w:p>
        </w:tc>
        <w:tc>
          <w:tcPr>
            <w:tcW w:w="0" w:type="auto"/>
            <w:vAlign w:val="center"/>
            <w:hideMark/>
          </w:tcPr>
          <w:p w14:paraId="4D80111F" w14:textId="77777777" w:rsidR="0037164A" w:rsidRPr="0037164A" w:rsidRDefault="0037164A" w:rsidP="0037164A">
            <w:r w:rsidRPr="0037164A">
              <w:t>10.013.500,71</w:t>
            </w:r>
          </w:p>
        </w:tc>
        <w:tc>
          <w:tcPr>
            <w:tcW w:w="0" w:type="auto"/>
            <w:vAlign w:val="center"/>
            <w:hideMark/>
          </w:tcPr>
          <w:p w14:paraId="451DB71D" w14:textId="77777777" w:rsidR="0037164A" w:rsidRPr="0037164A" w:rsidRDefault="0037164A" w:rsidP="0037164A">
            <w:r w:rsidRPr="0037164A">
              <w:t>1.553.945,86</w:t>
            </w:r>
          </w:p>
        </w:tc>
        <w:tc>
          <w:tcPr>
            <w:tcW w:w="0" w:type="auto"/>
            <w:vAlign w:val="center"/>
            <w:hideMark/>
          </w:tcPr>
          <w:p w14:paraId="2006C01C" w14:textId="77777777" w:rsidR="0037164A" w:rsidRPr="0037164A" w:rsidRDefault="0037164A" w:rsidP="0037164A">
            <w:r w:rsidRPr="0037164A">
              <w:t>25.757.962,00</w:t>
            </w:r>
          </w:p>
        </w:tc>
        <w:tc>
          <w:tcPr>
            <w:tcW w:w="0" w:type="auto"/>
            <w:vAlign w:val="center"/>
            <w:hideMark/>
          </w:tcPr>
          <w:p w14:paraId="3E04AD37" w14:textId="77777777" w:rsidR="0037164A" w:rsidRPr="0037164A" w:rsidRDefault="0037164A" w:rsidP="0037164A">
            <w:r w:rsidRPr="0037164A">
              <w:t>539.176,72</w:t>
            </w:r>
          </w:p>
        </w:tc>
        <w:tc>
          <w:tcPr>
            <w:tcW w:w="0" w:type="auto"/>
            <w:vAlign w:val="center"/>
            <w:hideMark/>
          </w:tcPr>
          <w:p w14:paraId="5475F5EA" w14:textId="77777777" w:rsidR="0037164A" w:rsidRPr="0037164A" w:rsidRDefault="0037164A" w:rsidP="0037164A">
            <w:r w:rsidRPr="0037164A">
              <w:t>60.573.110,40</w:t>
            </w:r>
          </w:p>
        </w:tc>
      </w:tr>
      <w:tr w:rsidR="0037164A" w:rsidRPr="0037164A" w14:paraId="1B76FD9B" w14:textId="77777777" w:rsidTr="0037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BCC52" w14:textId="77777777" w:rsidR="0037164A" w:rsidRPr="0037164A" w:rsidRDefault="0037164A" w:rsidP="0037164A">
            <w:r w:rsidRPr="0037164A">
              <w:t>2022</w:t>
            </w:r>
          </w:p>
        </w:tc>
        <w:tc>
          <w:tcPr>
            <w:tcW w:w="0" w:type="auto"/>
            <w:vAlign w:val="center"/>
            <w:hideMark/>
          </w:tcPr>
          <w:p w14:paraId="55FA4D7D" w14:textId="77777777" w:rsidR="0037164A" w:rsidRPr="0037164A" w:rsidRDefault="0037164A" w:rsidP="0037164A">
            <w:r w:rsidRPr="0037164A">
              <w:t>19.700.716,47</w:t>
            </w:r>
          </w:p>
        </w:tc>
        <w:tc>
          <w:tcPr>
            <w:tcW w:w="0" w:type="auto"/>
            <w:vAlign w:val="center"/>
            <w:hideMark/>
          </w:tcPr>
          <w:p w14:paraId="7E7B9D3B" w14:textId="77777777" w:rsidR="0037164A" w:rsidRPr="0037164A" w:rsidRDefault="0037164A" w:rsidP="0037164A">
            <w:r w:rsidRPr="0037164A">
              <w:t>11.010.221,46</w:t>
            </w:r>
          </w:p>
        </w:tc>
        <w:tc>
          <w:tcPr>
            <w:tcW w:w="0" w:type="auto"/>
            <w:vAlign w:val="center"/>
            <w:hideMark/>
          </w:tcPr>
          <w:p w14:paraId="674BE50E" w14:textId="77777777" w:rsidR="0037164A" w:rsidRPr="0037164A" w:rsidRDefault="0037164A" w:rsidP="0037164A">
            <w:r w:rsidRPr="0037164A">
              <w:t>0</w:t>
            </w:r>
          </w:p>
        </w:tc>
        <w:tc>
          <w:tcPr>
            <w:tcW w:w="0" w:type="auto"/>
            <w:vAlign w:val="center"/>
            <w:hideMark/>
          </w:tcPr>
          <w:p w14:paraId="659F3768" w14:textId="77777777" w:rsidR="0037164A" w:rsidRPr="0037164A" w:rsidRDefault="0037164A" w:rsidP="0037164A">
            <w:r w:rsidRPr="0037164A">
              <w:t>2.415.960,12</w:t>
            </w:r>
          </w:p>
        </w:tc>
        <w:tc>
          <w:tcPr>
            <w:tcW w:w="0" w:type="auto"/>
            <w:vAlign w:val="center"/>
            <w:hideMark/>
          </w:tcPr>
          <w:p w14:paraId="281D6B26" w14:textId="77777777" w:rsidR="0037164A" w:rsidRPr="0037164A" w:rsidRDefault="0037164A" w:rsidP="0037164A">
            <w:r w:rsidRPr="0037164A">
              <w:t>51.561.240,00</w:t>
            </w:r>
          </w:p>
        </w:tc>
        <w:tc>
          <w:tcPr>
            <w:tcW w:w="0" w:type="auto"/>
            <w:vAlign w:val="center"/>
            <w:hideMark/>
          </w:tcPr>
          <w:p w14:paraId="0BA44688" w14:textId="77777777" w:rsidR="0037164A" w:rsidRPr="0037164A" w:rsidRDefault="0037164A" w:rsidP="0037164A">
            <w:r w:rsidRPr="0037164A">
              <w:t>22.170.889,81</w:t>
            </w:r>
          </w:p>
        </w:tc>
        <w:tc>
          <w:tcPr>
            <w:tcW w:w="0" w:type="auto"/>
            <w:vAlign w:val="center"/>
            <w:hideMark/>
          </w:tcPr>
          <w:p w14:paraId="38328BF3" w14:textId="77777777" w:rsidR="0037164A" w:rsidRPr="0037164A" w:rsidRDefault="0037164A" w:rsidP="0037164A">
            <w:r w:rsidRPr="0037164A">
              <w:t>1.623.526,91</w:t>
            </w:r>
          </w:p>
        </w:tc>
        <w:tc>
          <w:tcPr>
            <w:tcW w:w="0" w:type="auto"/>
            <w:vAlign w:val="center"/>
            <w:hideMark/>
          </w:tcPr>
          <w:p w14:paraId="062FBA21" w14:textId="77777777" w:rsidR="0037164A" w:rsidRPr="0037164A" w:rsidRDefault="0037164A" w:rsidP="0037164A">
            <w:r w:rsidRPr="0037164A">
              <w:t>20.547.362,90</w:t>
            </w:r>
          </w:p>
        </w:tc>
        <w:tc>
          <w:tcPr>
            <w:tcW w:w="0" w:type="auto"/>
            <w:vAlign w:val="center"/>
            <w:hideMark/>
          </w:tcPr>
          <w:p w14:paraId="70043716" w14:textId="77777777" w:rsidR="0037164A" w:rsidRPr="0037164A" w:rsidRDefault="0037164A" w:rsidP="0037164A">
            <w:r w:rsidRPr="0037164A">
              <w:t>4.095.919,12</w:t>
            </w:r>
          </w:p>
        </w:tc>
        <w:tc>
          <w:tcPr>
            <w:tcW w:w="0" w:type="auto"/>
            <w:vAlign w:val="center"/>
            <w:hideMark/>
          </w:tcPr>
          <w:p w14:paraId="6CC2428C" w14:textId="77777777" w:rsidR="0037164A" w:rsidRPr="0037164A" w:rsidRDefault="0037164A" w:rsidP="0037164A">
            <w:r w:rsidRPr="0037164A">
              <w:t>1.679.959,00</w:t>
            </w:r>
          </w:p>
        </w:tc>
        <w:tc>
          <w:tcPr>
            <w:tcW w:w="0" w:type="auto"/>
            <w:vAlign w:val="center"/>
            <w:hideMark/>
          </w:tcPr>
          <w:p w14:paraId="737FE2ED" w14:textId="77777777" w:rsidR="0037164A" w:rsidRPr="0037164A" w:rsidRDefault="0037164A" w:rsidP="0037164A">
            <w:r w:rsidRPr="0037164A">
              <w:t>15.984.589,60</w:t>
            </w:r>
          </w:p>
        </w:tc>
        <w:tc>
          <w:tcPr>
            <w:tcW w:w="0" w:type="auto"/>
            <w:vAlign w:val="center"/>
            <w:hideMark/>
          </w:tcPr>
          <w:p w14:paraId="0C3197DC" w14:textId="77777777" w:rsidR="0037164A" w:rsidRPr="0037164A" w:rsidRDefault="0037164A" w:rsidP="0037164A">
            <w:r w:rsidRPr="0037164A">
              <w:t>700.589,94</w:t>
            </w:r>
          </w:p>
        </w:tc>
        <w:tc>
          <w:tcPr>
            <w:tcW w:w="0" w:type="auto"/>
            <w:vAlign w:val="center"/>
            <w:hideMark/>
          </w:tcPr>
          <w:p w14:paraId="659B8CD7" w14:textId="77777777" w:rsidR="0037164A" w:rsidRPr="0037164A" w:rsidRDefault="0037164A" w:rsidP="0037164A">
            <w:r w:rsidRPr="0037164A">
              <w:t>42.014.977,70</w:t>
            </w:r>
          </w:p>
        </w:tc>
      </w:tr>
      <w:tr w:rsidR="0037164A" w:rsidRPr="0037164A" w14:paraId="0DB3A60F" w14:textId="77777777" w:rsidTr="0037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F38F" w14:textId="77777777" w:rsidR="0037164A" w:rsidRPr="0037164A" w:rsidRDefault="0037164A" w:rsidP="0037164A">
            <w:r w:rsidRPr="0037164A">
              <w:t>2023</w:t>
            </w:r>
          </w:p>
        </w:tc>
        <w:tc>
          <w:tcPr>
            <w:tcW w:w="0" w:type="auto"/>
            <w:vAlign w:val="center"/>
            <w:hideMark/>
          </w:tcPr>
          <w:p w14:paraId="7CEB7D07" w14:textId="77777777" w:rsidR="0037164A" w:rsidRPr="0037164A" w:rsidRDefault="0037164A" w:rsidP="0037164A">
            <w:r w:rsidRPr="0037164A">
              <w:t>14.761.827,36</w:t>
            </w:r>
          </w:p>
        </w:tc>
        <w:tc>
          <w:tcPr>
            <w:tcW w:w="0" w:type="auto"/>
            <w:vAlign w:val="center"/>
            <w:hideMark/>
          </w:tcPr>
          <w:p w14:paraId="71286BB4" w14:textId="77777777" w:rsidR="0037164A" w:rsidRPr="0037164A" w:rsidRDefault="0037164A" w:rsidP="0037164A">
            <w:r w:rsidRPr="0037164A">
              <w:t>13.474.113,89</w:t>
            </w:r>
          </w:p>
        </w:tc>
        <w:tc>
          <w:tcPr>
            <w:tcW w:w="0" w:type="auto"/>
            <w:vAlign w:val="center"/>
            <w:hideMark/>
          </w:tcPr>
          <w:p w14:paraId="36B8C377" w14:textId="77777777" w:rsidR="0037164A" w:rsidRPr="0037164A" w:rsidRDefault="0037164A" w:rsidP="0037164A">
            <w:r w:rsidRPr="0037164A">
              <w:t>0</w:t>
            </w:r>
          </w:p>
        </w:tc>
        <w:tc>
          <w:tcPr>
            <w:tcW w:w="0" w:type="auto"/>
            <w:vAlign w:val="center"/>
            <w:hideMark/>
          </w:tcPr>
          <w:p w14:paraId="692F756F" w14:textId="77777777" w:rsidR="0037164A" w:rsidRPr="0037164A" w:rsidRDefault="0037164A" w:rsidP="0037164A">
            <w:r w:rsidRPr="0037164A">
              <w:t>69.108.596,95</w:t>
            </w:r>
          </w:p>
        </w:tc>
        <w:tc>
          <w:tcPr>
            <w:tcW w:w="0" w:type="auto"/>
            <w:vAlign w:val="center"/>
            <w:hideMark/>
          </w:tcPr>
          <w:p w14:paraId="5CB90EEB" w14:textId="77777777" w:rsidR="0037164A" w:rsidRPr="0037164A" w:rsidRDefault="0037164A" w:rsidP="0037164A">
            <w:r w:rsidRPr="0037164A">
              <w:t>110.027.900,00</w:t>
            </w:r>
          </w:p>
        </w:tc>
        <w:tc>
          <w:tcPr>
            <w:tcW w:w="0" w:type="auto"/>
            <w:vAlign w:val="center"/>
            <w:hideMark/>
          </w:tcPr>
          <w:p w14:paraId="427E4748" w14:textId="77777777" w:rsidR="0037164A" w:rsidRPr="0037164A" w:rsidRDefault="0037164A" w:rsidP="0037164A">
            <w:r w:rsidRPr="0037164A">
              <w:t>20.858.837,69</w:t>
            </w:r>
          </w:p>
        </w:tc>
        <w:tc>
          <w:tcPr>
            <w:tcW w:w="0" w:type="auto"/>
            <w:vAlign w:val="center"/>
            <w:hideMark/>
          </w:tcPr>
          <w:p w14:paraId="01815CF1" w14:textId="77777777" w:rsidR="0037164A" w:rsidRPr="0037164A" w:rsidRDefault="0037164A" w:rsidP="0037164A">
            <w:r w:rsidRPr="0037164A">
              <w:t>-1.160.797,73</w:t>
            </w:r>
          </w:p>
        </w:tc>
        <w:tc>
          <w:tcPr>
            <w:tcW w:w="0" w:type="auto"/>
            <w:vAlign w:val="center"/>
            <w:hideMark/>
          </w:tcPr>
          <w:p w14:paraId="5AD73D7A" w14:textId="77777777" w:rsidR="0037164A" w:rsidRPr="0037164A" w:rsidRDefault="0037164A" w:rsidP="0037164A">
            <w:r w:rsidRPr="0037164A">
              <w:t>22.019.635,42</w:t>
            </w:r>
          </w:p>
        </w:tc>
        <w:tc>
          <w:tcPr>
            <w:tcW w:w="0" w:type="auto"/>
            <w:vAlign w:val="center"/>
            <w:hideMark/>
          </w:tcPr>
          <w:p w14:paraId="0E5E4672" w14:textId="77777777" w:rsidR="0037164A" w:rsidRPr="0037164A" w:rsidRDefault="0037164A" w:rsidP="0037164A">
            <w:r w:rsidRPr="0037164A">
              <w:t>70.104.729,73</w:t>
            </w:r>
          </w:p>
        </w:tc>
        <w:tc>
          <w:tcPr>
            <w:tcW w:w="0" w:type="auto"/>
            <w:vAlign w:val="center"/>
            <w:hideMark/>
          </w:tcPr>
          <w:p w14:paraId="51C1292D" w14:textId="77777777" w:rsidR="0037164A" w:rsidRPr="0037164A" w:rsidRDefault="0037164A" w:rsidP="0037164A">
            <w:r w:rsidRPr="0037164A">
              <w:t>996.132,78</w:t>
            </w:r>
          </w:p>
        </w:tc>
        <w:tc>
          <w:tcPr>
            <w:tcW w:w="0" w:type="auto"/>
            <w:vAlign w:val="center"/>
            <w:hideMark/>
          </w:tcPr>
          <w:p w14:paraId="7A55922A" w14:textId="77777777" w:rsidR="0037164A" w:rsidRPr="0037164A" w:rsidRDefault="0037164A" w:rsidP="0037164A">
            <w:r w:rsidRPr="0037164A">
              <w:t>11.249.274,28</w:t>
            </w:r>
          </w:p>
        </w:tc>
        <w:tc>
          <w:tcPr>
            <w:tcW w:w="0" w:type="auto"/>
            <w:vAlign w:val="center"/>
            <w:hideMark/>
          </w:tcPr>
          <w:p w14:paraId="3FD547E6" w14:textId="77777777" w:rsidR="0037164A" w:rsidRPr="0037164A" w:rsidRDefault="0037164A" w:rsidP="0037164A">
            <w:r w:rsidRPr="0037164A">
              <w:t>432.969,36</w:t>
            </w:r>
          </w:p>
        </w:tc>
        <w:tc>
          <w:tcPr>
            <w:tcW w:w="0" w:type="auto"/>
            <w:vAlign w:val="center"/>
            <w:hideMark/>
          </w:tcPr>
          <w:p w14:paraId="74341918" w14:textId="77777777" w:rsidR="0037164A" w:rsidRPr="0037164A" w:rsidRDefault="0037164A" w:rsidP="0037164A">
            <w:r w:rsidRPr="0037164A">
              <w:t>34.430.147,55</w:t>
            </w:r>
          </w:p>
        </w:tc>
      </w:tr>
    </w:tbl>
    <w:p w14:paraId="3FF63623" w14:textId="77777777" w:rsidR="0037164A" w:rsidRPr="0037164A" w:rsidRDefault="0037164A" w:rsidP="0037164A">
      <w:pPr>
        <w:rPr>
          <w:b/>
          <w:bCs/>
        </w:rPr>
      </w:pPr>
      <w:r w:rsidRPr="0037164A">
        <w:rPr>
          <w:b/>
          <w:bCs/>
        </w:rPr>
        <w:t>Análise e Crítica:</w:t>
      </w:r>
    </w:p>
    <w:p w14:paraId="6387A864" w14:textId="77777777" w:rsidR="0037164A" w:rsidRPr="0037164A" w:rsidRDefault="0037164A" w:rsidP="0037164A">
      <w:pPr>
        <w:numPr>
          <w:ilvl w:val="0"/>
          <w:numId w:val="2"/>
        </w:numPr>
      </w:pPr>
      <w:r w:rsidRPr="0037164A">
        <w:rPr>
          <w:b/>
          <w:bCs/>
        </w:rPr>
        <w:t>Liquidez</w:t>
      </w:r>
      <w:r w:rsidRPr="0037164A">
        <w:t>: Em 2021, o ativo circulante supera o passivo circulante, indicando liquidez. No entanto, essa relação piora em 2023.</w:t>
      </w:r>
    </w:p>
    <w:p w14:paraId="6653EFB3" w14:textId="77777777" w:rsidR="0037164A" w:rsidRPr="0037164A" w:rsidRDefault="0037164A" w:rsidP="0037164A">
      <w:pPr>
        <w:numPr>
          <w:ilvl w:val="0"/>
          <w:numId w:val="2"/>
        </w:numPr>
      </w:pPr>
      <w:r w:rsidRPr="0037164A">
        <w:rPr>
          <w:b/>
          <w:bCs/>
        </w:rPr>
        <w:t>Lucro Líquido</w:t>
      </w:r>
      <w:r w:rsidRPr="0037164A">
        <w:t>: Em 2023, houve um aumento substancial, mas o resultado líquido negativo do patrimônio levanta preocupações sobre sua sustentabilidade.</w:t>
      </w:r>
    </w:p>
    <w:p w14:paraId="3D1F8B08" w14:textId="77777777" w:rsidR="0037164A" w:rsidRPr="0037164A" w:rsidRDefault="0037164A" w:rsidP="0037164A">
      <w:pPr>
        <w:numPr>
          <w:ilvl w:val="0"/>
          <w:numId w:val="2"/>
        </w:numPr>
      </w:pPr>
      <w:r w:rsidRPr="0037164A">
        <w:rPr>
          <w:b/>
          <w:bCs/>
        </w:rPr>
        <w:t>Endividamento</w:t>
      </w:r>
      <w:r w:rsidRPr="0037164A">
        <w:t>: O passivo total cresceu, e o passivo circulante se tornou proporcionalmente maior em relação ao ativo.</w:t>
      </w:r>
    </w:p>
    <w:p w14:paraId="7E25860C" w14:textId="77777777" w:rsidR="0037164A" w:rsidRPr="0037164A" w:rsidRDefault="0037164A" w:rsidP="0037164A">
      <w:r w:rsidRPr="0037164A">
        <w:pict w14:anchorId="03CF890D">
          <v:rect id="_x0000_i1070" style="width:0;height:1.5pt" o:hralign="center" o:hrstd="t" o:hr="t" fillcolor="#a0a0a0" stroked="f"/>
        </w:pict>
      </w:r>
    </w:p>
    <w:p w14:paraId="009479E4" w14:textId="77777777" w:rsidR="0037164A" w:rsidRPr="0037164A" w:rsidRDefault="0037164A" w:rsidP="0037164A">
      <w:pPr>
        <w:rPr>
          <w:b/>
          <w:bCs/>
        </w:rPr>
      </w:pPr>
      <w:r w:rsidRPr="0037164A">
        <w:rPr>
          <w:b/>
          <w:bCs/>
        </w:rPr>
        <w:t>4. ANÁLISE DOS ÍNDICES FINANCEIROS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1026"/>
        <w:gridCol w:w="937"/>
        <w:gridCol w:w="526"/>
        <w:gridCol w:w="638"/>
        <w:gridCol w:w="1695"/>
        <w:gridCol w:w="1162"/>
        <w:gridCol w:w="609"/>
        <w:gridCol w:w="766"/>
        <w:gridCol w:w="560"/>
      </w:tblGrid>
      <w:tr w:rsidR="0037164A" w:rsidRPr="0037164A" w14:paraId="39719265" w14:textId="77777777" w:rsidTr="003716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4D94C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49E11EAA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Liquidez Corrente</w:t>
            </w:r>
          </w:p>
        </w:tc>
        <w:tc>
          <w:tcPr>
            <w:tcW w:w="0" w:type="auto"/>
            <w:vAlign w:val="center"/>
            <w:hideMark/>
          </w:tcPr>
          <w:p w14:paraId="5C622DD5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Margem Líquida</w:t>
            </w:r>
          </w:p>
        </w:tc>
        <w:tc>
          <w:tcPr>
            <w:tcW w:w="0" w:type="auto"/>
            <w:vAlign w:val="center"/>
            <w:hideMark/>
          </w:tcPr>
          <w:p w14:paraId="3D85288F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ROA</w:t>
            </w:r>
          </w:p>
        </w:tc>
        <w:tc>
          <w:tcPr>
            <w:tcW w:w="0" w:type="auto"/>
            <w:vAlign w:val="center"/>
            <w:hideMark/>
          </w:tcPr>
          <w:p w14:paraId="3871CA2B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ROE</w:t>
            </w:r>
          </w:p>
        </w:tc>
        <w:tc>
          <w:tcPr>
            <w:tcW w:w="0" w:type="auto"/>
            <w:vAlign w:val="center"/>
            <w:hideMark/>
          </w:tcPr>
          <w:p w14:paraId="0065B3C2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Endividamento</w:t>
            </w:r>
          </w:p>
        </w:tc>
        <w:tc>
          <w:tcPr>
            <w:tcW w:w="0" w:type="auto"/>
            <w:vAlign w:val="center"/>
            <w:hideMark/>
          </w:tcPr>
          <w:p w14:paraId="58ADCEAD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Cobertura de Juros</w:t>
            </w:r>
          </w:p>
        </w:tc>
        <w:tc>
          <w:tcPr>
            <w:tcW w:w="0" w:type="auto"/>
            <w:vAlign w:val="center"/>
            <w:hideMark/>
          </w:tcPr>
          <w:p w14:paraId="1EDE9B57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Giro do Ativo</w:t>
            </w:r>
          </w:p>
        </w:tc>
        <w:tc>
          <w:tcPr>
            <w:tcW w:w="0" w:type="auto"/>
            <w:vAlign w:val="center"/>
            <w:hideMark/>
          </w:tcPr>
          <w:p w14:paraId="5CFA2E52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PMR</w:t>
            </w:r>
          </w:p>
        </w:tc>
        <w:tc>
          <w:tcPr>
            <w:tcW w:w="0" w:type="auto"/>
            <w:vAlign w:val="center"/>
            <w:hideMark/>
          </w:tcPr>
          <w:p w14:paraId="04CFF834" w14:textId="77777777" w:rsidR="0037164A" w:rsidRPr="0037164A" w:rsidRDefault="0037164A" w:rsidP="0037164A">
            <w:pPr>
              <w:rPr>
                <w:b/>
                <w:bCs/>
              </w:rPr>
            </w:pPr>
            <w:r w:rsidRPr="0037164A">
              <w:rPr>
                <w:b/>
                <w:bCs/>
              </w:rPr>
              <w:t>PMP</w:t>
            </w:r>
          </w:p>
        </w:tc>
      </w:tr>
      <w:tr w:rsidR="0037164A" w:rsidRPr="0037164A" w14:paraId="3435400C" w14:textId="77777777" w:rsidTr="0037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A0CAC" w14:textId="77777777" w:rsidR="0037164A" w:rsidRPr="0037164A" w:rsidRDefault="0037164A" w:rsidP="0037164A">
            <w:r w:rsidRPr="0037164A">
              <w:t>2021</w:t>
            </w:r>
          </w:p>
        </w:tc>
        <w:tc>
          <w:tcPr>
            <w:tcW w:w="0" w:type="auto"/>
            <w:vAlign w:val="center"/>
            <w:hideMark/>
          </w:tcPr>
          <w:p w14:paraId="7D951678" w14:textId="77777777" w:rsidR="0037164A" w:rsidRPr="0037164A" w:rsidRDefault="0037164A" w:rsidP="0037164A">
            <w:r w:rsidRPr="0037164A">
              <w:t>1.10</w:t>
            </w:r>
          </w:p>
        </w:tc>
        <w:tc>
          <w:tcPr>
            <w:tcW w:w="0" w:type="auto"/>
            <w:vAlign w:val="center"/>
            <w:hideMark/>
          </w:tcPr>
          <w:p w14:paraId="5B8C00B0" w14:textId="77777777" w:rsidR="0037164A" w:rsidRPr="0037164A" w:rsidRDefault="0037164A" w:rsidP="0037164A">
            <w:r w:rsidRPr="0037164A">
              <w:t>0.63</w:t>
            </w:r>
          </w:p>
        </w:tc>
        <w:tc>
          <w:tcPr>
            <w:tcW w:w="0" w:type="auto"/>
            <w:vAlign w:val="center"/>
            <w:hideMark/>
          </w:tcPr>
          <w:p w14:paraId="25034CF6" w14:textId="77777777" w:rsidR="0037164A" w:rsidRPr="0037164A" w:rsidRDefault="0037164A" w:rsidP="0037164A">
            <w:r w:rsidRPr="0037164A">
              <w:t>3.31</w:t>
            </w:r>
          </w:p>
        </w:tc>
        <w:tc>
          <w:tcPr>
            <w:tcW w:w="0" w:type="auto"/>
            <w:vAlign w:val="center"/>
            <w:hideMark/>
          </w:tcPr>
          <w:p w14:paraId="0AAC37DC" w14:textId="77777777" w:rsidR="0037164A" w:rsidRPr="0037164A" w:rsidRDefault="0037164A" w:rsidP="0037164A">
            <w:r w:rsidRPr="0037164A">
              <w:t>-59.54</w:t>
            </w:r>
          </w:p>
        </w:tc>
        <w:tc>
          <w:tcPr>
            <w:tcW w:w="0" w:type="auto"/>
            <w:vAlign w:val="center"/>
            <w:hideMark/>
          </w:tcPr>
          <w:p w14:paraId="0BE7B922" w14:textId="77777777" w:rsidR="0037164A" w:rsidRPr="0037164A" w:rsidRDefault="0037164A" w:rsidP="0037164A">
            <w:r w:rsidRPr="0037164A">
              <w:t>1.06</w:t>
            </w:r>
          </w:p>
        </w:tc>
        <w:tc>
          <w:tcPr>
            <w:tcW w:w="0" w:type="auto"/>
            <w:vAlign w:val="center"/>
            <w:hideMark/>
          </w:tcPr>
          <w:p w14:paraId="53B60865" w14:textId="77777777" w:rsidR="0037164A" w:rsidRPr="0037164A" w:rsidRDefault="0037164A" w:rsidP="0037164A">
            <w:r w:rsidRPr="0037164A">
              <w:t>70.38</w:t>
            </w:r>
          </w:p>
        </w:tc>
        <w:tc>
          <w:tcPr>
            <w:tcW w:w="0" w:type="auto"/>
            <w:vAlign w:val="center"/>
            <w:hideMark/>
          </w:tcPr>
          <w:p w14:paraId="096CE9A1" w14:textId="77777777" w:rsidR="0037164A" w:rsidRPr="0037164A" w:rsidRDefault="0037164A" w:rsidP="0037164A">
            <w:r w:rsidRPr="0037164A">
              <w:t>5.27</w:t>
            </w:r>
          </w:p>
        </w:tc>
        <w:tc>
          <w:tcPr>
            <w:tcW w:w="0" w:type="auto"/>
            <w:vAlign w:val="center"/>
            <w:hideMark/>
          </w:tcPr>
          <w:p w14:paraId="324B7E49" w14:textId="77777777" w:rsidR="0037164A" w:rsidRPr="0037164A" w:rsidRDefault="0037164A" w:rsidP="0037164A">
            <w:r w:rsidRPr="0037164A">
              <w:t>37.32</w:t>
            </w:r>
          </w:p>
        </w:tc>
        <w:tc>
          <w:tcPr>
            <w:tcW w:w="0" w:type="auto"/>
            <w:vAlign w:val="center"/>
            <w:hideMark/>
          </w:tcPr>
          <w:p w14:paraId="15388439" w14:textId="77777777" w:rsidR="0037164A" w:rsidRPr="0037164A" w:rsidRDefault="0037164A" w:rsidP="0037164A">
            <w:r w:rsidRPr="0037164A">
              <w:t>4.59</w:t>
            </w:r>
          </w:p>
        </w:tc>
      </w:tr>
      <w:tr w:rsidR="0037164A" w:rsidRPr="0037164A" w14:paraId="07DD0A67" w14:textId="77777777" w:rsidTr="0037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6CED1" w14:textId="77777777" w:rsidR="0037164A" w:rsidRPr="0037164A" w:rsidRDefault="0037164A" w:rsidP="0037164A">
            <w:r w:rsidRPr="0037164A">
              <w:lastRenderedPageBreak/>
              <w:t>2022</w:t>
            </w:r>
          </w:p>
        </w:tc>
        <w:tc>
          <w:tcPr>
            <w:tcW w:w="0" w:type="auto"/>
            <w:vAlign w:val="center"/>
            <w:hideMark/>
          </w:tcPr>
          <w:p w14:paraId="26992C8D" w14:textId="77777777" w:rsidR="0037164A" w:rsidRPr="0037164A" w:rsidRDefault="0037164A" w:rsidP="0037164A">
            <w:r w:rsidRPr="0037164A">
              <w:t>1.79</w:t>
            </w:r>
          </w:p>
        </w:tc>
        <w:tc>
          <w:tcPr>
            <w:tcW w:w="0" w:type="auto"/>
            <w:vAlign w:val="center"/>
            <w:hideMark/>
          </w:tcPr>
          <w:p w14:paraId="5D4EE42E" w14:textId="77777777" w:rsidR="0037164A" w:rsidRPr="0037164A" w:rsidRDefault="0037164A" w:rsidP="0037164A">
            <w:r w:rsidRPr="0037164A">
              <w:t>0.05</w:t>
            </w:r>
          </w:p>
        </w:tc>
        <w:tc>
          <w:tcPr>
            <w:tcW w:w="0" w:type="auto"/>
            <w:vAlign w:val="center"/>
            <w:hideMark/>
          </w:tcPr>
          <w:p w14:paraId="36949313" w14:textId="77777777" w:rsidR="0037164A" w:rsidRPr="0037164A" w:rsidRDefault="0037164A" w:rsidP="0037164A">
            <w:r w:rsidRPr="0037164A">
              <w:t>0.11</w:t>
            </w:r>
          </w:p>
        </w:tc>
        <w:tc>
          <w:tcPr>
            <w:tcW w:w="0" w:type="auto"/>
            <w:vAlign w:val="center"/>
            <w:hideMark/>
          </w:tcPr>
          <w:p w14:paraId="7CDB1BFC" w14:textId="77777777" w:rsidR="0037164A" w:rsidRPr="0037164A" w:rsidRDefault="0037164A" w:rsidP="0037164A">
            <w:r w:rsidRPr="0037164A">
              <w:t>1.49</w:t>
            </w:r>
          </w:p>
        </w:tc>
        <w:tc>
          <w:tcPr>
            <w:tcW w:w="0" w:type="auto"/>
            <w:vAlign w:val="center"/>
            <w:hideMark/>
          </w:tcPr>
          <w:p w14:paraId="7CCD9BD0" w14:textId="77777777" w:rsidR="0037164A" w:rsidRPr="0037164A" w:rsidRDefault="0037164A" w:rsidP="0037164A">
            <w:r w:rsidRPr="0037164A">
              <w:t>0.93</w:t>
            </w:r>
          </w:p>
        </w:tc>
        <w:tc>
          <w:tcPr>
            <w:tcW w:w="0" w:type="auto"/>
            <w:vAlign w:val="center"/>
            <w:hideMark/>
          </w:tcPr>
          <w:p w14:paraId="76DF71C5" w14:textId="77777777" w:rsidR="0037164A" w:rsidRPr="0037164A" w:rsidRDefault="0037164A" w:rsidP="0037164A">
            <w:r w:rsidRPr="0037164A">
              <w:t>2.44</w:t>
            </w:r>
          </w:p>
        </w:tc>
        <w:tc>
          <w:tcPr>
            <w:tcW w:w="0" w:type="auto"/>
            <w:vAlign w:val="center"/>
            <w:hideMark/>
          </w:tcPr>
          <w:p w14:paraId="751C9277" w14:textId="77777777" w:rsidR="0037164A" w:rsidRPr="0037164A" w:rsidRDefault="0037164A" w:rsidP="0037164A">
            <w:r w:rsidRPr="0037164A">
              <w:t>2.33</w:t>
            </w:r>
          </w:p>
        </w:tc>
        <w:tc>
          <w:tcPr>
            <w:tcW w:w="0" w:type="auto"/>
            <w:vAlign w:val="center"/>
            <w:hideMark/>
          </w:tcPr>
          <w:p w14:paraId="642BE1D4" w14:textId="77777777" w:rsidR="0037164A" w:rsidRPr="0037164A" w:rsidRDefault="0037164A" w:rsidP="0037164A">
            <w:r w:rsidRPr="0037164A">
              <w:t>113.15</w:t>
            </w:r>
          </w:p>
        </w:tc>
        <w:tc>
          <w:tcPr>
            <w:tcW w:w="0" w:type="auto"/>
            <w:vAlign w:val="center"/>
            <w:hideMark/>
          </w:tcPr>
          <w:p w14:paraId="028372F0" w14:textId="77777777" w:rsidR="0037164A" w:rsidRPr="0037164A" w:rsidRDefault="0037164A" w:rsidP="0037164A">
            <w:r w:rsidRPr="0037164A">
              <w:t>6.09</w:t>
            </w:r>
          </w:p>
        </w:tc>
      </w:tr>
      <w:tr w:rsidR="0037164A" w:rsidRPr="0037164A" w14:paraId="248403E5" w14:textId="77777777" w:rsidTr="0037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4C126" w14:textId="77777777" w:rsidR="0037164A" w:rsidRPr="0037164A" w:rsidRDefault="0037164A" w:rsidP="0037164A">
            <w:r w:rsidRPr="0037164A">
              <w:t>2023</w:t>
            </w:r>
          </w:p>
        </w:tc>
        <w:tc>
          <w:tcPr>
            <w:tcW w:w="0" w:type="auto"/>
            <w:vAlign w:val="center"/>
            <w:hideMark/>
          </w:tcPr>
          <w:p w14:paraId="73D2B452" w14:textId="77777777" w:rsidR="0037164A" w:rsidRPr="0037164A" w:rsidRDefault="0037164A" w:rsidP="0037164A">
            <w:r w:rsidRPr="0037164A">
              <w:t>2.06</w:t>
            </w:r>
          </w:p>
        </w:tc>
        <w:tc>
          <w:tcPr>
            <w:tcW w:w="0" w:type="auto"/>
            <w:vAlign w:val="center"/>
            <w:hideMark/>
          </w:tcPr>
          <w:p w14:paraId="755CA36C" w14:textId="77777777" w:rsidR="0037164A" w:rsidRPr="0037164A" w:rsidRDefault="0037164A" w:rsidP="0037164A">
            <w:r w:rsidRPr="0037164A">
              <w:t>0.10</w:t>
            </w:r>
          </w:p>
        </w:tc>
        <w:tc>
          <w:tcPr>
            <w:tcW w:w="0" w:type="auto"/>
            <w:vAlign w:val="center"/>
            <w:hideMark/>
          </w:tcPr>
          <w:p w14:paraId="7DF66D54" w14:textId="77777777" w:rsidR="0037164A" w:rsidRPr="0037164A" w:rsidRDefault="0037164A" w:rsidP="0037164A">
            <w:r w:rsidRPr="0037164A">
              <w:t>0.25</w:t>
            </w:r>
          </w:p>
        </w:tc>
        <w:tc>
          <w:tcPr>
            <w:tcW w:w="0" w:type="auto"/>
            <w:vAlign w:val="center"/>
            <w:hideMark/>
          </w:tcPr>
          <w:p w14:paraId="71CD1C89" w14:textId="77777777" w:rsidR="0037164A" w:rsidRPr="0037164A" w:rsidRDefault="0037164A" w:rsidP="0037164A">
            <w:r w:rsidRPr="0037164A">
              <w:t>0.84</w:t>
            </w:r>
          </w:p>
        </w:tc>
        <w:tc>
          <w:tcPr>
            <w:tcW w:w="0" w:type="auto"/>
            <w:vAlign w:val="center"/>
            <w:hideMark/>
          </w:tcPr>
          <w:p w14:paraId="64CC98B2" w14:textId="77777777" w:rsidR="0037164A" w:rsidRPr="0037164A" w:rsidRDefault="0037164A" w:rsidP="0037164A">
            <w:r w:rsidRPr="0037164A">
              <w:t>0.70</w:t>
            </w:r>
          </w:p>
        </w:tc>
        <w:tc>
          <w:tcPr>
            <w:tcW w:w="0" w:type="auto"/>
            <w:vAlign w:val="center"/>
            <w:hideMark/>
          </w:tcPr>
          <w:p w14:paraId="180AD848" w14:textId="77777777" w:rsidR="0037164A" w:rsidRPr="0037164A" w:rsidRDefault="0037164A" w:rsidP="0037164A">
            <w:r w:rsidRPr="0037164A">
              <w:t>6.44</w:t>
            </w:r>
          </w:p>
        </w:tc>
        <w:tc>
          <w:tcPr>
            <w:tcW w:w="0" w:type="auto"/>
            <w:vAlign w:val="center"/>
            <w:hideMark/>
          </w:tcPr>
          <w:p w14:paraId="7318000B" w14:textId="77777777" w:rsidR="0037164A" w:rsidRPr="0037164A" w:rsidRDefault="0037164A" w:rsidP="0037164A">
            <w:r w:rsidRPr="0037164A">
              <w:t>2.48</w:t>
            </w:r>
          </w:p>
        </w:tc>
        <w:tc>
          <w:tcPr>
            <w:tcW w:w="0" w:type="auto"/>
            <w:vAlign w:val="center"/>
            <w:hideMark/>
          </w:tcPr>
          <w:p w14:paraId="7AC6A78B" w14:textId="77777777" w:rsidR="0037164A" w:rsidRPr="0037164A" w:rsidRDefault="0037164A" w:rsidP="0037164A">
            <w:r w:rsidRPr="0037164A">
              <w:t>111.76</w:t>
            </w:r>
          </w:p>
        </w:tc>
        <w:tc>
          <w:tcPr>
            <w:tcW w:w="0" w:type="auto"/>
            <w:vAlign w:val="center"/>
            <w:hideMark/>
          </w:tcPr>
          <w:p w14:paraId="321681F3" w14:textId="77777777" w:rsidR="0037164A" w:rsidRPr="0037164A" w:rsidRDefault="0037164A" w:rsidP="0037164A">
            <w:r w:rsidRPr="0037164A">
              <w:t>3.25</w:t>
            </w:r>
          </w:p>
        </w:tc>
      </w:tr>
    </w:tbl>
    <w:p w14:paraId="77964001" w14:textId="77777777" w:rsidR="0037164A" w:rsidRPr="0037164A" w:rsidRDefault="0037164A" w:rsidP="0037164A">
      <w:pPr>
        <w:rPr>
          <w:b/>
          <w:bCs/>
        </w:rPr>
      </w:pPr>
      <w:r w:rsidRPr="0037164A">
        <w:rPr>
          <w:b/>
          <w:bCs/>
        </w:rPr>
        <w:t>Análise e Crítica:</w:t>
      </w:r>
    </w:p>
    <w:p w14:paraId="5A226212" w14:textId="77777777" w:rsidR="0037164A" w:rsidRPr="0037164A" w:rsidRDefault="0037164A" w:rsidP="0037164A">
      <w:pPr>
        <w:numPr>
          <w:ilvl w:val="0"/>
          <w:numId w:val="3"/>
        </w:numPr>
      </w:pPr>
      <w:r w:rsidRPr="0037164A">
        <w:rPr>
          <w:b/>
          <w:bCs/>
        </w:rPr>
        <w:t>Liquidez</w:t>
      </w:r>
      <w:r w:rsidRPr="0037164A">
        <w:t>: Melhorou ao longo do tempo, reduzindo riscos de insolvência.</w:t>
      </w:r>
    </w:p>
    <w:p w14:paraId="7419222E" w14:textId="77777777" w:rsidR="0037164A" w:rsidRPr="0037164A" w:rsidRDefault="0037164A" w:rsidP="0037164A">
      <w:pPr>
        <w:numPr>
          <w:ilvl w:val="0"/>
          <w:numId w:val="3"/>
        </w:numPr>
      </w:pPr>
      <w:r w:rsidRPr="0037164A">
        <w:rPr>
          <w:b/>
          <w:bCs/>
        </w:rPr>
        <w:t>Margem Líquida</w:t>
      </w:r>
      <w:r w:rsidRPr="0037164A">
        <w:t>: Muito baixa, indicando baixa rentabilidade operacional.</w:t>
      </w:r>
    </w:p>
    <w:p w14:paraId="03413028" w14:textId="77777777" w:rsidR="0037164A" w:rsidRPr="0037164A" w:rsidRDefault="0037164A" w:rsidP="0037164A">
      <w:pPr>
        <w:numPr>
          <w:ilvl w:val="0"/>
          <w:numId w:val="3"/>
        </w:numPr>
      </w:pPr>
      <w:r w:rsidRPr="0037164A">
        <w:rPr>
          <w:b/>
          <w:bCs/>
        </w:rPr>
        <w:t>ROA e ROE</w:t>
      </w:r>
      <w:r w:rsidRPr="0037164A">
        <w:t>: Indicadores de retorno baixos sugerem que a empresa precisa melhorar sua eficiência na geração de lucros.</w:t>
      </w:r>
    </w:p>
    <w:p w14:paraId="76E1224E" w14:textId="77777777" w:rsidR="0037164A" w:rsidRPr="0037164A" w:rsidRDefault="0037164A" w:rsidP="0037164A">
      <w:pPr>
        <w:numPr>
          <w:ilvl w:val="0"/>
          <w:numId w:val="3"/>
        </w:numPr>
      </w:pPr>
      <w:r w:rsidRPr="0037164A">
        <w:rPr>
          <w:b/>
          <w:bCs/>
        </w:rPr>
        <w:t>Endividamento</w:t>
      </w:r>
      <w:r w:rsidRPr="0037164A">
        <w:t>: Reduziu-se ao longo do tempo, um ponto positivo.</w:t>
      </w:r>
    </w:p>
    <w:p w14:paraId="35EDF7E2" w14:textId="77777777" w:rsidR="0037164A" w:rsidRPr="0037164A" w:rsidRDefault="0037164A" w:rsidP="0037164A">
      <w:pPr>
        <w:numPr>
          <w:ilvl w:val="0"/>
          <w:numId w:val="3"/>
        </w:numPr>
      </w:pPr>
      <w:r w:rsidRPr="0037164A">
        <w:rPr>
          <w:b/>
          <w:bCs/>
        </w:rPr>
        <w:t>Cobertura de Juros</w:t>
      </w:r>
      <w:r w:rsidRPr="0037164A">
        <w:t>: O nível é aceitável, mas houve oscilação significativa entre os anos.</w:t>
      </w:r>
    </w:p>
    <w:p w14:paraId="054B7917" w14:textId="77777777" w:rsidR="0037164A" w:rsidRPr="0037164A" w:rsidRDefault="0037164A" w:rsidP="0037164A">
      <w:r w:rsidRPr="0037164A">
        <w:pict w14:anchorId="4BC96521">
          <v:rect id="_x0000_i1071" style="width:0;height:1.5pt" o:hralign="center" o:hrstd="t" o:hr="t" fillcolor="#a0a0a0" stroked="f"/>
        </w:pict>
      </w:r>
    </w:p>
    <w:p w14:paraId="3B710E9E" w14:textId="77777777" w:rsidR="0037164A" w:rsidRPr="0037164A" w:rsidRDefault="0037164A" w:rsidP="0037164A">
      <w:pPr>
        <w:rPr>
          <w:b/>
          <w:bCs/>
        </w:rPr>
      </w:pPr>
      <w:r w:rsidRPr="0037164A">
        <w:rPr>
          <w:b/>
          <w:bCs/>
        </w:rPr>
        <w:t>5. ANÁLISE DOS FINSCORES E SERASA SCORE</w:t>
      </w:r>
    </w:p>
    <w:p w14:paraId="7B4AA421" w14:textId="77777777" w:rsidR="0037164A" w:rsidRPr="0037164A" w:rsidRDefault="0037164A" w:rsidP="0037164A">
      <w:pPr>
        <w:numPr>
          <w:ilvl w:val="0"/>
          <w:numId w:val="4"/>
        </w:numPr>
      </w:pPr>
      <w:proofErr w:type="spellStart"/>
      <w:r w:rsidRPr="0037164A">
        <w:rPr>
          <w:b/>
          <w:bCs/>
        </w:rPr>
        <w:t>FinScore</w:t>
      </w:r>
      <w:proofErr w:type="spellEnd"/>
      <w:r w:rsidRPr="0037164A">
        <w:rPr>
          <w:b/>
          <w:bCs/>
        </w:rPr>
        <w:t xml:space="preserve"> Bruto:</w:t>
      </w:r>
      <w:r w:rsidRPr="0037164A">
        <w:t xml:space="preserve"> 0.90 (</w:t>
      </w:r>
      <w:r w:rsidRPr="0037164A">
        <w:rPr>
          <w:b/>
          <w:bCs/>
        </w:rPr>
        <w:t>Neutro</w:t>
      </w:r>
      <w:r w:rsidRPr="0037164A">
        <w:t>)</w:t>
      </w:r>
    </w:p>
    <w:p w14:paraId="798772EE" w14:textId="77777777" w:rsidR="0037164A" w:rsidRPr="0037164A" w:rsidRDefault="0037164A" w:rsidP="0037164A">
      <w:pPr>
        <w:numPr>
          <w:ilvl w:val="0"/>
          <w:numId w:val="4"/>
        </w:numPr>
      </w:pPr>
      <w:proofErr w:type="spellStart"/>
      <w:r w:rsidRPr="0037164A">
        <w:rPr>
          <w:b/>
          <w:bCs/>
        </w:rPr>
        <w:t>FinScore</w:t>
      </w:r>
      <w:proofErr w:type="spellEnd"/>
      <w:r w:rsidRPr="0037164A">
        <w:rPr>
          <w:b/>
          <w:bCs/>
        </w:rPr>
        <w:t xml:space="preserve"> Ajustado:</w:t>
      </w:r>
      <w:r w:rsidRPr="0037164A">
        <w:t xml:space="preserve"> 725 (</w:t>
      </w:r>
      <w:r w:rsidRPr="0037164A">
        <w:rPr>
          <w:b/>
          <w:bCs/>
        </w:rPr>
        <w:t>Levemente Abaixo do Risco</w:t>
      </w:r>
      <w:r w:rsidRPr="0037164A">
        <w:t>)</w:t>
      </w:r>
    </w:p>
    <w:p w14:paraId="5C5118DC" w14:textId="77777777" w:rsidR="0037164A" w:rsidRPr="0037164A" w:rsidRDefault="0037164A" w:rsidP="0037164A">
      <w:pPr>
        <w:numPr>
          <w:ilvl w:val="0"/>
          <w:numId w:val="4"/>
        </w:numPr>
      </w:pPr>
      <w:proofErr w:type="spellStart"/>
      <w:r w:rsidRPr="0037164A">
        <w:rPr>
          <w:b/>
          <w:bCs/>
        </w:rPr>
        <w:t>FinScore</w:t>
      </w:r>
      <w:proofErr w:type="spellEnd"/>
      <w:r w:rsidRPr="0037164A">
        <w:rPr>
          <w:b/>
          <w:bCs/>
        </w:rPr>
        <w:t xml:space="preserve"> Final:</w:t>
      </w:r>
      <w:r w:rsidRPr="0037164A">
        <w:t xml:space="preserve"> 1000 (</w:t>
      </w:r>
      <w:r w:rsidRPr="0037164A">
        <w:rPr>
          <w:b/>
          <w:bCs/>
        </w:rPr>
        <w:t>Muito Abaixo do Risco</w:t>
      </w:r>
      <w:r w:rsidRPr="0037164A">
        <w:t>)</w:t>
      </w:r>
    </w:p>
    <w:p w14:paraId="2E338844" w14:textId="77777777" w:rsidR="0037164A" w:rsidRPr="0037164A" w:rsidRDefault="0037164A" w:rsidP="0037164A">
      <w:pPr>
        <w:numPr>
          <w:ilvl w:val="0"/>
          <w:numId w:val="4"/>
        </w:numPr>
      </w:pPr>
      <w:r w:rsidRPr="0037164A">
        <w:rPr>
          <w:b/>
          <w:bCs/>
        </w:rPr>
        <w:t>Serasa Score:</w:t>
      </w:r>
      <w:r w:rsidRPr="0037164A">
        <w:t xml:space="preserve"> 773 (</w:t>
      </w:r>
      <w:r w:rsidRPr="0037164A">
        <w:rPr>
          <w:b/>
          <w:bCs/>
        </w:rPr>
        <w:t>Muito Abaixo do Risco</w:t>
      </w:r>
      <w:r w:rsidRPr="0037164A">
        <w:t>)</w:t>
      </w:r>
    </w:p>
    <w:p w14:paraId="09FF521A" w14:textId="77777777" w:rsidR="0037164A" w:rsidRPr="0037164A" w:rsidRDefault="0037164A" w:rsidP="0037164A">
      <w:r w:rsidRPr="0037164A">
        <w:t xml:space="preserve">A análise combinada dos scores indica que a empresa apresenta um </w:t>
      </w:r>
      <w:r w:rsidRPr="0037164A">
        <w:rPr>
          <w:b/>
          <w:bCs/>
        </w:rPr>
        <w:t>baixo risco de crédito</w:t>
      </w:r>
      <w:r w:rsidRPr="0037164A">
        <w:t>, apesar de alguns desafios financeiros.</w:t>
      </w:r>
    </w:p>
    <w:p w14:paraId="22FD682B" w14:textId="77777777" w:rsidR="0037164A" w:rsidRPr="0037164A" w:rsidRDefault="0037164A" w:rsidP="0037164A">
      <w:r w:rsidRPr="0037164A">
        <w:pict w14:anchorId="08397FAE">
          <v:rect id="_x0000_i1072" style="width:0;height:1.5pt" o:hralign="center" o:hrstd="t" o:hr="t" fillcolor="#a0a0a0" stroked="f"/>
        </w:pict>
      </w:r>
    </w:p>
    <w:p w14:paraId="6E92005A" w14:textId="77777777" w:rsidR="0037164A" w:rsidRPr="0037164A" w:rsidRDefault="0037164A" w:rsidP="0037164A">
      <w:pPr>
        <w:rPr>
          <w:b/>
          <w:bCs/>
        </w:rPr>
      </w:pPr>
      <w:r w:rsidRPr="0037164A">
        <w:rPr>
          <w:b/>
          <w:bCs/>
        </w:rPr>
        <w:t>6. VEREDICTO FINAL</w:t>
      </w:r>
    </w:p>
    <w:p w14:paraId="72246884" w14:textId="77777777" w:rsidR="0037164A" w:rsidRPr="0037164A" w:rsidRDefault="0037164A" w:rsidP="0037164A">
      <w:r w:rsidRPr="0037164A">
        <w:t xml:space="preserve">Com base na análise financeira e no </w:t>
      </w:r>
      <w:proofErr w:type="spellStart"/>
      <w:r w:rsidRPr="0037164A">
        <w:t>FinScore</w:t>
      </w:r>
      <w:proofErr w:type="spellEnd"/>
      <w:r w:rsidRPr="0037164A">
        <w:t xml:space="preserve">, a </w:t>
      </w:r>
      <w:r w:rsidRPr="0037164A">
        <w:rPr>
          <w:b/>
          <w:bCs/>
        </w:rPr>
        <w:t>EVERYMIND SISTEMAS</w:t>
      </w:r>
      <w:r w:rsidRPr="0037164A">
        <w:t xml:space="preserve"> apresenta condições favoráveis para a concessão de crédito. Apesar de algumas inconsistências nos índices financeiros, a melhoria da liquidez e a redução do endividamento indicam uma situação gerenciável.</w:t>
      </w:r>
    </w:p>
    <w:p w14:paraId="79CA787A" w14:textId="77777777" w:rsidR="0037164A" w:rsidRPr="0037164A" w:rsidRDefault="0037164A" w:rsidP="0037164A">
      <w:r w:rsidRPr="0037164A">
        <w:rPr>
          <w:b/>
          <w:bCs/>
        </w:rPr>
        <w:t>Recomendação:</w:t>
      </w:r>
      <w:r w:rsidRPr="0037164A">
        <w:t xml:space="preserve"> Concessão de crédito com acompanhamento periódico.</w:t>
      </w:r>
    </w:p>
    <w:p w14:paraId="677CC925" w14:textId="77777777" w:rsidR="0037164A" w:rsidRPr="0037164A" w:rsidRDefault="0037164A" w:rsidP="0037164A">
      <w:r w:rsidRPr="0037164A">
        <w:lastRenderedPageBreak/>
        <w:pict w14:anchorId="20E3DDC6">
          <v:rect id="_x0000_i1073" style="width:0;height:1.5pt" o:hralign="center" o:hrstd="t" o:hr="t" fillcolor="#a0a0a0" stroked="f"/>
        </w:pict>
      </w:r>
    </w:p>
    <w:p w14:paraId="393D6EC7" w14:textId="77777777" w:rsidR="0037164A" w:rsidRPr="0037164A" w:rsidRDefault="0037164A" w:rsidP="0037164A">
      <w:pPr>
        <w:rPr>
          <w:b/>
          <w:bCs/>
        </w:rPr>
      </w:pPr>
      <w:r w:rsidRPr="0037164A">
        <w:rPr>
          <w:b/>
          <w:bCs/>
        </w:rPr>
        <w:t>7. RECOMENDAÇÕES PARA MITIGAÇÃO DE RISCOS</w:t>
      </w:r>
    </w:p>
    <w:p w14:paraId="04CF9613" w14:textId="77777777" w:rsidR="0037164A" w:rsidRPr="0037164A" w:rsidRDefault="0037164A" w:rsidP="0037164A">
      <w:pPr>
        <w:numPr>
          <w:ilvl w:val="0"/>
          <w:numId w:val="5"/>
        </w:numPr>
      </w:pPr>
      <w:r w:rsidRPr="0037164A">
        <w:t>Exigir garantias reais para minimizar riscos.</w:t>
      </w:r>
    </w:p>
    <w:p w14:paraId="2ABCF8D9" w14:textId="77777777" w:rsidR="0037164A" w:rsidRPr="0037164A" w:rsidRDefault="0037164A" w:rsidP="0037164A">
      <w:pPr>
        <w:numPr>
          <w:ilvl w:val="0"/>
          <w:numId w:val="5"/>
        </w:numPr>
      </w:pPr>
      <w:r w:rsidRPr="0037164A">
        <w:t>Definir um limite de crédito adequado à capacidade da empresa.</w:t>
      </w:r>
    </w:p>
    <w:p w14:paraId="2EA35B2C" w14:textId="77777777" w:rsidR="0037164A" w:rsidRPr="0037164A" w:rsidRDefault="0037164A" w:rsidP="0037164A">
      <w:pPr>
        <w:numPr>
          <w:ilvl w:val="0"/>
          <w:numId w:val="5"/>
        </w:numPr>
      </w:pPr>
      <w:r w:rsidRPr="0037164A">
        <w:t>Monitoramento contínuo dos índices financeiros.</w:t>
      </w:r>
    </w:p>
    <w:p w14:paraId="4BED859E" w14:textId="77777777" w:rsidR="0037164A" w:rsidRPr="0037164A" w:rsidRDefault="0037164A" w:rsidP="0037164A">
      <w:r w:rsidRPr="0037164A">
        <w:rPr>
          <w:b/>
          <w:bCs/>
        </w:rPr>
        <w:t>Parecer elaborado por:</w:t>
      </w:r>
      <w:r w:rsidRPr="0037164A">
        <w:t xml:space="preserve"> </w:t>
      </w:r>
      <w:r w:rsidRPr="0037164A">
        <w:rPr>
          <w:i/>
          <w:iCs/>
        </w:rPr>
        <w:t>(Nome do Analista)</w:t>
      </w:r>
      <w:r w:rsidRPr="0037164A">
        <w:t xml:space="preserve"> </w:t>
      </w:r>
      <w:r w:rsidRPr="0037164A">
        <w:rPr>
          <w:i/>
          <w:iCs/>
        </w:rPr>
        <w:t>(Data)</w:t>
      </w:r>
    </w:p>
    <w:p w14:paraId="76E6249A" w14:textId="77777777" w:rsidR="00206FCD" w:rsidRDefault="00206FCD"/>
    <w:sectPr w:rsidR="00206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203E"/>
    <w:multiLevelType w:val="multilevel"/>
    <w:tmpl w:val="3994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C51"/>
    <w:multiLevelType w:val="multilevel"/>
    <w:tmpl w:val="4E0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77104"/>
    <w:multiLevelType w:val="multilevel"/>
    <w:tmpl w:val="DA10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11AE0"/>
    <w:multiLevelType w:val="multilevel"/>
    <w:tmpl w:val="9200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F5F6A"/>
    <w:multiLevelType w:val="multilevel"/>
    <w:tmpl w:val="649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24834">
    <w:abstractNumId w:val="4"/>
  </w:num>
  <w:num w:numId="2" w16cid:durableId="1958371536">
    <w:abstractNumId w:val="3"/>
  </w:num>
  <w:num w:numId="3" w16cid:durableId="1598251561">
    <w:abstractNumId w:val="0"/>
  </w:num>
  <w:num w:numId="4" w16cid:durableId="1691176678">
    <w:abstractNumId w:val="2"/>
  </w:num>
  <w:num w:numId="5" w16cid:durableId="79837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4A"/>
    <w:rsid w:val="00206FCD"/>
    <w:rsid w:val="0037164A"/>
    <w:rsid w:val="0071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1984"/>
  <w15:chartTrackingRefBased/>
  <w15:docId w15:val="{EC0A7890-02E9-419E-9398-BACC038C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1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1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1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1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1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1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1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1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1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1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1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1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16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16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16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16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16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16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1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1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1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1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16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16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16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1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16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1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1</cp:revision>
  <dcterms:created xsi:type="dcterms:W3CDTF">2025-03-07T05:38:00Z</dcterms:created>
  <dcterms:modified xsi:type="dcterms:W3CDTF">2025-03-07T05:39:00Z</dcterms:modified>
</cp:coreProperties>
</file>