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F180" w14:textId="77777777" w:rsidR="00095D95" w:rsidRPr="00095D95" w:rsidRDefault="00095D95" w:rsidP="00095D95">
      <w:r w:rsidRPr="00095D95">
        <w:rPr>
          <w:b/>
          <w:bCs/>
        </w:rPr>
        <w:t>PARECER DE ANÁLISE DE CRÉDITO</w:t>
      </w:r>
    </w:p>
    <w:p w14:paraId="07F77739" w14:textId="77777777" w:rsidR="00095D95" w:rsidRPr="00095D95" w:rsidRDefault="00095D95" w:rsidP="00095D95">
      <w:r w:rsidRPr="00095D95">
        <w:pict w14:anchorId="46B466CC">
          <v:rect id="_x0000_i1061" style="width:0;height:1.5pt" o:hralign="center" o:hrstd="t" o:hr="t" fillcolor="#a0a0a0" stroked="f"/>
        </w:pict>
      </w:r>
    </w:p>
    <w:p w14:paraId="3BA57044" w14:textId="77777777" w:rsidR="00095D95" w:rsidRPr="00095D95" w:rsidRDefault="00095D95" w:rsidP="00095D95">
      <w:r w:rsidRPr="00095D95">
        <w:rPr>
          <w:b/>
          <w:bCs/>
        </w:rPr>
        <w:t>1. INTRODUÇÃO</w:t>
      </w:r>
    </w:p>
    <w:p w14:paraId="54D0C123" w14:textId="77777777" w:rsidR="00095D95" w:rsidRPr="00095D95" w:rsidRDefault="00095D95" w:rsidP="00095D95">
      <w:r w:rsidRPr="00095D95">
        <w:t xml:space="preserve">Este parecer tem como objetivo fornecer uma análise detalhada da situação financeira da empresa </w:t>
      </w:r>
      <w:r w:rsidRPr="00095D95">
        <w:rPr>
          <w:b/>
          <w:bCs/>
        </w:rPr>
        <w:t>TRACTOR TERRA PECAS TRATORES</w:t>
      </w:r>
      <w:r w:rsidRPr="00095D95">
        <w:t xml:space="preserve">, com base nos dados contábeis, índices financeiros e classificação final do </w:t>
      </w:r>
      <w:proofErr w:type="spellStart"/>
      <w:r w:rsidRPr="00095D95">
        <w:rPr>
          <w:b/>
          <w:bCs/>
        </w:rPr>
        <w:t>FinScore</w:t>
      </w:r>
      <w:proofErr w:type="spellEnd"/>
      <w:r w:rsidRPr="00095D95">
        <w:t xml:space="preserve">. O período da análise compreende os anos de </w:t>
      </w:r>
      <w:r w:rsidRPr="00095D95">
        <w:rPr>
          <w:b/>
          <w:bCs/>
        </w:rPr>
        <w:t>2021 a 2023</w:t>
      </w:r>
      <w:r w:rsidRPr="00095D95">
        <w:t>, e serão avaliados os principais indicadores contábeis e financeiros da empresa para determinar sua viabilidade na concessão de crédito.</w:t>
      </w:r>
    </w:p>
    <w:p w14:paraId="678E2CC9" w14:textId="77777777" w:rsidR="00095D95" w:rsidRPr="00095D95" w:rsidRDefault="00095D95" w:rsidP="00095D95">
      <w:r w:rsidRPr="00095D95">
        <w:pict w14:anchorId="11D884BE">
          <v:rect id="_x0000_i1062" style="width:0;height:1.5pt" o:hralign="center" o:hrstd="t" o:hr="t" fillcolor="#a0a0a0" stroked="f"/>
        </w:pict>
      </w:r>
    </w:p>
    <w:p w14:paraId="54590963" w14:textId="77777777" w:rsidR="00095D95" w:rsidRPr="00095D95" w:rsidRDefault="00095D95" w:rsidP="00095D95">
      <w:r w:rsidRPr="00095D95">
        <w:rPr>
          <w:b/>
          <w:bCs/>
        </w:rPr>
        <w:t>2. METODOLOGIA</w:t>
      </w:r>
    </w:p>
    <w:p w14:paraId="76CA0A28" w14:textId="77777777" w:rsidR="00095D95" w:rsidRPr="00095D95" w:rsidRDefault="00095D95" w:rsidP="00095D95">
      <w:r w:rsidRPr="00095D95">
        <w:t xml:space="preserve">A metodologia utilizada para esta análise segue as diretrizes do </w:t>
      </w:r>
      <w:proofErr w:type="spellStart"/>
      <w:r w:rsidRPr="00095D95">
        <w:rPr>
          <w:b/>
          <w:bCs/>
        </w:rPr>
        <w:t>FinScore</w:t>
      </w:r>
      <w:proofErr w:type="spellEnd"/>
      <w:r w:rsidRPr="00095D95">
        <w:t>, um indicador consolidado que avalia a saúde financeira da empresa através de técnicas estatísticas avançadas, considerando:</w:t>
      </w:r>
    </w:p>
    <w:p w14:paraId="3FF48FA6" w14:textId="77777777" w:rsidR="00095D95" w:rsidRPr="00095D95" w:rsidRDefault="00095D95" w:rsidP="00095D95">
      <w:pPr>
        <w:numPr>
          <w:ilvl w:val="0"/>
          <w:numId w:val="1"/>
        </w:numPr>
      </w:pPr>
      <w:proofErr w:type="spellStart"/>
      <w:r w:rsidRPr="00095D95">
        <w:rPr>
          <w:b/>
          <w:bCs/>
        </w:rPr>
        <w:t>FinScore</w:t>
      </w:r>
      <w:proofErr w:type="spellEnd"/>
      <w:r w:rsidRPr="00095D95">
        <w:rPr>
          <w:b/>
          <w:bCs/>
        </w:rPr>
        <w:t xml:space="preserve"> Bruto:</w:t>
      </w:r>
      <w:r w:rsidRPr="00095D95">
        <w:t xml:space="preserve"> Obtido pela soma ponderada dos componentes principais do PCA (Análise de Componentes Principais), variando entre -2 e +2.</w:t>
      </w:r>
    </w:p>
    <w:p w14:paraId="2437BB88" w14:textId="77777777" w:rsidR="00095D95" w:rsidRPr="00095D95" w:rsidRDefault="00095D95" w:rsidP="00095D95">
      <w:pPr>
        <w:numPr>
          <w:ilvl w:val="0"/>
          <w:numId w:val="1"/>
        </w:numPr>
      </w:pPr>
      <w:proofErr w:type="spellStart"/>
      <w:r w:rsidRPr="00095D95">
        <w:rPr>
          <w:b/>
          <w:bCs/>
        </w:rPr>
        <w:t>FinScore</w:t>
      </w:r>
      <w:proofErr w:type="spellEnd"/>
      <w:r w:rsidRPr="00095D95">
        <w:rPr>
          <w:b/>
          <w:bCs/>
        </w:rPr>
        <w:t xml:space="preserve"> Ajustado:</w:t>
      </w:r>
      <w:r w:rsidRPr="00095D95">
        <w:t xml:space="preserve"> Conversão do </w:t>
      </w:r>
      <w:proofErr w:type="spellStart"/>
      <w:r w:rsidRPr="00095D95">
        <w:t>FinScore</w:t>
      </w:r>
      <w:proofErr w:type="spellEnd"/>
      <w:r w:rsidRPr="00095D95">
        <w:t xml:space="preserve"> Bruto para uma escala de 0 a 1000.</w:t>
      </w:r>
    </w:p>
    <w:p w14:paraId="09221D49" w14:textId="77777777" w:rsidR="00095D95" w:rsidRPr="00095D95" w:rsidRDefault="00095D95" w:rsidP="00095D95">
      <w:pPr>
        <w:numPr>
          <w:ilvl w:val="0"/>
          <w:numId w:val="1"/>
        </w:numPr>
      </w:pPr>
      <w:proofErr w:type="spellStart"/>
      <w:r w:rsidRPr="00095D95">
        <w:rPr>
          <w:b/>
          <w:bCs/>
        </w:rPr>
        <w:t>FinScore</w:t>
      </w:r>
      <w:proofErr w:type="spellEnd"/>
      <w:r w:rsidRPr="00095D95">
        <w:rPr>
          <w:b/>
          <w:bCs/>
        </w:rPr>
        <w:t xml:space="preserve"> Final:</w:t>
      </w:r>
      <w:r w:rsidRPr="00095D95">
        <w:t xml:space="preserve"> Combinação do </w:t>
      </w:r>
      <w:proofErr w:type="spellStart"/>
      <w:r w:rsidRPr="00095D95">
        <w:t>FinScore</w:t>
      </w:r>
      <w:proofErr w:type="spellEnd"/>
      <w:r w:rsidRPr="00095D95">
        <w:t xml:space="preserve"> Ajustado com o </w:t>
      </w:r>
      <w:r w:rsidRPr="00095D95">
        <w:rPr>
          <w:b/>
          <w:bCs/>
        </w:rPr>
        <w:t>Serasa Score</w:t>
      </w:r>
      <w:r w:rsidRPr="00095D95">
        <w:t>, refletindo tanto a análise contábil quanto o risco de crédito de mercado.</w:t>
      </w:r>
    </w:p>
    <w:p w14:paraId="7CCA3AEE" w14:textId="77777777" w:rsidR="00095D95" w:rsidRPr="00095D95" w:rsidRDefault="00095D95" w:rsidP="00095D95">
      <w:r w:rsidRPr="00095D95">
        <w:t xml:space="preserve">A classificação do </w:t>
      </w:r>
      <w:proofErr w:type="spellStart"/>
      <w:r w:rsidRPr="00095D95">
        <w:rPr>
          <w:b/>
          <w:bCs/>
        </w:rPr>
        <w:t>FinScore</w:t>
      </w:r>
      <w:proofErr w:type="spellEnd"/>
      <w:r w:rsidRPr="00095D95">
        <w:rPr>
          <w:b/>
          <w:bCs/>
        </w:rPr>
        <w:t xml:space="preserve"> Final</w:t>
      </w:r>
      <w:r w:rsidRPr="00095D95">
        <w:t xml:space="preserve"> varia conforme a seguinte tabela: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905"/>
      </w:tblGrid>
      <w:tr w:rsidR="00095D95" w:rsidRPr="00095D95" w14:paraId="28E69A5F" w14:textId="77777777" w:rsidTr="00095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43AC40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Intervalo do Escore</w:t>
            </w:r>
          </w:p>
        </w:tc>
        <w:tc>
          <w:tcPr>
            <w:tcW w:w="0" w:type="auto"/>
            <w:vAlign w:val="center"/>
            <w:hideMark/>
          </w:tcPr>
          <w:p w14:paraId="403413C1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Categoria</w:t>
            </w:r>
          </w:p>
        </w:tc>
      </w:tr>
      <w:tr w:rsidR="00095D95" w:rsidRPr="00095D95" w14:paraId="24FB8A15" w14:textId="77777777" w:rsidTr="00095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CFE63" w14:textId="77777777" w:rsidR="00095D95" w:rsidRPr="00095D95" w:rsidRDefault="00095D95" w:rsidP="00095D95">
            <w:r w:rsidRPr="00095D95">
              <w:t>escore &gt; 750</w:t>
            </w:r>
          </w:p>
        </w:tc>
        <w:tc>
          <w:tcPr>
            <w:tcW w:w="0" w:type="auto"/>
            <w:vAlign w:val="center"/>
            <w:hideMark/>
          </w:tcPr>
          <w:p w14:paraId="3A77E791" w14:textId="77777777" w:rsidR="00095D95" w:rsidRPr="00095D95" w:rsidRDefault="00095D95" w:rsidP="00095D95">
            <w:r w:rsidRPr="00095D95">
              <w:t>Muito Abaixo do Risco</w:t>
            </w:r>
          </w:p>
        </w:tc>
      </w:tr>
      <w:tr w:rsidR="00095D95" w:rsidRPr="00095D95" w14:paraId="258A05C5" w14:textId="77777777" w:rsidTr="00095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D0A63" w14:textId="77777777" w:rsidR="00095D95" w:rsidRPr="00095D95" w:rsidRDefault="00095D95" w:rsidP="00095D95">
            <w:r w:rsidRPr="00095D95">
              <w:t>500 &lt; escore ≤ 750</w:t>
            </w:r>
          </w:p>
        </w:tc>
        <w:tc>
          <w:tcPr>
            <w:tcW w:w="0" w:type="auto"/>
            <w:vAlign w:val="center"/>
            <w:hideMark/>
          </w:tcPr>
          <w:p w14:paraId="00B4721A" w14:textId="77777777" w:rsidR="00095D95" w:rsidRPr="00095D95" w:rsidRDefault="00095D95" w:rsidP="00095D95">
            <w:r w:rsidRPr="00095D95">
              <w:t>Levemente Abaixo do Risco</w:t>
            </w:r>
          </w:p>
        </w:tc>
      </w:tr>
      <w:tr w:rsidR="00095D95" w:rsidRPr="00095D95" w14:paraId="5BB8CE19" w14:textId="77777777" w:rsidTr="00095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C247E" w14:textId="77777777" w:rsidR="00095D95" w:rsidRPr="00095D95" w:rsidRDefault="00095D95" w:rsidP="00095D95">
            <w:r w:rsidRPr="00095D95">
              <w:t>250 ≤ escore ≤ 500</w:t>
            </w:r>
          </w:p>
        </w:tc>
        <w:tc>
          <w:tcPr>
            <w:tcW w:w="0" w:type="auto"/>
            <w:vAlign w:val="center"/>
            <w:hideMark/>
          </w:tcPr>
          <w:p w14:paraId="5BE0D784" w14:textId="77777777" w:rsidR="00095D95" w:rsidRPr="00095D95" w:rsidRDefault="00095D95" w:rsidP="00095D95">
            <w:r w:rsidRPr="00095D95">
              <w:t>Neutro</w:t>
            </w:r>
          </w:p>
        </w:tc>
      </w:tr>
      <w:tr w:rsidR="00095D95" w:rsidRPr="00095D95" w14:paraId="0D74E268" w14:textId="77777777" w:rsidTr="00095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78B8B" w14:textId="77777777" w:rsidR="00095D95" w:rsidRPr="00095D95" w:rsidRDefault="00095D95" w:rsidP="00095D95">
            <w:r w:rsidRPr="00095D95">
              <w:t>100 &lt; escore &lt; 250</w:t>
            </w:r>
          </w:p>
        </w:tc>
        <w:tc>
          <w:tcPr>
            <w:tcW w:w="0" w:type="auto"/>
            <w:vAlign w:val="center"/>
            <w:hideMark/>
          </w:tcPr>
          <w:p w14:paraId="11413402" w14:textId="77777777" w:rsidR="00095D95" w:rsidRPr="00095D95" w:rsidRDefault="00095D95" w:rsidP="00095D95">
            <w:r w:rsidRPr="00095D95">
              <w:t>Levemente Acima do Risco</w:t>
            </w:r>
          </w:p>
        </w:tc>
      </w:tr>
      <w:tr w:rsidR="00095D95" w:rsidRPr="00095D95" w14:paraId="2372CBC0" w14:textId="77777777" w:rsidTr="00095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E73AA" w14:textId="77777777" w:rsidR="00095D95" w:rsidRPr="00095D95" w:rsidRDefault="00095D95" w:rsidP="00095D95">
            <w:r w:rsidRPr="00095D95">
              <w:t>escore ≤ 100</w:t>
            </w:r>
          </w:p>
        </w:tc>
        <w:tc>
          <w:tcPr>
            <w:tcW w:w="0" w:type="auto"/>
            <w:vAlign w:val="center"/>
            <w:hideMark/>
          </w:tcPr>
          <w:p w14:paraId="23483054" w14:textId="77777777" w:rsidR="00095D95" w:rsidRPr="00095D95" w:rsidRDefault="00095D95" w:rsidP="00095D95">
            <w:r w:rsidRPr="00095D95">
              <w:t>Muito Acima do Risco</w:t>
            </w:r>
          </w:p>
        </w:tc>
      </w:tr>
    </w:tbl>
    <w:p w14:paraId="05FF584D" w14:textId="77777777" w:rsidR="00095D95" w:rsidRPr="00095D95" w:rsidRDefault="00095D95" w:rsidP="00095D95">
      <w:r w:rsidRPr="00095D95">
        <w:t xml:space="preserve">O </w:t>
      </w:r>
      <w:r w:rsidRPr="00095D95">
        <w:rPr>
          <w:b/>
          <w:bCs/>
        </w:rPr>
        <w:t>Serasa Score</w:t>
      </w:r>
      <w:r w:rsidRPr="00095D95">
        <w:t xml:space="preserve"> é utilizado para complementar a análise, refletindo o comportamento de pagamento da empresa no mercado.</w:t>
      </w:r>
    </w:p>
    <w:p w14:paraId="2FEB2364" w14:textId="77777777" w:rsidR="00095D95" w:rsidRPr="00095D95" w:rsidRDefault="00095D95" w:rsidP="00095D95">
      <w:r w:rsidRPr="00095D95">
        <w:pict w14:anchorId="3A691E54">
          <v:rect id="_x0000_i1063" style="width:0;height:1.5pt" o:hralign="center" o:hrstd="t" o:hr="t" fillcolor="#a0a0a0" stroked="f"/>
        </w:pict>
      </w:r>
    </w:p>
    <w:p w14:paraId="6AB98D9D" w14:textId="77777777" w:rsidR="00095D95" w:rsidRPr="00095D95" w:rsidRDefault="00095D95" w:rsidP="00095D95">
      <w:r w:rsidRPr="00095D95">
        <w:rPr>
          <w:b/>
          <w:bCs/>
        </w:rPr>
        <w:t>3. ANÁLISE DOS DADOS CONTÁBEIS</w:t>
      </w:r>
    </w:p>
    <w:p w14:paraId="6B7ABB84" w14:textId="77777777" w:rsidR="00095D95" w:rsidRPr="00095D95" w:rsidRDefault="00095D95" w:rsidP="00095D95">
      <w:r w:rsidRPr="00095D95">
        <w:lastRenderedPageBreak/>
        <w:t>Os dados contábeis extraídos para a análise financeira são apresentados na tabela abaixo: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629"/>
        <w:gridCol w:w="629"/>
        <w:gridCol w:w="629"/>
        <w:gridCol w:w="628"/>
        <w:gridCol w:w="677"/>
        <w:gridCol w:w="677"/>
        <w:gridCol w:w="628"/>
        <w:gridCol w:w="628"/>
        <w:gridCol w:w="628"/>
        <w:gridCol w:w="580"/>
        <w:gridCol w:w="628"/>
        <w:gridCol w:w="628"/>
        <w:gridCol w:w="643"/>
      </w:tblGrid>
      <w:tr w:rsidR="00095D95" w:rsidRPr="00095D95" w14:paraId="172165C1" w14:textId="77777777" w:rsidTr="00095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789DFA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14:paraId="545176BB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Ativo Circulante</w:t>
            </w:r>
          </w:p>
        </w:tc>
        <w:tc>
          <w:tcPr>
            <w:tcW w:w="0" w:type="auto"/>
            <w:vAlign w:val="center"/>
            <w:hideMark/>
          </w:tcPr>
          <w:p w14:paraId="5444C7E3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Passivo Circulante</w:t>
            </w:r>
          </w:p>
        </w:tc>
        <w:tc>
          <w:tcPr>
            <w:tcW w:w="0" w:type="auto"/>
            <w:vAlign w:val="center"/>
            <w:hideMark/>
          </w:tcPr>
          <w:p w14:paraId="6DB53524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Estoques</w:t>
            </w:r>
          </w:p>
        </w:tc>
        <w:tc>
          <w:tcPr>
            <w:tcW w:w="0" w:type="auto"/>
            <w:vAlign w:val="center"/>
            <w:hideMark/>
          </w:tcPr>
          <w:p w14:paraId="5BC49293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Lucro Líquido</w:t>
            </w:r>
          </w:p>
        </w:tc>
        <w:tc>
          <w:tcPr>
            <w:tcW w:w="0" w:type="auto"/>
            <w:vAlign w:val="center"/>
            <w:hideMark/>
          </w:tcPr>
          <w:p w14:paraId="1F37EBD8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Receita Total</w:t>
            </w:r>
          </w:p>
        </w:tc>
        <w:tc>
          <w:tcPr>
            <w:tcW w:w="0" w:type="auto"/>
            <w:vAlign w:val="center"/>
            <w:hideMark/>
          </w:tcPr>
          <w:p w14:paraId="3F5F7A29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Ativo Total</w:t>
            </w:r>
          </w:p>
        </w:tc>
        <w:tc>
          <w:tcPr>
            <w:tcW w:w="0" w:type="auto"/>
            <w:vAlign w:val="center"/>
            <w:hideMark/>
          </w:tcPr>
          <w:p w14:paraId="4CDE55AE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Patrimônio Líquido</w:t>
            </w:r>
          </w:p>
        </w:tc>
        <w:tc>
          <w:tcPr>
            <w:tcW w:w="0" w:type="auto"/>
            <w:vAlign w:val="center"/>
            <w:hideMark/>
          </w:tcPr>
          <w:p w14:paraId="0889C570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Passivo Total</w:t>
            </w:r>
          </w:p>
        </w:tc>
        <w:tc>
          <w:tcPr>
            <w:tcW w:w="0" w:type="auto"/>
            <w:vAlign w:val="center"/>
            <w:hideMark/>
          </w:tcPr>
          <w:p w14:paraId="28680945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EBIT</w:t>
            </w:r>
          </w:p>
        </w:tc>
        <w:tc>
          <w:tcPr>
            <w:tcW w:w="0" w:type="auto"/>
            <w:vAlign w:val="center"/>
            <w:hideMark/>
          </w:tcPr>
          <w:p w14:paraId="3A385CA8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Despesa de Juros</w:t>
            </w:r>
          </w:p>
        </w:tc>
        <w:tc>
          <w:tcPr>
            <w:tcW w:w="0" w:type="auto"/>
            <w:vAlign w:val="center"/>
            <w:hideMark/>
          </w:tcPr>
          <w:p w14:paraId="1F47628A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Contas a Receber</w:t>
            </w:r>
          </w:p>
        </w:tc>
        <w:tc>
          <w:tcPr>
            <w:tcW w:w="0" w:type="auto"/>
            <w:vAlign w:val="center"/>
            <w:hideMark/>
          </w:tcPr>
          <w:p w14:paraId="109C02E1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Contas a Pagar</w:t>
            </w:r>
          </w:p>
        </w:tc>
        <w:tc>
          <w:tcPr>
            <w:tcW w:w="0" w:type="auto"/>
            <w:vAlign w:val="center"/>
            <w:hideMark/>
          </w:tcPr>
          <w:p w14:paraId="4C2734CC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Custos</w:t>
            </w:r>
          </w:p>
        </w:tc>
      </w:tr>
      <w:tr w:rsidR="00095D95" w:rsidRPr="00095D95" w14:paraId="70F69ACA" w14:textId="77777777" w:rsidTr="00095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96950" w14:textId="77777777" w:rsidR="00095D95" w:rsidRPr="00095D95" w:rsidRDefault="00095D95" w:rsidP="00095D95">
            <w:r w:rsidRPr="00095D95">
              <w:t>2021</w:t>
            </w:r>
          </w:p>
        </w:tc>
        <w:tc>
          <w:tcPr>
            <w:tcW w:w="0" w:type="auto"/>
            <w:vAlign w:val="center"/>
            <w:hideMark/>
          </w:tcPr>
          <w:p w14:paraId="565A17D9" w14:textId="77777777" w:rsidR="00095D95" w:rsidRPr="00095D95" w:rsidRDefault="00095D95" w:rsidP="00095D95">
            <w:r w:rsidRPr="00095D95">
              <w:t>97.369.173,64</w:t>
            </w:r>
          </w:p>
        </w:tc>
        <w:tc>
          <w:tcPr>
            <w:tcW w:w="0" w:type="auto"/>
            <w:vAlign w:val="center"/>
            <w:hideMark/>
          </w:tcPr>
          <w:p w14:paraId="5951CE5A" w14:textId="77777777" w:rsidR="00095D95" w:rsidRPr="00095D95" w:rsidRDefault="00095D95" w:rsidP="00095D95">
            <w:r w:rsidRPr="00095D95">
              <w:t>60.252.830,01</w:t>
            </w:r>
          </w:p>
        </w:tc>
        <w:tc>
          <w:tcPr>
            <w:tcW w:w="0" w:type="auto"/>
            <w:vAlign w:val="center"/>
            <w:hideMark/>
          </w:tcPr>
          <w:p w14:paraId="32662977" w14:textId="77777777" w:rsidR="00095D95" w:rsidRPr="00095D95" w:rsidRDefault="00095D95" w:rsidP="00095D95">
            <w:r w:rsidRPr="00095D95">
              <w:t>62.152.223,21</w:t>
            </w:r>
          </w:p>
        </w:tc>
        <w:tc>
          <w:tcPr>
            <w:tcW w:w="0" w:type="auto"/>
            <w:vAlign w:val="center"/>
            <w:hideMark/>
          </w:tcPr>
          <w:p w14:paraId="14517ABF" w14:textId="77777777" w:rsidR="00095D95" w:rsidRPr="00095D95" w:rsidRDefault="00095D95" w:rsidP="00095D95">
            <w:r w:rsidRPr="00095D95">
              <w:t>8.393.965,79</w:t>
            </w:r>
          </w:p>
        </w:tc>
        <w:tc>
          <w:tcPr>
            <w:tcW w:w="0" w:type="auto"/>
            <w:vAlign w:val="center"/>
            <w:hideMark/>
          </w:tcPr>
          <w:p w14:paraId="14DEB3ED" w14:textId="77777777" w:rsidR="00095D95" w:rsidRPr="00095D95" w:rsidRDefault="00095D95" w:rsidP="00095D95">
            <w:r w:rsidRPr="00095D95">
              <w:t>104.841.500,00</w:t>
            </w:r>
          </w:p>
        </w:tc>
        <w:tc>
          <w:tcPr>
            <w:tcW w:w="0" w:type="auto"/>
            <w:vAlign w:val="center"/>
            <w:hideMark/>
          </w:tcPr>
          <w:p w14:paraId="3EA949F7" w14:textId="77777777" w:rsidR="00095D95" w:rsidRPr="00095D95" w:rsidRDefault="00095D95" w:rsidP="00095D95">
            <w:r w:rsidRPr="00095D95">
              <w:t>101.709.300,00</w:t>
            </w:r>
          </w:p>
        </w:tc>
        <w:tc>
          <w:tcPr>
            <w:tcW w:w="0" w:type="auto"/>
            <w:vAlign w:val="center"/>
            <w:hideMark/>
          </w:tcPr>
          <w:p w14:paraId="7F874B6A" w14:textId="77777777" w:rsidR="00095D95" w:rsidRPr="00095D95" w:rsidRDefault="00095D95" w:rsidP="00095D95">
            <w:r w:rsidRPr="00095D95">
              <w:t>41.270.424,62</w:t>
            </w:r>
          </w:p>
        </w:tc>
        <w:tc>
          <w:tcPr>
            <w:tcW w:w="0" w:type="auto"/>
            <w:vAlign w:val="center"/>
            <w:hideMark/>
          </w:tcPr>
          <w:p w14:paraId="046514AD" w14:textId="77777777" w:rsidR="00095D95" w:rsidRPr="00095D95" w:rsidRDefault="00095D95" w:rsidP="00095D95">
            <w:r w:rsidRPr="00095D95">
              <w:t>60.438.884,67</w:t>
            </w:r>
          </w:p>
        </w:tc>
        <w:tc>
          <w:tcPr>
            <w:tcW w:w="0" w:type="auto"/>
            <w:vAlign w:val="center"/>
            <w:hideMark/>
          </w:tcPr>
          <w:p w14:paraId="34D6EB5E" w14:textId="77777777" w:rsidR="00095D95" w:rsidRPr="00095D95" w:rsidRDefault="00095D95" w:rsidP="00095D95">
            <w:r w:rsidRPr="00095D95">
              <w:t>12.230.341,96</w:t>
            </w:r>
          </w:p>
        </w:tc>
        <w:tc>
          <w:tcPr>
            <w:tcW w:w="0" w:type="auto"/>
            <w:vAlign w:val="center"/>
            <w:hideMark/>
          </w:tcPr>
          <w:p w14:paraId="341049AB" w14:textId="77777777" w:rsidR="00095D95" w:rsidRPr="00095D95" w:rsidRDefault="00095D95" w:rsidP="00095D95">
            <w:r w:rsidRPr="00095D95">
              <w:t>3.836.376,17</w:t>
            </w:r>
          </w:p>
        </w:tc>
        <w:tc>
          <w:tcPr>
            <w:tcW w:w="0" w:type="auto"/>
            <w:vAlign w:val="center"/>
            <w:hideMark/>
          </w:tcPr>
          <w:p w14:paraId="6FE6FAC3" w14:textId="77777777" w:rsidR="00095D95" w:rsidRPr="00095D95" w:rsidRDefault="00095D95" w:rsidP="00095D95">
            <w:r w:rsidRPr="00095D95">
              <w:t>29.961.276,83</w:t>
            </w:r>
          </w:p>
        </w:tc>
        <w:tc>
          <w:tcPr>
            <w:tcW w:w="0" w:type="auto"/>
            <w:vAlign w:val="center"/>
            <w:hideMark/>
          </w:tcPr>
          <w:p w14:paraId="0B2EFC49" w14:textId="77777777" w:rsidR="00095D95" w:rsidRPr="00095D95" w:rsidRDefault="00095D95" w:rsidP="00095D95">
            <w:r w:rsidRPr="00095D95">
              <w:t>15.994.921,21</w:t>
            </w:r>
          </w:p>
        </w:tc>
        <w:tc>
          <w:tcPr>
            <w:tcW w:w="0" w:type="auto"/>
            <w:vAlign w:val="center"/>
            <w:hideMark/>
          </w:tcPr>
          <w:p w14:paraId="2491304C" w14:textId="77777777" w:rsidR="00095D95" w:rsidRPr="00095D95" w:rsidRDefault="00095D95" w:rsidP="00095D95">
            <w:r w:rsidRPr="00095D95">
              <w:t>96.017.991,50</w:t>
            </w:r>
          </w:p>
        </w:tc>
      </w:tr>
      <w:tr w:rsidR="00095D95" w:rsidRPr="00095D95" w14:paraId="34BF1544" w14:textId="77777777" w:rsidTr="00095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D26A7" w14:textId="77777777" w:rsidR="00095D95" w:rsidRPr="00095D95" w:rsidRDefault="00095D95" w:rsidP="00095D95">
            <w:r w:rsidRPr="00095D95">
              <w:t>2022</w:t>
            </w:r>
          </w:p>
        </w:tc>
        <w:tc>
          <w:tcPr>
            <w:tcW w:w="0" w:type="auto"/>
            <w:vAlign w:val="center"/>
            <w:hideMark/>
          </w:tcPr>
          <w:p w14:paraId="0AE0A478" w14:textId="77777777" w:rsidR="00095D95" w:rsidRPr="00095D95" w:rsidRDefault="00095D95" w:rsidP="00095D95">
            <w:r w:rsidRPr="00095D95">
              <w:t>76.433.172,07</w:t>
            </w:r>
          </w:p>
        </w:tc>
        <w:tc>
          <w:tcPr>
            <w:tcW w:w="0" w:type="auto"/>
            <w:vAlign w:val="center"/>
            <w:hideMark/>
          </w:tcPr>
          <w:p w14:paraId="6712543A" w14:textId="77777777" w:rsidR="00095D95" w:rsidRPr="00095D95" w:rsidRDefault="00095D95" w:rsidP="00095D95">
            <w:r w:rsidRPr="00095D95">
              <w:t>44.514.525,38</w:t>
            </w:r>
          </w:p>
        </w:tc>
        <w:tc>
          <w:tcPr>
            <w:tcW w:w="0" w:type="auto"/>
            <w:vAlign w:val="center"/>
            <w:hideMark/>
          </w:tcPr>
          <w:p w14:paraId="45361D98" w14:textId="77777777" w:rsidR="00095D95" w:rsidRPr="00095D95" w:rsidRDefault="00095D95" w:rsidP="00095D95">
            <w:r w:rsidRPr="00095D95">
              <w:t>52.149.084,57</w:t>
            </w:r>
          </w:p>
        </w:tc>
        <w:tc>
          <w:tcPr>
            <w:tcW w:w="0" w:type="auto"/>
            <w:vAlign w:val="center"/>
            <w:hideMark/>
          </w:tcPr>
          <w:p w14:paraId="481A38F8" w14:textId="77777777" w:rsidR="00095D95" w:rsidRPr="00095D95" w:rsidRDefault="00095D95" w:rsidP="00095D95">
            <w:r w:rsidRPr="00095D95">
              <w:t>9.384.502,93</w:t>
            </w:r>
          </w:p>
        </w:tc>
        <w:tc>
          <w:tcPr>
            <w:tcW w:w="0" w:type="auto"/>
            <w:vAlign w:val="center"/>
            <w:hideMark/>
          </w:tcPr>
          <w:p w14:paraId="31085963" w14:textId="77777777" w:rsidR="00095D95" w:rsidRPr="00095D95" w:rsidRDefault="00095D95" w:rsidP="00095D95">
            <w:r w:rsidRPr="00095D95">
              <w:t>98.773.220,00</w:t>
            </w:r>
          </w:p>
        </w:tc>
        <w:tc>
          <w:tcPr>
            <w:tcW w:w="0" w:type="auto"/>
            <w:vAlign w:val="center"/>
            <w:hideMark/>
          </w:tcPr>
          <w:p w14:paraId="2859F5E5" w14:textId="77777777" w:rsidR="00095D95" w:rsidRPr="00095D95" w:rsidRDefault="00095D95" w:rsidP="00095D95">
            <w:r w:rsidRPr="00095D95">
              <w:t>79.921.690,00</w:t>
            </w:r>
          </w:p>
        </w:tc>
        <w:tc>
          <w:tcPr>
            <w:tcW w:w="0" w:type="auto"/>
            <w:vAlign w:val="center"/>
            <w:hideMark/>
          </w:tcPr>
          <w:p w14:paraId="1E3B1E3F" w14:textId="77777777" w:rsidR="00095D95" w:rsidRPr="00095D95" w:rsidRDefault="00095D95" w:rsidP="00095D95">
            <w:r w:rsidRPr="00095D95">
              <w:t>35.263.817,92</w:t>
            </w:r>
          </w:p>
        </w:tc>
        <w:tc>
          <w:tcPr>
            <w:tcW w:w="0" w:type="auto"/>
            <w:vAlign w:val="center"/>
            <w:hideMark/>
          </w:tcPr>
          <w:p w14:paraId="5D04185F" w14:textId="77777777" w:rsidR="00095D95" w:rsidRPr="00095D95" w:rsidRDefault="00095D95" w:rsidP="00095D95">
            <w:r w:rsidRPr="00095D95">
              <w:t>44.657.868,91</w:t>
            </w:r>
          </w:p>
        </w:tc>
        <w:tc>
          <w:tcPr>
            <w:tcW w:w="0" w:type="auto"/>
            <w:vAlign w:val="center"/>
            <w:hideMark/>
          </w:tcPr>
          <w:p w14:paraId="0127EB47" w14:textId="77777777" w:rsidR="00095D95" w:rsidRPr="00095D95" w:rsidRDefault="00095D95" w:rsidP="00095D95">
            <w:r w:rsidRPr="00095D95">
              <w:t>10.638.475,31</w:t>
            </w:r>
          </w:p>
        </w:tc>
        <w:tc>
          <w:tcPr>
            <w:tcW w:w="0" w:type="auto"/>
            <w:vAlign w:val="center"/>
            <w:hideMark/>
          </w:tcPr>
          <w:p w14:paraId="7379B272" w14:textId="77777777" w:rsidR="00095D95" w:rsidRPr="00095D95" w:rsidRDefault="00095D95" w:rsidP="00095D95">
            <w:r w:rsidRPr="00095D95">
              <w:t>1.253.972,38</w:t>
            </w:r>
          </w:p>
        </w:tc>
        <w:tc>
          <w:tcPr>
            <w:tcW w:w="0" w:type="auto"/>
            <w:vAlign w:val="center"/>
            <w:hideMark/>
          </w:tcPr>
          <w:p w14:paraId="1EBFAD56" w14:textId="77777777" w:rsidR="00095D95" w:rsidRPr="00095D95" w:rsidRDefault="00095D95" w:rsidP="00095D95">
            <w:r w:rsidRPr="00095D95">
              <w:t>20.458.540,88</w:t>
            </w:r>
          </w:p>
        </w:tc>
        <w:tc>
          <w:tcPr>
            <w:tcW w:w="0" w:type="auto"/>
            <w:vAlign w:val="center"/>
            <w:hideMark/>
          </w:tcPr>
          <w:p w14:paraId="3A698D3E" w14:textId="77777777" w:rsidR="00095D95" w:rsidRPr="00095D95" w:rsidRDefault="00095D95" w:rsidP="00095D95">
            <w:r w:rsidRPr="00095D95">
              <w:t>8.604.560,65</w:t>
            </w:r>
          </w:p>
        </w:tc>
        <w:tc>
          <w:tcPr>
            <w:tcW w:w="0" w:type="auto"/>
            <w:vAlign w:val="center"/>
            <w:hideMark/>
          </w:tcPr>
          <w:p w14:paraId="7E5C448F" w14:textId="77777777" w:rsidR="00095D95" w:rsidRPr="00095D95" w:rsidRDefault="00095D95" w:rsidP="00095D95">
            <w:r w:rsidRPr="00095D95">
              <w:t>87.908.310,69</w:t>
            </w:r>
          </w:p>
        </w:tc>
      </w:tr>
      <w:tr w:rsidR="00095D95" w:rsidRPr="00095D95" w14:paraId="25F67C1A" w14:textId="77777777" w:rsidTr="00095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F9A29" w14:textId="77777777" w:rsidR="00095D95" w:rsidRPr="00095D95" w:rsidRDefault="00095D95" w:rsidP="00095D95">
            <w:r w:rsidRPr="00095D95">
              <w:t>2023</w:t>
            </w:r>
          </w:p>
        </w:tc>
        <w:tc>
          <w:tcPr>
            <w:tcW w:w="0" w:type="auto"/>
            <w:vAlign w:val="center"/>
            <w:hideMark/>
          </w:tcPr>
          <w:p w14:paraId="02E9E32D" w14:textId="77777777" w:rsidR="00095D95" w:rsidRPr="00095D95" w:rsidRDefault="00095D95" w:rsidP="00095D95">
            <w:r w:rsidRPr="00095D95">
              <w:t>58.355.615,56</w:t>
            </w:r>
          </w:p>
        </w:tc>
        <w:tc>
          <w:tcPr>
            <w:tcW w:w="0" w:type="auto"/>
            <w:vAlign w:val="center"/>
            <w:hideMark/>
          </w:tcPr>
          <w:p w14:paraId="61BCE560" w14:textId="77777777" w:rsidR="00095D95" w:rsidRPr="00095D95" w:rsidRDefault="00095D95" w:rsidP="00095D95">
            <w:r w:rsidRPr="00095D95">
              <w:t>33.474.062,26</w:t>
            </w:r>
          </w:p>
        </w:tc>
        <w:tc>
          <w:tcPr>
            <w:tcW w:w="0" w:type="auto"/>
            <w:vAlign w:val="center"/>
            <w:hideMark/>
          </w:tcPr>
          <w:p w14:paraId="26B87E47" w14:textId="77777777" w:rsidR="00095D95" w:rsidRPr="00095D95" w:rsidRDefault="00095D95" w:rsidP="00095D95">
            <w:r w:rsidRPr="00095D95">
              <w:t>38.002.758,30</w:t>
            </w:r>
          </w:p>
        </w:tc>
        <w:tc>
          <w:tcPr>
            <w:tcW w:w="0" w:type="auto"/>
            <w:vAlign w:val="center"/>
            <w:hideMark/>
          </w:tcPr>
          <w:p w14:paraId="0ED13194" w14:textId="77777777" w:rsidR="00095D95" w:rsidRPr="00095D95" w:rsidRDefault="00095D95" w:rsidP="00095D95">
            <w:r w:rsidRPr="00095D95">
              <w:t>16.381.789,91</w:t>
            </w:r>
          </w:p>
        </w:tc>
        <w:tc>
          <w:tcPr>
            <w:tcW w:w="0" w:type="auto"/>
            <w:vAlign w:val="center"/>
            <w:hideMark/>
          </w:tcPr>
          <w:p w14:paraId="0A67AEB2" w14:textId="77777777" w:rsidR="00095D95" w:rsidRPr="00095D95" w:rsidRDefault="00095D95" w:rsidP="00095D95">
            <w:r w:rsidRPr="00095D95">
              <w:t>93.966.820,00</w:t>
            </w:r>
          </w:p>
        </w:tc>
        <w:tc>
          <w:tcPr>
            <w:tcW w:w="0" w:type="auto"/>
            <w:vAlign w:val="center"/>
            <w:hideMark/>
          </w:tcPr>
          <w:p w14:paraId="46A5916B" w14:textId="77777777" w:rsidR="00095D95" w:rsidRPr="00095D95" w:rsidRDefault="00095D95" w:rsidP="00095D95">
            <w:r w:rsidRPr="00095D95">
              <w:t>62.472.590,00</w:t>
            </w:r>
          </w:p>
        </w:tc>
        <w:tc>
          <w:tcPr>
            <w:tcW w:w="0" w:type="auto"/>
            <w:vAlign w:val="center"/>
            <w:hideMark/>
          </w:tcPr>
          <w:p w14:paraId="58C89CE5" w14:textId="77777777" w:rsidR="00095D95" w:rsidRPr="00095D95" w:rsidRDefault="00095D95" w:rsidP="00095D95">
            <w:r w:rsidRPr="00095D95">
              <w:t>29.023.034,37</w:t>
            </w:r>
          </w:p>
        </w:tc>
        <w:tc>
          <w:tcPr>
            <w:tcW w:w="0" w:type="auto"/>
            <w:vAlign w:val="center"/>
            <w:hideMark/>
          </w:tcPr>
          <w:p w14:paraId="2337F408" w14:textId="77777777" w:rsidR="00095D95" w:rsidRPr="00095D95" w:rsidRDefault="00095D95" w:rsidP="00095D95">
            <w:r w:rsidRPr="00095D95">
              <w:t>33.449.556,81</w:t>
            </w:r>
          </w:p>
        </w:tc>
        <w:tc>
          <w:tcPr>
            <w:tcW w:w="0" w:type="auto"/>
            <w:vAlign w:val="center"/>
            <w:hideMark/>
          </w:tcPr>
          <w:p w14:paraId="34998D88" w14:textId="77777777" w:rsidR="00095D95" w:rsidRPr="00095D95" w:rsidRDefault="00095D95" w:rsidP="00095D95">
            <w:r w:rsidRPr="00095D95">
              <w:t>12.230.341,96</w:t>
            </w:r>
          </w:p>
        </w:tc>
        <w:tc>
          <w:tcPr>
            <w:tcW w:w="0" w:type="auto"/>
            <w:vAlign w:val="center"/>
            <w:hideMark/>
          </w:tcPr>
          <w:p w14:paraId="01D75DD9" w14:textId="77777777" w:rsidR="00095D95" w:rsidRPr="00095D95" w:rsidRDefault="00095D95" w:rsidP="00095D95">
            <w:r w:rsidRPr="00095D95">
              <w:t>983.943,59</w:t>
            </w:r>
          </w:p>
        </w:tc>
        <w:tc>
          <w:tcPr>
            <w:tcW w:w="0" w:type="auto"/>
            <w:vAlign w:val="center"/>
            <w:hideMark/>
          </w:tcPr>
          <w:p w14:paraId="3E37ED3A" w14:textId="77777777" w:rsidR="00095D95" w:rsidRPr="00095D95" w:rsidRDefault="00095D95" w:rsidP="00095D95">
            <w:r w:rsidRPr="00095D95">
              <w:t>17.562.561,88</w:t>
            </w:r>
          </w:p>
        </w:tc>
        <w:tc>
          <w:tcPr>
            <w:tcW w:w="0" w:type="auto"/>
            <w:vAlign w:val="center"/>
            <w:hideMark/>
          </w:tcPr>
          <w:p w14:paraId="0294A809" w14:textId="77777777" w:rsidR="00095D95" w:rsidRPr="00095D95" w:rsidRDefault="00095D95" w:rsidP="00095D95">
            <w:r w:rsidRPr="00095D95">
              <w:t>6.470.322,21</w:t>
            </w:r>
          </w:p>
        </w:tc>
        <w:tc>
          <w:tcPr>
            <w:tcW w:w="0" w:type="auto"/>
            <w:vAlign w:val="center"/>
            <w:hideMark/>
          </w:tcPr>
          <w:p w14:paraId="1BFF2335" w14:textId="77777777" w:rsidR="00095D95" w:rsidRPr="00095D95" w:rsidRDefault="00095D95" w:rsidP="00095D95">
            <w:r w:rsidRPr="00095D95">
              <w:t>77.619.824,12</w:t>
            </w:r>
          </w:p>
        </w:tc>
      </w:tr>
    </w:tbl>
    <w:p w14:paraId="7C03C5BC" w14:textId="77777777" w:rsidR="00095D95" w:rsidRPr="00095D95" w:rsidRDefault="00095D95" w:rsidP="00095D95">
      <w:pPr>
        <w:rPr>
          <w:b/>
          <w:bCs/>
        </w:rPr>
      </w:pPr>
      <w:r w:rsidRPr="00095D95">
        <w:rPr>
          <w:b/>
          <w:bCs/>
        </w:rPr>
        <w:t>Principais Críticas e Avaliação Contábil</w:t>
      </w:r>
    </w:p>
    <w:p w14:paraId="37C5CAC3" w14:textId="77777777" w:rsidR="00095D95" w:rsidRPr="00095D95" w:rsidRDefault="00095D95" w:rsidP="00095D95">
      <w:pPr>
        <w:numPr>
          <w:ilvl w:val="0"/>
          <w:numId w:val="2"/>
        </w:numPr>
      </w:pPr>
      <w:r w:rsidRPr="00095D95">
        <w:rPr>
          <w:b/>
          <w:bCs/>
        </w:rPr>
        <w:t>Ativo Circulante x Passivo Circulante:</w:t>
      </w:r>
      <w:r w:rsidRPr="00095D95">
        <w:t xml:space="preserve"> A relação tem caído ao longo dos anos, indicando redução da liquidez.</w:t>
      </w:r>
    </w:p>
    <w:p w14:paraId="3A007248" w14:textId="77777777" w:rsidR="00095D95" w:rsidRPr="00095D95" w:rsidRDefault="00095D95" w:rsidP="00095D95">
      <w:pPr>
        <w:numPr>
          <w:ilvl w:val="0"/>
          <w:numId w:val="2"/>
        </w:numPr>
      </w:pPr>
      <w:r w:rsidRPr="00095D95">
        <w:rPr>
          <w:b/>
          <w:bCs/>
        </w:rPr>
        <w:t>Lucro Líquido:</w:t>
      </w:r>
      <w:r w:rsidRPr="00095D95">
        <w:t xml:space="preserve"> Apesar de positivo, o crescimento é instável, exigindo cautela.</w:t>
      </w:r>
    </w:p>
    <w:p w14:paraId="3E2D0D06" w14:textId="77777777" w:rsidR="00095D95" w:rsidRPr="00095D95" w:rsidRDefault="00095D95" w:rsidP="00095D95">
      <w:pPr>
        <w:numPr>
          <w:ilvl w:val="0"/>
          <w:numId w:val="2"/>
        </w:numPr>
      </w:pPr>
      <w:r w:rsidRPr="00095D95">
        <w:rPr>
          <w:b/>
          <w:bCs/>
        </w:rPr>
        <w:t>Endividamento:</w:t>
      </w:r>
      <w:r w:rsidRPr="00095D95">
        <w:t xml:space="preserve"> A empresa depende de capital de terceiros, necessitando de avaliação do custo da dívida.</w:t>
      </w:r>
    </w:p>
    <w:p w14:paraId="615962FD" w14:textId="77777777" w:rsidR="00095D95" w:rsidRPr="00095D95" w:rsidRDefault="00095D95" w:rsidP="00095D95">
      <w:pPr>
        <w:numPr>
          <w:ilvl w:val="0"/>
          <w:numId w:val="2"/>
        </w:numPr>
      </w:pPr>
      <w:r w:rsidRPr="00095D95">
        <w:rPr>
          <w:b/>
          <w:bCs/>
        </w:rPr>
        <w:t>Contas a Pagar:</w:t>
      </w:r>
      <w:r w:rsidRPr="00095D95">
        <w:t xml:space="preserve"> O crescimento indica maior comprometimento financeiro, aumentando risco de inadimplência.</w:t>
      </w:r>
    </w:p>
    <w:p w14:paraId="3D376C83" w14:textId="77777777" w:rsidR="00095D95" w:rsidRPr="00095D95" w:rsidRDefault="00095D95" w:rsidP="00095D95">
      <w:r w:rsidRPr="00095D95">
        <w:pict w14:anchorId="6DBD43EB">
          <v:rect id="_x0000_i1064" style="width:0;height:1.5pt" o:hralign="center" o:hrstd="t" o:hr="t" fillcolor="#a0a0a0" stroked="f"/>
        </w:pict>
      </w:r>
    </w:p>
    <w:p w14:paraId="124AA6F3" w14:textId="77777777" w:rsidR="00095D95" w:rsidRPr="00095D95" w:rsidRDefault="00095D95" w:rsidP="00095D95">
      <w:r w:rsidRPr="00095D95">
        <w:rPr>
          <w:b/>
          <w:bCs/>
        </w:rPr>
        <w:t>4. ANÁLISE DOS ÍNDICES FINANCEIROS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804"/>
        <w:gridCol w:w="760"/>
        <w:gridCol w:w="735"/>
        <w:gridCol w:w="419"/>
        <w:gridCol w:w="414"/>
        <w:gridCol w:w="1318"/>
        <w:gridCol w:w="908"/>
        <w:gridCol w:w="482"/>
        <w:gridCol w:w="1180"/>
        <w:gridCol w:w="1016"/>
      </w:tblGrid>
      <w:tr w:rsidR="00095D95" w:rsidRPr="00095D95" w14:paraId="2A172403" w14:textId="77777777" w:rsidTr="00095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36515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lastRenderedPageBreak/>
              <w:t>Ano</w:t>
            </w:r>
          </w:p>
        </w:tc>
        <w:tc>
          <w:tcPr>
            <w:tcW w:w="0" w:type="auto"/>
            <w:vAlign w:val="center"/>
            <w:hideMark/>
          </w:tcPr>
          <w:p w14:paraId="1879C84C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Liquidez Corrente</w:t>
            </w:r>
          </w:p>
        </w:tc>
        <w:tc>
          <w:tcPr>
            <w:tcW w:w="0" w:type="auto"/>
            <w:vAlign w:val="center"/>
            <w:hideMark/>
          </w:tcPr>
          <w:p w14:paraId="1305D425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Liquidez Seca</w:t>
            </w:r>
          </w:p>
        </w:tc>
        <w:tc>
          <w:tcPr>
            <w:tcW w:w="0" w:type="auto"/>
            <w:vAlign w:val="center"/>
            <w:hideMark/>
          </w:tcPr>
          <w:p w14:paraId="61A83C52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Margem Líquida</w:t>
            </w:r>
          </w:p>
        </w:tc>
        <w:tc>
          <w:tcPr>
            <w:tcW w:w="0" w:type="auto"/>
            <w:vAlign w:val="center"/>
            <w:hideMark/>
          </w:tcPr>
          <w:p w14:paraId="0E1F0E6D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ROA</w:t>
            </w:r>
          </w:p>
        </w:tc>
        <w:tc>
          <w:tcPr>
            <w:tcW w:w="0" w:type="auto"/>
            <w:vAlign w:val="center"/>
            <w:hideMark/>
          </w:tcPr>
          <w:p w14:paraId="58793002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ROE</w:t>
            </w:r>
          </w:p>
        </w:tc>
        <w:tc>
          <w:tcPr>
            <w:tcW w:w="0" w:type="auto"/>
            <w:vAlign w:val="center"/>
            <w:hideMark/>
          </w:tcPr>
          <w:p w14:paraId="3C339059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Endividamento</w:t>
            </w:r>
          </w:p>
        </w:tc>
        <w:tc>
          <w:tcPr>
            <w:tcW w:w="0" w:type="auto"/>
            <w:vAlign w:val="center"/>
            <w:hideMark/>
          </w:tcPr>
          <w:p w14:paraId="21357515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Cobertura de Juros</w:t>
            </w:r>
          </w:p>
        </w:tc>
        <w:tc>
          <w:tcPr>
            <w:tcW w:w="0" w:type="auto"/>
            <w:vAlign w:val="center"/>
            <w:hideMark/>
          </w:tcPr>
          <w:p w14:paraId="1AD97CCD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Giro do Ativo</w:t>
            </w:r>
          </w:p>
        </w:tc>
        <w:tc>
          <w:tcPr>
            <w:tcW w:w="0" w:type="auto"/>
            <w:vAlign w:val="center"/>
            <w:hideMark/>
          </w:tcPr>
          <w:p w14:paraId="2495739B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Período Médio de Recebimento</w:t>
            </w:r>
          </w:p>
        </w:tc>
        <w:tc>
          <w:tcPr>
            <w:tcW w:w="0" w:type="auto"/>
            <w:vAlign w:val="center"/>
            <w:hideMark/>
          </w:tcPr>
          <w:p w14:paraId="1480BE74" w14:textId="77777777" w:rsidR="00095D95" w:rsidRPr="00095D95" w:rsidRDefault="00095D95" w:rsidP="00095D95">
            <w:pPr>
              <w:rPr>
                <w:b/>
                <w:bCs/>
              </w:rPr>
            </w:pPr>
            <w:r w:rsidRPr="00095D95">
              <w:rPr>
                <w:b/>
                <w:bCs/>
              </w:rPr>
              <w:t>Período Médio de Pagamento</w:t>
            </w:r>
          </w:p>
        </w:tc>
      </w:tr>
      <w:tr w:rsidR="00095D95" w:rsidRPr="00095D95" w14:paraId="75A30590" w14:textId="77777777" w:rsidTr="00095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D3F96" w14:textId="77777777" w:rsidR="00095D95" w:rsidRPr="00095D95" w:rsidRDefault="00095D95" w:rsidP="00095D95">
            <w:r w:rsidRPr="00095D95">
              <w:t>2021</w:t>
            </w:r>
          </w:p>
        </w:tc>
        <w:tc>
          <w:tcPr>
            <w:tcW w:w="0" w:type="auto"/>
            <w:vAlign w:val="center"/>
            <w:hideMark/>
          </w:tcPr>
          <w:p w14:paraId="610D35AE" w14:textId="77777777" w:rsidR="00095D95" w:rsidRPr="00095D95" w:rsidRDefault="00095D95" w:rsidP="00095D95">
            <w:r w:rsidRPr="00095D95">
              <w:t>1.74</w:t>
            </w:r>
          </w:p>
        </w:tc>
        <w:tc>
          <w:tcPr>
            <w:tcW w:w="0" w:type="auto"/>
            <w:vAlign w:val="center"/>
            <w:hideMark/>
          </w:tcPr>
          <w:p w14:paraId="52D14C65" w14:textId="77777777" w:rsidR="00095D95" w:rsidRPr="00095D95" w:rsidRDefault="00095D95" w:rsidP="00095D95">
            <w:r w:rsidRPr="00095D95">
              <w:t>0.61</w:t>
            </w:r>
          </w:p>
        </w:tc>
        <w:tc>
          <w:tcPr>
            <w:tcW w:w="0" w:type="auto"/>
            <w:vAlign w:val="center"/>
            <w:hideMark/>
          </w:tcPr>
          <w:p w14:paraId="426CA605" w14:textId="77777777" w:rsidR="00095D95" w:rsidRPr="00095D95" w:rsidRDefault="00095D95" w:rsidP="00095D95">
            <w:r w:rsidRPr="00095D95">
              <w:t>0.17</w:t>
            </w:r>
          </w:p>
        </w:tc>
        <w:tc>
          <w:tcPr>
            <w:tcW w:w="0" w:type="auto"/>
            <w:vAlign w:val="center"/>
            <w:hideMark/>
          </w:tcPr>
          <w:p w14:paraId="5D29D3CC" w14:textId="77777777" w:rsidR="00095D95" w:rsidRPr="00095D95" w:rsidRDefault="00095D95" w:rsidP="00095D95">
            <w:r w:rsidRPr="00095D95">
              <w:t>0.26</w:t>
            </w:r>
          </w:p>
        </w:tc>
        <w:tc>
          <w:tcPr>
            <w:tcW w:w="0" w:type="auto"/>
            <w:vAlign w:val="center"/>
            <w:hideMark/>
          </w:tcPr>
          <w:p w14:paraId="28AF2BFA" w14:textId="77777777" w:rsidR="00095D95" w:rsidRPr="00095D95" w:rsidRDefault="00095D95" w:rsidP="00095D95">
            <w:r w:rsidRPr="00095D95">
              <w:t>0.56</w:t>
            </w:r>
          </w:p>
        </w:tc>
        <w:tc>
          <w:tcPr>
            <w:tcW w:w="0" w:type="auto"/>
            <w:vAlign w:val="center"/>
            <w:hideMark/>
          </w:tcPr>
          <w:p w14:paraId="6336DAC1" w14:textId="77777777" w:rsidR="00095D95" w:rsidRPr="00095D95" w:rsidRDefault="00095D95" w:rsidP="00095D95">
            <w:r w:rsidRPr="00095D95">
              <w:t>0.54</w:t>
            </w:r>
          </w:p>
        </w:tc>
        <w:tc>
          <w:tcPr>
            <w:tcW w:w="0" w:type="auto"/>
            <w:vAlign w:val="center"/>
            <w:hideMark/>
          </w:tcPr>
          <w:p w14:paraId="4A72FC26" w14:textId="77777777" w:rsidR="00095D95" w:rsidRPr="00095D95" w:rsidRDefault="00095D95" w:rsidP="00095D95">
            <w:r w:rsidRPr="00095D95">
              <w:t>12.43</w:t>
            </w:r>
          </w:p>
        </w:tc>
        <w:tc>
          <w:tcPr>
            <w:tcW w:w="0" w:type="auto"/>
            <w:vAlign w:val="center"/>
            <w:hideMark/>
          </w:tcPr>
          <w:p w14:paraId="38401612" w14:textId="77777777" w:rsidR="00095D95" w:rsidRPr="00095D95" w:rsidRDefault="00095D95" w:rsidP="00095D95">
            <w:r w:rsidRPr="00095D95">
              <w:t>1.50</w:t>
            </w:r>
          </w:p>
        </w:tc>
        <w:tc>
          <w:tcPr>
            <w:tcW w:w="0" w:type="auto"/>
            <w:vAlign w:val="center"/>
            <w:hideMark/>
          </w:tcPr>
          <w:p w14:paraId="0D9B8955" w14:textId="77777777" w:rsidR="00095D95" w:rsidRPr="00095D95" w:rsidRDefault="00095D95" w:rsidP="00095D95">
            <w:r w:rsidRPr="00095D95">
              <w:t>68.22</w:t>
            </w:r>
          </w:p>
        </w:tc>
        <w:tc>
          <w:tcPr>
            <w:tcW w:w="0" w:type="auto"/>
            <w:vAlign w:val="center"/>
            <w:hideMark/>
          </w:tcPr>
          <w:p w14:paraId="22F03EB9" w14:textId="77777777" w:rsidR="00095D95" w:rsidRPr="00095D95" w:rsidRDefault="00095D95" w:rsidP="00095D95">
            <w:r w:rsidRPr="00095D95">
              <w:t>30.43</w:t>
            </w:r>
          </w:p>
        </w:tc>
      </w:tr>
      <w:tr w:rsidR="00095D95" w:rsidRPr="00095D95" w14:paraId="1EC9050F" w14:textId="77777777" w:rsidTr="00095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954A9" w14:textId="77777777" w:rsidR="00095D95" w:rsidRPr="00095D95" w:rsidRDefault="00095D95" w:rsidP="00095D95">
            <w:r w:rsidRPr="00095D95">
              <w:t>2022</w:t>
            </w:r>
          </w:p>
        </w:tc>
        <w:tc>
          <w:tcPr>
            <w:tcW w:w="0" w:type="auto"/>
            <w:vAlign w:val="center"/>
            <w:hideMark/>
          </w:tcPr>
          <w:p w14:paraId="08D187E0" w14:textId="77777777" w:rsidR="00095D95" w:rsidRPr="00095D95" w:rsidRDefault="00095D95" w:rsidP="00095D95">
            <w:r w:rsidRPr="00095D95">
              <w:t>1.72</w:t>
            </w:r>
          </w:p>
        </w:tc>
        <w:tc>
          <w:tcPr>
            <w:tcW w:w="0" w:type="auto"/>
            <w:vAlign w:val="center"/>
            <w:hideMark/>
          </w:tcPr>
          <w:p w14:paraId="695663DB" w14:textId="77777777" w:rsidR="00095D95" w:rsidRPr="00095D95" w:rsidRDefault="00095D95" w:rsidP="00095D95">
            <w:r w:rsidRPr="00095D95">
              <w:t>0.55</w:t>
            </w:r>
          </w:p>
        </w:tc>
        <w:tc>
          <w:tcPr>
            <w:tcW w:w="0" w:type="auto"/>
            <w:vAlign w:val="center"/>
            <w:hideMark/>
          </w:tcPr>
          <w:p w14:paraId="3241AD57" w14:textId="77777777" w:rsidR="00095D95" w:rsidRPr="00095D95" w:rsidRDefault="00095D95" w:rsidP="00095D95">
            <w:r w:rsidRPr="00095D95">
              <w:t>0.10</w:t>
            </w:r>
          </w:p>
        </w:tc>
        <w:tc>
          <w:tcPr>
            <w:tcW w:w="0" w:type="auto"/>
            <w:vAlign w:val="center"/>
            <w:hideMark/>
          </w:tcPr>
          <w:p w14:paraId="1CA3A1D9" w14:textId="77777777" w:rsidR="00095D95" w:rsidRPr="00095D95" w:rsidRDefault="00095D95" w:rsidP="00095D95">
            <w:r w:rsidRPr="00095D95">
              <w:t>0.12</w:t>
            </w:r>
          </w:p>
        </w:tc>
        <w:tc>
          <w:tcPr>
            <w:tcW w:w="0" w:type="auto"/>
            <w:vAlign w:val="center"/>
            <w:hideMark/>
          </w:tcPr>
          <w:p w14:paraId="4C84C0FF" w14:textId="77777777" w:rsidR="00095D95" w:rsidRPr="00095D95" w:rsidRDefault="00095D95" w:rsidP="00095D95">
            <w:r w:rsidRPr="00095D95">
              <w:t>0.27</w:t>
            </w:r>
          </w:p>
        </w:tc>
        <w:tc>
          <w:tcPr>
            <w:tcW w:w="0" w:type="auto"/>
            <w:vAlign w:val="center"/>
            <w:hideMark/>
          </w:tcPr>
          <w:p w14:paraId="1BECD533" w14:textId="77777777" w:rsidR="00095D95" w:rsidRPr="00095D95" w:rsidRDefault="00095D95" w:rsidP="00095D95">
            <w:r w:rsidRPr="00095D95">
              <w:t>0.56</w:t>
            </w:r>
          </w:p>
        </w:tc>
        <w:tc>
          <w:tcPr>
            <w:tcW w:w="0" w:type="auto"/>
            <w:vAlign w:val="center"/>
            <w:hideMark/>
          </w:tcPr>
          <w:p w14:paraId="67BBC1D8" w14:textId="77777777" w:rsidR="00095D95" w:rsidRPr="00095D95" w:rsidRDefault="00095D95" w:rsidP="00095D95">
            <w:r w:rsidRPr="00095D95">
              <w:t>8.48</w:t>
            </w:r>
          </w:p>
        </w:tc>
        <w:tc>
          <w:tcPr>
            <w:tcW w:w="0" w:type="auto"/>
            <w:vAlign w:val="center"/>
            <w:hideMark/>
          </w:tcPr>
          <w:p w14:paraId="29085DC7" w14:textId="77777777" w:rsidR="00095D95" w:rsidRPr="00095D95" w:rsidRDefault="00095D95" w:rsidP="00095D95">
            <w:r w:rsidRPr="00095D95">
              <w:t>1.24</w:t>
            </w:r>
          </w:p>
        </w:tc>
        <w:tc>
          <w:tcPr>
            <w:tcW w:w="0" w:type="auto"/>
            <w:vAlign w:val="center"/>
            <w:hideMark/>
          </w:tcPr>
          <w:p w14:paraId="41025AC2" w14:textId="77777777" w:rsidR="00095D95" w:rsidRPr="00095D95" w:rsidRDefault="00095D95" w:rsidP="00095D95">
            <w:r w:rsidRPr="00095D95">
              <w:t>75.60</w:t>
            </w:r>
          </w:p>
        </w:tc>
        <w:tc>
          <w:tcPr>
            <w:tcW w:w="0" w:type="auto"/>
            <w:vAlign w:val="center"/>
            <w:hideMark/>
          </w:tcPr>
          <w:p w14:paraId="1260988D" w14:textId="77777777" w:rsidR="00095D95" w:rsidRPr="00095D95" w:rsidRDefault="00095D95" w:rsidP="00095D95">
            <w:r w:rsidRPr="00095D95">
              <w:t>35.73</w:t>
            </w:r>
          </w:p>
        </w:tc>
      </w:tr>
      <w:tr w:rsidR="00095D95" w:rsidRPr="00095D95" w14:paraId="52023665" w14:textId="77777777" w:rsidTr="00095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3CDE5" w14:textId="77777777" w:rsidR="00095D95" w:rsidRPr="00095D95" w:rsidRDefault="00095D95" w:rsidP="00095D95">
            <w:r w:rsidRPr="00095D95">
              <w:t>2023</w:t>
            </w:r>
          </w:p>
        </w:tc>
        <w:tc>
          <w:tcPr>
            <w:tcW w:w="0" w:type="auto"/>
            <w:vAlign w:val="center"/>
            <w:hideMark/>
          </w:tcPr>
          <w:p w14:paraId="788E7B91" w14:textId="77777777" w:rsidR="00095D95" w:rsidRPr="00095D95" w:rsidRDefault="00095D95" w:rsidP="00095D95">
            <w:r w:rsidRPr="00095D95">
              <w:t>1.62</w:t>
            </w:r>
          </w:p>
        </w:tc>
        <w:tc>
          <w:tcPr>
            <w:tcW w:w="0" w:type="auto"/>
            <w:vAlign w:val="center"/>
            <w:hideMark/>
          </w:tcPr>
          <w:p w14:paraId="0D275E6B" w14:textId="77777777" w:rsidR="00095D95" w:rsidRPr="00095D95" w:rsidRDefault="00095D95" w:rsidP="00095D95">
            <w:r w:rsidRPr="00095D95">
              <w:t>0.58</w:t>
            </w:r>
          </w:p>
        </w:tc>
        <w:tc>
          <w:tcPr>
            <w:tcW w:w="0" w:type="auto"/>
            <w:vAlign w:val="center"/>
            <w:hideMark/>
          </w:tcPr>
          <w:p w14:paraId="3A5DE259" w14:textId="77777777" w:rsidR="00095D95" w:rsidRPr="00095D95" w:rsidRDefault="00095D95" w:rsidP="00095D95">
            <w:r w:rsidRPr="00095D95">
              <w:t>0.08</w:t>
            </w:r>
          </w:p>
        </w:tc>
        <w:tc>
          <w:tcPr>
            <w:tcW w:w="0" w:type="auto"/>
            <w:vAlign w:val="center"/>
            <w:hideMark/>
          </w:tcPr>
          <w:p w14:paraId="3EC14201" w14:textId="77777777" w:rsidR="00095D95" w:rsidRPr="00095D95" w:rsidRDefault="00095D95" w:rsidP="00095D95">
            <w:r w:rsidRPr="00095D95">
              <w:t>0.08</w:t>
            </w:r>
          </w:p>
        </w:tc>
        <w:tc>
          <w:tcPr>
            <w:tcW w:w="0" w:type="auto"/>
            <w:vAlign w:val="center"/>
            <w:hideMark/>
          </w:tcPr>
          <w:p w14:paraId="170DF9C1" w14:textId="77777777" w:rsidR="00095D95" w:rsidRPr="00095D95" w:rsidRDefault="00095D95" w:rsidP="00095D95">
            <w:r w:rsidRPr="00095D95">
              <w:t>0.20</w:t>
            </w:r>
          </w:p>
        </w:tc>
        <w:tc>
          <w:tcPr>
            <w:tcW w:w="0" w:type="auto"/>
            <w:vAlign w:val="center"/>
            <w:hideMark/>
          </w:tcPr>
          <w:p w14:paraId="0E332F57" w14:textId="77777777" w:rsidR="00095D95" w:rsidRPr="00095D95" w:rsidRDefault="00095D95" w:rsidP="00095D95">
            <w:r w:rsidRPr="00095D95">
              <w:t>0.59</w:t>
            </w:r>
          </w:p>
        </w:tc>
        <w:tc>
          <w:tcPr>
            <w:tcW w:w="0" w:type="auto"/>
            <w:vAlign w:val="center"/>
            <w:hideMark/>
          </w:tcPr>
          <w:p w14:paraId="5CABE85B" w14:textId="77777777" w:rsidR="00095D95" w:rsidRPr="00095D95" w:rsidRDefault="00095D95" w:rsidP="00095D95">
            <w:r w:rsidRPr="00095D95">
              <w:t>3.19</w:t>
            </w:r>
          </w:p>
        </w:tc>
        <w:tc>
          <w:tcPr>
            <w:tcW w:w="0" w:type="auto"/>
            <w:vAlign w:val="center"/>
            <w:hideMark/>
          </w:tcPr>
          <w:p w14:paraId="49FDDD66" w14:textId="77777777" w:rsidR="00095D95" w:rsidRPr="00095D95" w:rsidRDefault="00095D95" w:rsidP="00095D95">
            <w:r w:rsidRPr="00095D95">
              <w:t>1.03</w:t>
            </w:r>
          </w:p>
        </w:tc>
        <w:tc>
          <w:tcPr>
            <w:tcW w:w="0" w:type="auto"/>
            <w:vAlign w:val="center"/>
            <w:hideMark/>
          </w:tcPr>
          <w:p w14:paraId="2B2372F0" w14:textId="77777777" w:rsidR="00095D95" w:rsidRPr="00095D95" w:rsidRDefault="00095D95" w:rsidP="00095D95">
            <w:r w:rsidRPr="00095D95">
              <w:t>104.31</w:t>
            </w:r>
          </w:p>
        </w:tc>
        <w:tc>
          <w:tcPr>
            <w:tcW w:w="0" w:type="auto"/>
            <w:vAlign w:val="center"/>
            <w:hideMark/>
          </w:tcPr>
          <w:p w14:paraId="09FD35B6" w14:textId="77777777" w:rsidR="00095D95" w:rsidRPr="00095D95" w:rsidRDefault="00095D95" w:rsidP="00095D95">
            <w:r w:rsidRPr="00095D95">
              <w:t>60.80</w:t>
            </w:r>
          </w:p>
        </w:tc>
      </w:tr>
    </w:tbl>
    <w:p w14:paraId="39EDB222" w14:textId="77777777" w:rsidR="00095D95" w:rsidRPr="00095D95" w:rsidRDefault="00095D95" w:rsidP="00095D95">
      <w:pPr>
        <w:rPr>
          <w:b/>
          <w:bCs/>
        </w:rPr>
      </w:pPr>
      <w:r w:rsidRPr="00095D95">
        <w:rPr>
          <w:b/>
          <w:bCs/>
        </w:rPr>
        <w:t>Principais Críticas e Avaliação</w:t>
      </w:r>
    </w:p>
    <w:p w14:paraId="6ED79C57" w14:textId="77777777" w:rsidR="00095D95" w:rsidRPr="00095D95" w:rsidRDefault="00095D95" w:rsidP="00095D95">
      <w:pPr>
        <w:numPr>
          <w:ilvl w:val="0"/>
          <w:numId w:val="3"/>
        </w:numPr>
      </w:pPr>
      <w:r w:rsidRPr="00095D95">
        <w:rPr>
          <w:b/>
          <w:bCs/>
        </w:rPr>
        <w:t>Liquidez Corrente e Seca:</w:t>
      </w:r>
      <w:r w:rsidRPr="00095D95">
        <w:t xml:space="preserve"> Em queda, reduzindo margem de segurança para obrigações.</w:t>
      </w:r>
    </w:p>
    <w:p w14:paraId="60959536" w14:textId="77777777" w:rsidR="00095D95" w:rsidRPr="00095D95" w:rsidRDefault="00095D95" w:rsidP="00095D95">
      <w:pPr>
        <w:numPr>
          <w:ilvl w:val="0"/>
          <w:numId w:val="3"/>
        </w:numPr>
      </w:pPr>
      <w:r w:rsidRPr="00095D95">
        <w:rPr>
          <w:b/>
          <w:bCs/>
        </w:rPr>
        <w:t>Margem Líquida:</w:t>
      </w:r>
      <w:r w:rsidRPr="00095D95">
        <w:t xml:space="preserve"> Em declínio, afetando rentabilidade.</w:t>
      </w:r>
    </w:p>
    <w:p w14:paraId="658A3020" w14:textId="77777777" w:rsidR="00095D95" w:rsidRPr="00095D95" w:rsidRDefault="00095D95" w:rsidP="00095D95">
      <w:pPr>
        <w:numPr>
          <w:ilvl w:val="0"/>
          <w:numId w:val="3"/>
        </w:numPr>
      </w:pPr>
      <w:r w:rsidRPr="00095D95">
        <w:rPr>
          <w:b/>
          <w:bCs/>
        </w:rPr>
        <w:t>ROA e ROE:</w:t>
      </w:r>
      <w:r w:rsidRPr="00095D95">
        <w:t xml:space="preserve"> Queda indica menor eficiência na geração de valor.</w:t>
      </w:r>
    </w:p>
    <w:p w14:paraId="016530F8" w14:textId="77777777" w:rsidR="00095D95" w:rsidRPr="00095D95" w:rsidRDefault="00095D95" w:rsidP="00095D95">
      <w:pPr>
        <w:numPr>
          <w:ilvl w:val="0"/>
          <w:numId w:val="3"/>
        </w:numPr>
      </w:pPr>
      <w:r w:rsidRPr="00095D95">
        <w:rPr>
          <w:b/>
          <w:bCs/>
        </w:rPr>
        <w:t>Endividamento:</w:t>
      </w:r>
      <w:r w:rsidRPr="00095D95">
        <w:t xml:space="preserve"> Crescente, elevando riscos financeiros.</w:t>
      </w:r>
    </w:p>
    <w:p w14:paraId="22143871" w14:textId="77777777" w:rsidR="00095D95" w:rsidRPr="00095D95" w:rsidRDefault="00095D95" w:rsidP="00095D95">
      <w:r w:rsidRPr="00095D95">
        <w:pict w14:anchorId="10E3928C">
          <v:rect id="_x0000_i1065" style="width:0;height:1.5pt" o:hralign="center" o:hrstd="t" o:hr="t" fillcolor="#a0a0a0" stroked="f"/>
        </w:pict>
      </w:r>
    </w:p>
    <w:p w14:paraId="7CC6102E" w14:textId="77777777" w:rsidR="00095D95" w:rsidRPr="00095D95" w:rsidRDefault="00095D95" w:rsidP="00095D95">
      <w:r w:rsidRPr="00095D95">
        <w:rPr>
          <w:b/>
          <w:bCs/>
        </w:rPr>
        <w:t>5. ANÁLISE DOS FINSCORES E SERASA SCORE</w:t>
      </w:r>
    </w:p>
    <w:p w14:paraId="5567A4D7" w14:textId="77777777" w:rsidR="00095D95" w:rsidRPr="00095D95" w:rsidRDefault="00095D95" w:rsidP="00095D95">
      <w:pPr>
        <w:numPr>
          <w:ilvl w:val="0"/>
          <w:numId w:val="4"/>
        </w:numPr>
      </w:pPr>
      <w:proofErr w:type="spellStart"/>
      <w:r w:rsidRPr="00095D95">
        <w:rPr>
          <w:b/>
          <w:bCs/>
        </w:rPr>
        <w:t>FinScore</w:t>
      </w:r>
      <w:proofErr w:type="spellEnd"/>
      <w:r w:rsidRPr="00095D95">
        <w:rPr>
          <w:b/>
          <w:bCs/>
        </w:rPr>
        <w:t xml:space="preserve"> Bruto:</w:t>
      </w:r>
      <w:r w:rsidRPr="00095D95">
        <w:t xml:space="preserve"> -1.34 (</w:t>
      </w:r>
      <w:r w:rsidRPr="00095D95">
        <w:rPr>
          <w:b/>
          <w:bCs/>
        </w:rPr>
        <w:t>Levemente Acima do Risco</w:t>
      </w:r>
      <w:r w:rsidRPr="00095D95">
        <w:t>)</w:t>
      </w:r>
    </w:p>
    <w:p w14:paraId="042BB289" w14:textId="77777777" w:rsidR="00095D95" w:rsidRPr="00095D95" w:rsidRDefault="00095D95" w:rsidP="00095D95">
      <w:pPr>
        <w:numPr>
          <w:ilvl w:val="0"/>
          <w:numId w:val="4"/>
        </w:numPr>
      </w:pPr>
      <w:proofErr w:type="spellStart"/>
      <w:r w:rsidRPr="00095D95">
        <w:rPr>
          <w:b/>
          <w:bCs/>
        </w:rPr>
        <w:t>FinScore</w:t>
      </w:r>
      <w:proofErr w:type="spellEnd"/>
      <w:r w:rsidRPr="00095D95">
        <w:rPr>
          <w:b/>
          <w:bCs/>
        </w:rPr>
        <w:t xml:space="preserve"> Ajustado:</w:t>
      </w:r>
      <w:r w:rsidRPr="00095D95">
        <w:t xml:space="preserve"> 165.00 (</w:t>
      </w:r>
      <w:r w:rsidRPr="00095D95">
        <w:rPr>
          <w:b/>
          <w:bCs/>
        </w:rPr>
        <w:t>Levemente Acima do Risco</w:t>
      </w:r>
      <w:r w:rsidRPr="00095D95">
        <w:t>)</w:t>
      </w:r>
    </w:p>
    <w:p w14:paraId="1B6CF0DD" w14:textId="77777777" w:rsidR="00095D95" w:rsidRPr="00095D95" w:rsidRDefault="00095D95" w:rsidP="00095D95">
      <w:pPr>
        <w:numPr>
          <w:ilvl w:val="0"/>
          <w:numId w:val="4"/>
        </w:numPr>
      </w:pPr>
      <w:proofErr w:type="spellStart"/>
      <w:r w:rsidRPr="00095D95">
        <w:rPr>
          <w:b/>
          <w:bCs/>
        </w:rPr>
        <w:t>FinScore</w:t>
      </w:r>
      <w:proofErr w:type="spellEnd"/>
      <w:r w:rsidRPr="00095D95">
        <w:rPr>
          <w:b/>
          <w:bCs/>
        </w:rPr>
        <w:t xml:space="preserve"> Final:</w:t>
      </w:r>
      <w:r w:rsidRPr="00095D95">
        <w:t xml:space="preserve"> 747.50 (</w:t>
      </w:r>
      <w:r w:rsidRPr="00095D95">
        <w:rPr>
          <w:b/>
          <w:bCs/>
        </w:rPr>
        <w:t>Levemente Abaixo do Risco</w:t>
      </w:r>
      <w:r w:rsidRPr="00095D95">
        <w:t>)</w:t>
      </w:r>
    </w:p>
    <w:p w14:paraId="3D60FF83" w14:textId="77777777" w:rsidR="00095D95" w:rsidRPr="00095D95" w:rsidRDefault="00095D95" w:rsidP="00095D95">
      <w:pPr>
        <w:numPr>
          <w:ilvl w:val="0"/>
          <w:numId w:val="4"/>
        </w:numPr>
      </w:pPr>
      <w:r w:rsidRPr="00095D95">
        <w:rPr>
          <w:b/>
          <w:bCs/>
        </w:rPr>
        <w:t>Serasa Score:</w:t>
      </w:r>
      <w:r w:rsidRPr="00095D95">
        <w:t xml:space="preserve"> 1000.00 (</w:t>
      </w:r>
      <w:r w:rsidRPr="00095D95">
        <w:rPr>
          <w:b/>
          <w:bCs/>
        </w:rPr>
        <w:t>Muito Abaixo do Risco</w:t>
      </w:r>
      <w:r w:rsidRPr="00095D95">
        <w:t>)</w:t>
      </w:r>
    </w:p>
    <w:p w14:paraId="4D372B64" w14:textId="77777777" w:rsidR="00095D95" w:rsidRPr="00095D95" w:rsidRDefault="00095D95" w:rsidP="00095D95">
      <w:r w:rsidRPr="00095D95">
        <w:t>Apesar da avaliação contábil sugerir cautela, o Serasa Score positivo melhora a perspectiva.</w:t>
      </w:r>
    </w:p>
    <w:p w14:paraId="58887D42" w14:textId="77777777" w:rsidR="00095D95" w:rsidRPr="00095D95" w:rsidRDefault="00095D95" w:rsidP="00095D95">
      <w:r w:rsidRPr="00095D95">
        <w:pict w14:anchorId="0579C839">
          <v:rect id="_x0000_i1066" style="width:0;height:1.5pt" o:hralign="center" o:hrstd="t" o:hr="t" fillcolor="#a0a0a0" stroked="f"/>
        </w:pict>
      </w:r>
    </w:p>
    <w:p w14:paraId="073A3654" w14:textId="77777777" w:rsidR="00095D95" w:rsidRPr="00095D95" w:rsidRDefault="00095D95" w:rsidP="00095D95">
      <w:r w:rsidRPr="00095D95">
        <w:rPr>
          <w:b/>
          <w:bCs/>
        </w:rPr>
        <w:t>6. VEREDICTO FINAL</w:t>
      </w:r>
    </w:p>
    <w:p w14:paraId="5F42F6D3" w14:textId="77777777" w:rsidR="00095D95" w:rsidRPr="00095D95" w:rsidRDefault="00095D95" w:rsidP="00095D95">
      <w:r w:rsidRPr="00095D95">
        <w:t xml:space="preserve">Recomenda-se </w:t>
      </w:r>
      <w:r w:rsidRPr="00095D95">
        <w:rPr>
          <w:b/>
          <w:bCs/>
        </w:rPr>
        <w:t>cautela na concessão de crédito</w:t>
      </w:r>
      <w:r w:rsidRPr="00095D95">
        <w:t>, considerando garantias reais e monitoramento contínuo.</w:t>
      </w:r>
    </w:p>
    <w:p w14:paraId="2703F357" w14:textId="77777777" w:rsidR="00095D95" w:rsidRPr="00095D95" w:rsidRDefault="00095D95" w:rsidP="00095D95">
      <w:r w:rsidRPr="00095D95">
        <w:rPr>
          <w:b/>
          <w:bCs/>
        </w:rPr>
        <w:t>7. RECOMENDAÇÕES PARA MITIGAÇÃO DE RISCOS</w:t>
      </w:r>
    </w:p>
    <w:p w14:paraId="5D9B1FA7" w14:textId="77777777" w:rsidR="00095D95" w:rsidRPr="00095D95" w:rsidRDefault="00095D95" w:rsidP="00095D95">
      <w:pPr>
        <w:numPr>
          <w:ilvl w:val="0"/>
          <w:numId w:val="5"/>
        </w:numPr>
      </w:pPr>
      <w:r w:rsidRPr="00095D95">
        <w:t>Exigir garantias reais.</w:t>
      </w:r>
    </w:p>
    <w:p w14:paraId="231A3BB6" w14:textId="77777777" w:rsidR="00095D95" w:rsidRPr="00095D95" w:rsidRDefault="00095D95" w:rsidP="00095D95">
      <w:pPr>
        <w:numPr>
          <w:ilvl w:val="0"/>
          <w:numId w:val="5"/>
        </w:numPr>
      </w:pPr>
      <w:r w:rsidRPr="00095D95">
        <w:lastRenderedPageBreak/>
        <w:t>Estabelecer limite de crédito compatível.</w:t>
      </w:r>
    </w:p>
    <w:p w14:paraId="40717A20" w14:textId="77777777" w:rsidR="00095D95" w:rsidRPr="00095D95" w:rsidRDefault="00095D95" w:rsidP="00095D95">
      <w:pPr>
        <w:numPr>
          <w:ilvl w:val="0"/>
          <w:numId w:val="5"/>
        </w:numPr>
      </w:pPr>
      <w:r w:rsidRPr="00095D95">
        <w:t>Monitorar periodicamente indicadores financeiros.</w:t>
      </w:r>
    </w:p>
    <w:p w14:paraId="540052EE" w14:textId="77777777" w:rsidR="009C77C8" w:rsidRDefault="009C77C8"/>
    <w:sectPr w:rsidR="009C7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65137"/>
    <w:multiLevelType w:val="multilevel"/>
    <w:tmpl w:val="D13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01057"/>
    <w:multiLevelType w:val="multilevel"/>
    <w:tmpl w:val="F6AA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A3C89"/>
    <w:multiLevelType w:val="multilevel"/>
    <w:tmpl w:val="2E56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42EEE"/>
    <w:multiLevelType w:val="multilevel"/>
    <w:tmpl w:val="2F02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F0DAD"/>
    <w:multiLevelType w:val="multilevel"/>
    <w:tmpl w:val="C0DC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001866">
    <w:abstractNumId w:val="0"/>
  </w:num>
  <w:num w:numId="2" w16cid:durableId="2039162176">
    <w:abstractNumId w:val="1"/>
  </w:num>
  <w:num w:numId="3" w16cid:durableId="320886667">
    <w:abstractNumId w:val="3"/>
  </w:num>
  <w:num w:numId="4" w16cid:durableId="1720938086">
    <w:abstractNumId w:val="4"/>
  </w:num>
  <w:num w:numId="5" w16cid:durableId="242033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95"/>
    <w:rsid w:val="00095D95"/>
    <w:rsid w:val="00583D47"/>
    <w:rsid w:val="009C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8B5A"/>
  <w15:chartTrackingRefBased/>
  <w15:docId w15:val="{16C7141F-1286-433E-949B-F6505510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5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5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5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5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5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5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5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5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5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5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5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5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5D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5D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5D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5D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5D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5D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5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5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5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5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5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5D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5D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5D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5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5D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5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626</Words>
  <Characters>3381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Vieira</dc:creator>
  <cp:keywords/>
  <dc:description/>
  <cp:lastModifiedBy>Fernando Vieira</cp:lastModifiedBy>
  <cp:revision>1</cp:revision>
  <dcterms:created xsi:type="dcterms:W3CDTF">2025-03-07T05:45:00Z</dcterms:created>
  <dcterms:modified xsi:type="dcterms:W3CDTF">2025-03-07T05:46:00Z</dcterms:modified>
</cp:coreProperties>
</file>