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1C77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>Relatório de Análise de Crédito - CARGOBR TRANSPORTES</w:t>
      </w:r>
    </w:p>
    <w:p w14:paraId="5DA304CE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 xml:space="preserve">1. Introdução ao </w:t>
      </w:r>
      <w:proofErr w:type="spellStart"/>
      <w:r w:rsidRPr="00323587">
        <w:rPr>
          <w:b/>
          <w:bCs/>
        </w:rPr>
        <w:t>FinScore</w:t>
      </w:r>
      <w:proofErr w:type="spellEnd"/>
    </w:p>
    <w:p w14:paraId="51FC2B2D" w14:textId="77777777" w:rsidR="00323587" w:rsidRPr="00323587" w:rsidRDefault="00323587" w:rsidP="00323587">
      <w:r w:rsidRPr="00323587">
        <w:t xml:space="preserve">O </w:t>
      </w:r>
      <w:proofErr w:type="spellStart"/>
      <w:r w:rsidRPr="00323587">
        <w:rPr>
          <w:b/>
          <w:bCs/>
        </w:rPr>
        <w:t>FinScore</w:t>
      </w:r>
      <w:proofErr w:type="spellEnd"/>
      <w:r w:rsidRPr="00323587">
        <w:t xml:space="preserve"> é um índice consolidado que sintetiza a </w:t>
      </w:r>
      <w:r w:rsidRPr="00323587">
        <w:rPr>
          <w:b/>
          <w:bCs/>
        </w:rPr>
        <w:t>capacidade de pagamento, liquidez e resultados operacionais</w:t>
      </w:r>
      <w:r w:rsidRPr="00323587">
        <w:t xml:space="preserve"> da empresa. Ele é calculado a partir das demonstrações financeiras, índices contábeis e análise multivariada, proporcionando uma </w:t>
      </w:r>
      <w:r w:rsidRPr="00323587">
        <w:rPr>
          <w:b/>
          <w:bCs/>
        </w:rPr>
        <w:t>visão clara do risco financeiro</w:t>
      </w:r>
      <w:r w:rsidRPr="00323587">
        <w:t xml:space="preserve">. O objetivo final do </w:t>
      </w:r>
      <w:proofErr w:type="spellStart"/>
      <w:r w:rsidRPr="00323587">
        <w:t>FinScore</w:t>
      </w:r>
      <w:proofErr w:type="spellEnd"/>
      <w:r w:rsidRPr="00323587">
        <w:t xml:space="preserve"> é avaliar a </w:t>
      </w:r>
      <w:r w:rsidRPr="00323587">
        <w:rPr>
          <w:b/>
          <w:bCs/>
        </w:rPr>
        <w:t>solidez financeira</w:t>
      </w:r>
      <w:r w:rsidRPr="00323587">
        <w:t xml:space="preserve"> e a </w:t>
      </w:r>
      <w:r w:rsidRPr="00323587">
        <w:rPr>
          <w:b/>
          <w:bCs/>
        </w:rPr>
        <w:t>capacidade de honrar compromissos financeiros</w:t>
      </w:r>
      <w:r w:rsidRPr="00323587">
        <w:t xml:space="preserve"> da empresa.</w:t>
      </w:r>
    </w:p>
    <w:p w14:paraId="52113D1B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 xml:space="preserve">2. Classificação do </w:t>
      </w:r>
      <w:proofErr w:type="spellStart"/>
      <w:r w:rsidRPr="00323587">
        <w:rPr>
          <w:b/>
          <w:bCs/>
        </w:rPr>
        <w:t>FinScore</w:t>
      </w:r>
      <w:proofErr w:type="spellEnd"/>
    </w:p>
    <w:p w14:paraId="7A6213E4" w14:textId="77777777" w:rsidR="00323587" w:rsidRPr="00323587" w:rsidRDefault="00323587" w:rsidP="00323587">
      <w:r w:rsidRPr="00323587">
        <w:t xml:space="preserve">A classificação da empresa CARGOBR TRANSPORTES baseia-se nos três principais </w:t>
      </w:r>
      <w:proofErr w:type="spellStart"/>
      <w:r w:rsidRPr="00323587">
        <w:t>FinScores</w:t>
      </w:r>
      <w:proofErr w:type="spellEnd"/>
      <w:r w:rsidRPr="00323587">
        <w:t xml:space="preserve"> e no Serasa Score:</w:t>
      </w:r>
    </w:p>
    <w:p w14:paraId="1FA1FEED" w14:textId="77777777" w:rsidR="00323587" w:rsidRPr="00323587" w:rsidRDefault="00323587" w:rsidP="00323587">
      <w:pPr>
        <w:numPr>
          <w:ilvl w:val="0"/>
          <w:numId w:val="1"/>
        </w:numPr>
      </w:pPr>
      <w:proofErr w:type="spellStart"/>
      <w:r w:rsidRPr="00323587">
        <w:rPr>
          <w:b/>
          <w:bCs/>
        </w:rPr>
        <w:t>FinScore</w:t>
      </w:r>
      <w:proofErr w:type="spellEnd"/>
      <w:r w:rsidRPr="00323587">
        <w:rPr>
          <w:b/>
          <w:bCs/>
        </w:rPr>
        <w:t xml:space="preserve"> Bruto:</w:t>
      </w:r>
      <w:r w:rsidRPr="00323587">
        <w:t xml:space="preserve"> -1.51 (categoria: Risco Elevado)</w:t>
      </w:r>
    </w:p>
    <w:p w14:paraId="24BD8F8F" w14:textId="77777777" w:rsidR="00323587" w:rsidRPr="00323587" w:rsidRDefault="00323587" w:rsidP="00323587">
      <w:pPr>
        <w:numPr>
          <w:ilvl w:val="0"/>
          <w:numId w:val="1"/>
        </w:numPr>
      </w:pPr>
      <w:proofErr w:type="spellStart"/>
      <w:r w:rsidRPr="00323587">
        <w:rPr>
          <w:b/>
          <w:bCs/>
        </w:rPr>
        <w:t>FinScore</w:t>
      </w:r>
      <w:proofErr w:type="spellEnd"/>
      <w:r w:rsidRPr="00323587">
        <w:rPr>
          <w:b/>
          <w:bCs/>
        </w:rPr>
        <w:t xml:space="preserve"> Ajustado:</w:t>
      </w:r>
      <w:r w:rsidRPr="00323587">
        <w:t xml:space="preserve"> 122.5 (categoria: Moderado)</w:t>
      </w:r>
    </w:p>
    <w:p w14:paraId="1739230A" w14:textId="77777777" w:rsidR="00323587" w:rsidRPr="00323587" w:rsidRDefault="00323587" w:rsidP="00323587">
      <w:pPr>
        <w:numPr>
          <w:ilvl w:val="0"/>
          <w:numId w:val="1"/>
        </w:numPr>
      </w:pPr>
      <w:proofErr w:type="spellStart"/>
      <w:r w:rsidRPr="00323587">
        <w:rPr>
          <w:b/>
          <w:bCs/>
        </w:rPr>
        <w:t>FinScore</w:t>
      </w:r>
      <w:proofErr w:type="spellEnd"/>
      <w:r w:rsidRPr="00323587">
        <w:rPr>
          <w:b/>
          <w:bCs/>
        </w:rPr>
        <w:t xml:space="preserve"> Final:</w:t>
      </w:r>
      <w:r w:rsidRPr="00323587">
        <w:t xml:space="preserve"> 403.62 (categoria: Estável)</w:t>
      </w:r>
    </w:p>
    <w:p w14:paraId="0601F20E" w14:textId="77777777" w:rsidR="00323587" w:rsidRPr="00323587" w:rsidRDefault="00323587" w:rsidP="00323587">
      <w:pPr>
        <w:numPr>
          <w:ilvl w:val="0"/>
          <w:numId w:val="1"/>
        </w:numPr>
      </w:pPr>
      <w:r w:rsidRPr="00323587">
        <w:rPr>
          <w:b/>
          <w:bCs/>
        </w:rPr>
        <w:t>Serasa Score:</w:t>
      </w:r>
      <w:r w:rsidRPr="00323587">
        <w:t xml:space="preserve"> 550 (categoria: Regular)</w:t>
      </w:r>
    </w:p>
    <w:p w14:paraId="13AFB823" w14:textId="77777777" w:rsidR="00323587" w:rsidRPr="00323587" w:rsidRDefault="00323587" w:rsidP="00323587">
      <w:r w:rsidRPr="00323587">
        <w:t>A coerência entre os scores sugere uma empresa que, apesar do histórico de dificuldades financeiras, apresenta certa capacidade de recuperação e controle sobre suas obrigações financeiras.</w:t>
      </w:r>
    </w:p>
    <w:p w14:paraId="5737E144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>3. Análise dos Dados Contábeis (2021-2023)</w:t>
      </w:r>
    </w:p>
    <w:p w14:paraId="15C9E3A5" w14:textId="77777777" w:rsidR="00323587" w:rsidRPr="00323587" w:rsidRDefault="00323587" w:rsidP="00323587">
      <w:r w:rsidRPr="00323587">
        <w:t>A seguir, apresentamos a evolução dos principais indicadores contábeis: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813"/>
        <w:gridCol w:w="2093"/>
        <w:gridCol w:w="1630"/>
        <w:gridCol w:w="2133"/>
      </w:tblGrid>
      <w:tr w:rsidR="00323587" w:rsidRPr="00323587" w14:paraId="7944EEBD" w14:textId="77777777" w:rsidTr="003235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EE0AB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0A6DF503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Ativo Circulante</w:t>
            </w:r>
          </w:p>
        </w:tc>
        <w:tc>
          <w:tcPr>
            <w:tcW w:w="0" w:type="auto"/>
            <w:vAlign w:val="center"/>
            <w:hideMark/>
          </w:tcPr>
          <w:p w14:paraId="375D355A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Passivo Circulante</w:t>
            </w:r>
          </w:p>
        </w:tc>
        <w:tc>
          <w:tcPr>
            <w:tcW w:w="0" w:type="auto"/>
            <w:vAlign w:val="center"/>
            <w:hideMark/>
          </w:tcPr>
          <w:p w14:paraId="0DD49F8E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Lucro Líquido</w:t>
            </w:r>
          </w:p>
        </w:tc>
        <w:tc>
          <w:tcPr>
            <w:tcW w:w="0" w:type="auto"/>
            <w:vAlign w:val="center"/>
            <w:hideMark/>
          </w:tcPr>
          <w:p w14:paraId="30F9C69B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Patrimônio Líquido</w:t>
            </w:r>
          </w:p>
        </w:tc>
      </w:tr>
      <w:tr w:rsidR="00323587" w:rsidRPr="00323587" w14:paraId="7BAF8D51" w14:textId="77777777" w:rsidTr="00323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7BEF8" w14:textId="77777777" w:rsidR="00323587" w:rsidRPr="00323587" w:rsidRDefault="00323587" w:rsidP="00323587">
            <w:r w:rsidRPr="00323587">
              <w:t>2021</w:t>
            </w:r>
          </w:p>
        </w:tc>
        <w:tc>
          <w:tcPr>
            <w:tcW w:w="0" w:type="auto"/>
            <w:vAlign w:val="center"/>
            <w:hideMark/>
          </w:tcPr>
          <w:p w14:paraId="46B6291A" w14:textId="77777777" w:rsidR="00323587" w:rsidRPr="00323587" w:rsidRDefault="00323587" w:rsidP="00323587">
            <w:r w:rsidRPr="00323587">
              <w:t>7.285.475,34</w:t>
            </w:r>
          </w:p>
        </w:tc>
        <w:tc>
          <w:tcPr>
            <w:tcW w:w="0" w:type="auto"/>
            <w:vAlign w:val="center"/>
            <w:hideMark/>
          </w:tcPr>
          <w:p w14:paraId="5553B1B2" w14:textId="77777777" w:rsidR="00323587" w:rsidRPr="00323587" w:rsidRDefault="00323587" w:rsidP="00323587">
            <w:r w:rsidRPr="00323587">
              <w:t>54.559.483,22</w:t>
            </w:r>
          </w:p>
        </w:tc>
        <w:tc>
          <w:tcPr>
            <w:tcW w:w="0" w:type="auto"/>
            <w:vAlign w:val="center"/>
            <w:hideMark/>
          </w:tcPr>
          <w:p w14:paraId="06D4DF0C" w14:textId="77777777" w:rsidR="00323587" w:rsidRPr="00323587" w:rsidRDefault="00323587" w:rsidP="00323587">
            <w:r w:rsidRPr="00323587">
              <w:t>-571.441,32</w:t>
            </w:r>
          </w:p>
        </w:tc>
        <w:tc>
          <w:tcPr>
            <w:tcW w:w="0" w:type="auto"/>
            <w:vAlign w:val="center"/>
            <w:hideMark/>
          </w:tcPr>
          <w:p w14:paraId="2F7D799F" w14:textId="77777777" w:rsidR="00323587" w:rsidRPr="00323587" w:rsidRDefault="00323587" w:rsidP="00323587">
            <w:r w:rsidRPr="00323587">
              <w:t>-42.886.164,95</w:t>
            </w:r>
          </w:p>
        </w:tc>
      </w:tr>
      <w:tr w:rsidR="00323587" w:rsidRPr="00323587" w14:paraId="28558C29" w14:textId="77777777" w:rsidTr="00323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6459" w14:textId="77777777" w:rsidR="00323587" w:rsidRPr="00323587" w:rsidRDefault="00323587" w:rsidP="00323587">
            <w:r w:rsidRPr="00323587">
              <w:t>2022</w:t>
            </w:r>
          </w:p>
        </w:tc>
        <w:tc>
          <w:tcPr>
            <w:tcW w:w="0" w:type="auto"/>
            <w:vAlign w:val="center"/>
            <w:hideMark/>
          </w:tcPr>
          <w:p w14:paraId="1A8F70FE" w14:textId="77777777" w:rsidR="00323587" w:rsidRPr="00323587" w:rsidRDefault="00323587" w:rsidP="00323587">
            <w:r w:rsidRPr="00323587">
              <w:t>19.291.452,44</w:t>
            </w:r>
          </w:p>
        </w:tc>
        <w:tc>
          <w:tcPr>
            <w:tcW w:w="0" w:type="auto"/>
            <w:vAlign w:val="center"/>
            <w:hideMark/>
          </w:tcPr>
          <w:p w14:paraId="0BEE7EC4" w14:textId="77777777" w:rsidR="00323587" w:rsidRPr="00323587" w:rsidRDefault="00323587" w:rsidP="00323587">
            <w:r w:rsidRPr="00323587">
              <w:t>57.383.223,87</w:t>
            </w:r>
          </w:p>
        </w:tc>
        <w:tc>
          <w:tcPr>
            <w:tcW w:w="0" w:type="auto"/>
            <w:vAlign w:val="center"/>
            <w:hideMark/>
          </w:tcPr>
          <w:p w14:paraId="5781EB69" w14:textId="77777777" w:rsidR="00323587" w:rsidRPr="00323587" w:rsidRDefault="00323587" w:rsidP="00323587">
            <w:r w:rsidRPr="00323587">
              <w:t>-11.518.730,97</w:t>
            </w:r>
          </w:p>
        </w:tc>
        <w:tc>
          <w:tcPr>
            <w:tcW w:w="0" w:type="auto"/>
            <w:vAlign w:val="center"/>
            <w:hideMark/>
          </w:tcPr>
          <w:p w14:paraId="2E30FC8D" w14:textId="77777777" w:rsidR="00323587" w:rsidRPr="00323587" w:rsidRDefault="00323587" w:rsidP="00323587">
            <w:r w:rsidRPr="00323587">
              <w:t>-43.314.723,63</w:t>
            </w:r>
          </w:p>
        </w:tc>
      </w:tr>
      <w:tr w:rsidR="00323587" w:rsidRPr="00323587" w14:paraId="3A099384" w14:textId="77777777" w:rsidTr="00323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B9B0" w14:textId="77777777" w:rsidR="00323587" w:rsidRPr="00323587" w:rsidRDefault="00323587" w:rsidP="00323587">
            <w:r w:rsidRPr="00323587">
              <w:t>2023</w:t>
            </w:r>
          </w:p>
        </w:tc>
        <w:tc>
          <w:tcPr>
            <w:tcW w:w="0" w:type="auto"/>
            <w:vAlign w:val="center"/>
            <w:hideMark/>
          </w:tcPr>
          <w:p w14:paraId="05568901" w14:textId="77777777" w:rsidR="00323587" w:rsidRPr="00323587" w:rsidRDefault="00323587" w:rsidP="00323587">
            <w:r w:rsidRPr="00323587">
              <w:t>37.083.837,78</w:t>
            </w:r>
          </w:p>
        </w:tc>
        <w:tc>
          <w:tcPr>
            <w:tcW w:w="0" w:type="auto"/>
            <w:vAlign w:val="center"/>
            <w:hideMark/>
          </w:tcPr>
          <w:p w14:paraId="63D2ACC6" w14:textId="77777777" w:rsidR="00323587" w:rsidRPr="00323587" w:rsidRDefault="00323587" w:rsidP="00323587">
            <w:r w:rsidRPr="00323587">
              <w:t>53.527.346,56</w:t>
            </w:r>
          </w:p>
        </w:tc>
        <w:tc>
          <w:tcPr>
            <w:tcW w:w="0" w:type="auto"/>
            <w:vAlign w:val="center"/>
            <w:hideMark/>
          </w:tcPr>
          <w:p w14:paraId="243B17BA" w14:textId="77777777" w:rsidR="00323587" w:rsidRPr="00323587" w:rsidRDefault="00323587" w:rsidP="00323587">
            <w:r w:rsidRPr="00323587">
              <w:t>-23.069.680,30</w:t>
            </w:r>
          </w:p>
        </w:tc>
        <w:tc>
          <w:tcPr>
            <w:tcW w:w="0" w:type="auto"/>
            <w:vAlign w:val="center"/>
            <w:hideMark/>
          </w:tcPr>
          <w:p w14:paraId="0A09EE59" w14:textId="77777777" w:rsidR="00323587" w:rsidRPr="00323587" w:rsidRDefault="00323587" w:rsidP="00323587">
            <w:r w:rsidRPr="00323587">
              <w:t>-38.464.111,72</w:t>
            </w:r>
          </w:p>
        </w:tc>
      </w:tr>
    </w:tbl>
    <w:p w14:paraId="1C6CF7DC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>Interpretação:</w:t>
      </w:r>
    </w:p>
    <w:p w14:paraId="1B6D82A6" w14:textId="77777777" w:rsidR="00323587" w:rsidRPr="00323587" w:rsidRDefault="00323587" w:rsidP="00323587">
      <w:pPr>
        <w:numPr>
          <w:ilvl w:val="0"/>
          <w:numId w:val="2"/>
        </w:numPr>
      </w:pPr>
      <w:r w:rsidRPr="00323587">
        <w:t xml:space="preserve">O </w:t>
      </w:r>
      <w:r w:rsidRPr="00323587">
        <w:rPr>
          <w:b/>
          <w:bCs/>
        </w:rPr>
        <w:t>Ativo Circulante</w:t>
      </w:r>
      <w:r w:rsidRPr="00323587">
        <w:t xml:space="preserve"> cresceu significativamente, indicando um possível ajuste na estrutura de capital.</w:t>
      </w:r>
    </w:p>
    <w:p w14:paraId="5339D7F8" w14:textId="77777777" w:rsidR="00323587" w:rsidRPr="00323587" w:rsidRDefault="00323587" w:rsidP="00323587">
      <w:pPr>
        <w:numPr>
          <w:ilvl w:val="0"/>
          <w:numId w:val="2"/>
        </w:numPr>
      </w:pPr>
      <w:r w:rsidRPr="00323587">
        <w:t xml:space="preserve">O </w:t>
      </w:r>
      <w:r w:rsidRPr="00323587">
        <w:rPr>
          <w:b/>
          <w:bCs/>
        </w:rPr>
        <w:t>Passivo Circulante</w:t>
      </w:r>
      <w:r w:rsidRPr="00323587">
        <w:t xml:space="preserve"> permaneceu elevado, aumentando o risco de liquidez.</w:t>
      </w:r>
    </w:p>
    <w:p w14:paraId="6D1F31BD" w14:textId="77777777" w:rsidR="00323587" w:rsidRPr="00323587" w:rsidRDefault="00323587" w:rsidP="00323587">
      <w:pPr>
        <w:numPr>
          <w:ilvl w:val="0"/>
          <w:numId w:val="2"/>
        </w:numPr>
      </w:pPr>
      <w:r w:rsidRPr="00323587">
        <w:t xml:space="preserve">O </w:t>
      </w:r>
      <w:r w:rsidRPr="00323587">
        <w:rPr>
          <w:b/>
          <w:bCs/>
        </w:rPr>
        <w:t>Lucro Líquido negativo</w:t>
      </w:r>
      <w:r w:rsidRPr="00323587">
        <w:t xml:space="preserve"> aponta dificuldades em gerar retorno financeiro.</w:t>
      </w:r>
    </w:p>
    <w:p w14:paraId="60C40809" w14:textId="77777777" w:rsidR="00323587" w:rsidRPr="00323587" w:rsidRDefault="00323587" w:rsidP="00323587">
      <w:pPr>
        <w:numPr>
          <w:ilvl w:val="0"/>
          <w:numId w:val="2"/>
        </w:numPr>
      </w:pPr>
      <w:r w:rsidRPr="00323587">
        <w:t xml:space="preserve">O </w:t>
      </w:r>
      <w:r w:rsidRPr="00323587">
        <w:rPr>
          <w:b/>
          <w:bCs/>
        </w:rPr>
        <w:t>Patrimônio Líquido negativo</w:t>
      </w:r>
      <w:r w:rsidRPr="00323587">
        <w:t xml:space="preserve"> indica endividamento excessivo.</w:t>
      </w:r>
    </w:p>
    <w:p w14:paraId="5B751C28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lastRenderedPageBreak/>
        <w:t>4. Análise dos Índices Financeiros</w:t>
      </w:r>
    </w:p>
    <w:p w14:paraId="36C61109" w14:textId="77777777" w:rsidR="00323587" w:rsidRPr="00323587" w:rsidRDefault="00323587" w:rsidP="00323587">
      <w:r w:rsidRPr="00323587">
        <w:t>Os principais índices financeiros da empresa são: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996"/>
        <w:gridCol w:w="1796"/>
        <w:gridCol w:w="597"/>
        <w:gridCol w:w="523"/>
        <w:gridCol w:w="1720"/>
      </w:tblGrid>
      <w:tr w:rsidR="00323587" w:rsidRPr="00323587" w14:paraId="6AAD5267" w14:textId="77777777" w:rsidTr="003235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84C53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72E505FC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Liquidez Corrente</w:t>
            </w:r>
          </w:p>
        </w:tc>
        <w:tc>
          <w:tcPr>
            <w:tcW w:w="0" w:type="auto"/>
            <w:vAlign w:val="center"/>
            <w:hideMark/>
          </w:tcPr>
          <w:p w14:paraId="57237BB9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Margem Líquida</w:t>
            </w:r>
          </w:p>
        </w:tc>
        <w:tc>
          <w:tcPr>
            <w:tcW w:w="0" w:type="auto"/>
            <w:vAlign w:val="center"/>
            <w:hideMark/>
          </w:tcPr>
          <w:p w14:paraId="074E46B2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ROA</w:t>
            </w:r>
          </w:p>
        </w:tc>
        <w:tc>
          <w:tcPr>
            <w:tcW w:w="0" w:type="auto"/>
            <w:vAlign w:val="center"/>
            <w:hideMark/>
          </w:tcPr>
          <w:p w14:paraId="60FAD003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ROE</w:t>
            </w:r>
          </w:p>
        </w:tc>
        <w:tc>
          <w:tcPr>
            <w:tcW w:w="0" w:type="auto"/>
            <w:vAlign w:val="center"/>
            <w:hideMark/>
          </w:tcPr>
          <w:p w14:paraId="110AE985" w14:textId="77777777" w:rsidR="00323587" w:rsidRPr="00323587" w:rsidRDefault="00323587" w:rsidP="00323587">
            <w:pPr>
              <w:rPr>
                <w:b/>
                <w:bCs/>
              </w:rPr>
            </w:pPr>
            <w:r w:rsidRPr="00323587">
              <w:rPr>
                <w:b/>
                <w:bCs/>
              </w:rPr>
              <w:t>Endividamento</w:t>
            </w:r>
          </w:p>
        </w:tc>
      </w:tr>
      <w:tr w:rsidR="00323587" w:rsidRPr="00323587" w14:paraId="6DFD5423" w14:textId="77777777" w:rsidTr="00323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F3760" w14:textId="77777777" w:rsidR="00323587" w:rsidRPr="00323587" w:rsidRDefault="00323587" w:rsidP="00323587">
            <w:r w:rsidRPr="00323587">
              <w:t>2021</w:t>
            </w:r>
          </w:p>
        </w:tc>
        <w:tc>
          <w:tcPr>
            <w:tcW w:w="0" w:type="auto"/>
            <w:vAlign w:val="center"/>
            <w:hideMark/>
          </w:tcPr>
          <w:p w14:paraId="123C1E51" w14:textId="77777777" w:rsidR="00323587" w:rsidRPr="00323587" w:rsidRDefault="00323587" w:rsidP="00323587">
            <w:r w:rsidRPr="00323587">
              <w:t>0.69</w:t>
            </w:r>
          </w:p>
        </w:tc>
        <w:tc>
          <w:tcPr>
            <w:tcW w:w="0" w:type="auto"/>
            <w:vAlign w:val="center"/>
            <w:hideMark/>
          </w:tcPr>
          <w:p w14:paraId="2763C4FF" w14:textId="77777777" w:rsidR="00323587" w:rsidRPr="00323587" w:rsidRDefault="00323587" w:rsidP="00323587">
            <w:r w:rsidRPr="00323587">
              <w:t>-11%</w:t>
            </w:r>
          </w:p>
        </w:tc>
        <w:tc>
          <w:tcPr>
            <w:tcW w:w="0" w:type="auto"/>
            <w:vAlign w:val="center"/>
            <w:hideMark/>
          </w:tcPr>
          <w:p w14:paraId="39892DA0" w14:textId="77777777" w:rsidR="00323587" w:rsidRPr="00323587" w:rsidRDefault="00323587" w:rsidP="00323587">
            <w:r w:rsidRPr="00323587">
              <w:t>-61%</w:t>
            </w:r>
          </w:p>
        </w:tc>
        <w:tc>
          <w:tcPr>
            <w:tcW w:w="0" w:type="auto"/>
            <w:vAlign w:val="center"/>
            <w:hideMark/>
          </w:tcPr>
          <w:p w14:paraId="5EA8156F" w14:textId="77777777" w:rsidR="00323587" w:rsidRPr="00323587" w:rsidRDefault="00323587" w:rsidP="00323587">
            <w:r w:rsidRPr="00323587">
              <w:t>60%</w:t>
            </w:r>
          </w:p>
        </w:tc>
        <w:tc>
          <w:tcPr>
            <w:tcW w:w="0" w:type="auto"/>
            <w:vAlign w:val="center"/>
            <w:hideMark/>
          </w:tcPr>
          <w:p w14:paraId="714B3A02" w14:textId="77777777" w:rsidR="00323587" w:rsidRPr="00323587" w:rsidRDefault="00323587" w:rsidP="00323587">
            <w:r w:rsidRPr="00323587">
              <w:t>2.01</w:t>
            </w:r>
          </w:p>
        </w:tc>
      </w:tr>
      <w:tr w:rsidR="00323587" w:rsidRPr="00323587" w14:paraId="2FAE2711" w14:textId="77777777" w:rsidTr="00323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B4D5" w14:textId="77777777" w:rsidR="00323587" w:rsidRPr="00323587" w:rsidRDefault="00323587" w:rsidP="00323587">
            <w:r w:rsidRPr="00323587">
              <w:t>2022</w:t>
            </w:r>
          </w:p>
        </w:tc>
        <w:tc>
          <w:tcPr>
            <w:tcW w:w="0" w:type="auto"/>
            <w:vAlign w:val="center"/>
            <w:hideMark/>
          </w:tcPr>
          <w:p w14:paraId="32D31B6F" w14:textId="77777777" w:rsidR="00323587" w:rsidRPr="00323587" w:rsidRDefault="00323587" w:rsidP="00323587">
            <w:r w:rsidRPr="00323587">
              <w:t>0.34</w:t>
            </w:r>
          </w:p>
        </w:tc>
        <w:tc>
          <w:tcPr>
            <w:tcW w:w="0" w:type="auto"/>
            <w:vAlign w:val="center"/>
            <w:hideMark/>
          </w:tcPr>
          <w:p w14:paraId="67D032CF" w14:textId="77777777" w:rsidR="00323587" w:rsidRPr="00323587" w:rsidRDefault="00323587" w:rsidP="00323587">
            <w:r w:rsidRPr="00323587">
              <w:t>-9%</w:t>
            </w:r>
          </w:p>
        </w:tc>
        <w:tc>
          <w:tcPr>
            <w:tcW w:w="0" w:type="auto"/>
            <w:vAlign w:val="center"/>
            <w:hideMark/>
          </w:tcPr>
          <w:p w14:paraId="393A25F6" w14:textId="77777777" w:rsidR="00323587" w:rsidRPr="00323587" w:rsidRDefault="00323587" w:rsidP="00323587">
            <w:r w:rsidRPr="00323587">
              <w:t>-42%</w:t>
            </w:r>
          </w:p>
        </w:tc>
        <w:tc>
          <w:tcPr>
            <w:tcW w:w="0" w:type="auto"/>
            <w:vAlign w:val="center"/>
            <w:hideMark/>
          </w:tcPr>
          <w:p w14:paraId="06CF2464" w14:textId="77777777" w:rsidR="00323587" w:rsidRPr="00323587" w:rsidRDefault="00323587" w:rsidP="00323587">
            <w:r w:rsidRPr="00323587">
              <w:t>27%</w:t>
            </w:r>
          </w:p>
        </w:tc>
        <w:tc>
          <w:tcPr>
            <w:tcW w:w="0" w:type="auto"/>
            <w:vAlign w:val="center"/>
            <w:hideMark/>
          </w:tcPr>
          <w:p w14:paraId="53B3B185" w14:textId="77777777" w:rsidR="00323587" w:rsidRPr="00323587" w:rsidRDefault="00323587" w:rsidP="00323587">
            <w:r w:rsidRPr="00323587">
              <w:t>2.59</w:t>
            </w:r>
          </w:p>
        </w:tc>
      </w:tr>
      <w:tr w:rsidR="00323587" w:rsidRPr="00323587" w14:paraId="0B61B250" w14:textId="77777777" w:rsidTr="00323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724B" w14:textId="77777777" w:rsidR="00323587" w:rsidRPr="00323587" w:rsidRDefault="00323587" w:rsidP="00323587">
            <w:r w:rsidRPr="00323587">
              <w:t>2023</w:t>
            </w:r>
          </w:p>
        </w:tc>
        <w:tc>
          <w:tcPr>
            <w:tcW w:w="0" w:type="auto"/>
            <w:vAlign w:val="center"/>
            <w:hideMark/>
          </w:tcPr>
          <w:p w14:paraId="4FB68D26" w14:textId="77777777" w:rsidR="00323587" w:rsidRPr="00323587" w:rsidRDefault="00323587" w:rsidP="00323587">
            <w:r w:rsidRPr="00323587">
              <w:t>0.13</w:t>
            </w:r>
          </w:p>
        </w:tc>
        <w:tc>
          <w:tcPr>
            <w:tcW w:w="0" w:type="auto"/>
            <w:vAlign w:val="center"/>
            <w:hideMark/>
          </w:tcPr>
          <w:p w14:paraId="2951C5D8" w14:textId="77777777" w:rsidR="00323587" w:rsidRPr="00323587" w:rsidRDefault="00323587" w:rsidP="00323587">
            <w:r w:rsidRPr="00323587">
              <w:t>-1%</w:t>
            </w:r>
          </w:p>
        </w:tc>
        <w:tc>
          <w:tcPr>
            <w:tcW w:w="0" w:type="auto"/>
            <w:vAlign w:val="center"/>
            <w:hideMark/>
          </w:tcPr>
          <w:p w14:paraId="411FBD8B" w14:textId="77777777" w:rsidR="00323587" w:rsidRPr="00323587" w:rsidRDefault="00323587" w:rsidP="00323587">
            <w:r w:rsidRPr="00323587">
              <w:t>-2%</w:t>
            </w:r>
          </w:p>
        </w:tc>
        <w:tc>
          <w:tcPr>
            <w:tcW w:w="0" w:type="auto"/>
            <w:vAlign w:val="center"/>
            <w:hideMark/>
          </w:tcPr>
          <w:p w14:paraId="79B761AC" w14:textId="77777777" w:rsidR="00323587" w:rsidRPr="00323587" w:rsidRDefault="00323587" w:rsidP="00323587">
            <w:r w:rsidRPr="00323587">
              <w:t>1%</w:t>
            </w:r>
          </w:p>
        </w:tc>
        <w:tc>
          <w:tcPr>
            <w:tcW w:w="0" w:type="auto"/>
            <w:vAlign w:val="center"/>
            <w:hideMark/>
          </w:tcPr>
          <w:p w14:paraId="0B2AFE12" w14:textId="77777777" w:rsidR="00323587" w:rsidRPr="00323587" w:rsidRDefault="00323587" w:rsidP="00323587">
            <w:r w:rsidRPr="00323587">
              <w:t>2.69</w:t>
            </w:r>
          </w:p>
        </w:tc>
      </w:tr>
    </w:tbl>
    <w:p w14:paraId="3E025C43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>Interpretação:</w:t>
      </w:r>
    </w:p>
    <w:p w14:paraId="7B9A4ED4" w14:textId="77777777" w:rsidR="00323587" w:rsidRPr="00323587" w:rsidRDefault="00323587" w:rsidP="00323587">
      <w:pPr>
        <w:numPr>
          <w:ilvl w:val="0"/>
          <w:numId w:val="3"/>
        </w:numPr>
      </w:pPr>
      <w:r w:rsidRPr="00323587">
        <w:rPr>
          <w:b/>
          <w:bCs/>
        </w:rPr>
        <w:t>Liquidez Corrente</w:t>
      </w:r>
      <w:r w:rsidRPr="00323587">
        <w:t xml:space="preserve"> em queda, atingindo 0.13 em 2023, indicando dificuldades na liquidação de passivos.</w:t>
      </w:r>
    </w:p>
    <w:p w14:paraId="69CF08B5" w14:textId="77777777" w:rsidR="00323587" w:rsidRPr="00323587" w:rsidRDefault="00323587" w:rsidP="00323587">
      <w:pPr>
        <w:numPr>
          <w:ilvl w:val="0"/>
          <w:numId w:val="3"/>
        </w:numPr>
      </w:pPr>
      <w:r w:rsidRPr="00323587">
        <w:rPr>
          <w:b/>
          <w:bCs/>
        </w:rPr>
        <w:t>Margem Líquida negativa</w:t>
      </w:r>
      <w:r w:rsidRPr="00323587">
        <w:t>, mas com tendência de melhora.</w:t>
      </w:r>
    </w:p>
    <w:p w14:paraId="468E04F6" w14:textId="77777777" w:rsidR="00323587" w:rsidRPr="00323587" w:rsidRDefault="00323587" w:rsidP="00323587">
      <w:pPr>
        <w:numPr>
          <w:ilvl w:val="0"/>
          <w:numId w:val="3"/>
        </w:numPr>
      </w:pPr>
      <w:r w:rsidRPr="00323587">
        <w:rPr>
          <w:b/>
          <w:bCs/>
        </w:rPr>
        <w:t>ROA e ROE negativos</w:t>
      </w:r>
      <w:r w:rsidRPr="00323587">
        <w:t>, indicando baixa rentabilidade dos ativos e do patrimônio.</w:t>
      </w:r>
    </w:p>
    <w:p w14:paraId="516118D9" w14:textId="77777777" w:rsidR="00323587" w:rsidRPr="00323587" w:rsidRDefault="00323587" w:rsidP="00323587">
      <w:pPr>
        <w:numPr>
          <w:ilvl w:val="0"/>
          <w:numId w:val="3"/>
        </w:numPr>
      </w:pPr>
      <w:r w:rsidRPr="00323587">
        <w:rPr>
          <w:b/>
          <w:bCs/>
        </w:rPr>
        <w:t>Endividamento elevado</w:t>
      </w:r>
      <w:r w:rsidRPr="00323587">
        <w:t>, com tendência de crescimento, aumentando a pressão financeira.</w:t>
      </w:r>
    </w:p>
    <w:p w14:paraId="1503219D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>5. Resultados da Análise Multivariada (PCA)</w:t>
      </w:r>
    </w:p>
    <w:p w14:paraId="342D4347" w14:textId="77777777" w:rsidR="00323587" w:rsidRPr="00323587" w:rsidRDefault="00323587" w:rsidP="00323587">
      <w:r w:rsidRPr="00323587">
        <w:t>A análise de componentes principais consolidou os índices financeiros e indicou que os principais fatores de risco para a empresa são:</w:t>
      </w:r>
    </w:p>
    <w:p w14:paraId="477AB9F5" w14:textId="77777777" w:rsidR="00323587" w:rsidRPr="00323587" w:rsidRDefault="00323587" w:rsidP="00323587">
      <w:pPr>
        <w:numPr>
          <w:ilvl w:val="0"/>
          <w:numId w:val="4"/>
        </w:numPr>
      </w:pPr>
      <w:r w:rsidRPr="00323587">
        <w:rPr>
          <w:b/>
          <w:bCs/>
        </w:rPr>
        <w:t>Baixa liquidez operacional</w:t>
      </w:r>
      <w:r w:rsidRPr="00323587">
        <w:t>: indica dificuldades na administração do capital de giro.</w:t>
      </w:r>
    </w:p>
    <w:p w14:paraId="4A3CCA90" w14:textId="77777777" w:rsidR="00323587" w:rsidRPr="00323587" w:rsidRDefault="00323587" w:rsidP="00323587">
      <w:pPr>
        <w:numPr>
          <w:ilvl w:val="0"/>
          <w:numId w:val="4"/>
        </w:numPr>
      </w:pPr>
      <w:r w:rsidRPr="00323587">
        <w:rPr>
          <w:b/>
          <w:bCs/>
        </w:rPr>
        <w:t>Endividamento elevado</w:t>
      </w:r>
      <w:r w:rsidRPr="00323587">
        <w:t>: reduz a flexibilidade financeira da empresa.</w:t>
      </w:r>
    </w:p>
    <w:p w14:paraId="1933D8FF" w14:textId="77777777" w:rsidR="00323587" w:rsidRPr="00323587" w:rsidRDefault="00323587" w:rsidP="00323587">
      <w:pPr>
        <w:numPr>
          <w:ilvl w:val="0"/>
          <w:numId w:val="4"/>
        </w:numPr>
      </w:pPr>
      <w:r w:rsidRPr="00323587">
        <w:rPr>
          <w:b/>
          <w:bCs/>
        </w:rPr>
        <w:t>Rentabilidade negativa</w:t>
      </w:r>
      <w:r w:rsidRPr="00323587">
        <w:t>: indica ineficiência na geração de lucros.</w:t>
      </w:r>
    </w:p>
    <w:p w14:paraId="75186A94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>6. Veredicto Final</w:t>
      </w:r>
    </w:p>
    <w:p w14:paraId="44BD9598" w14:textId="77777777" w:rsidR="00323587" w:rsidRPr="00323587" w:rsidRDefault="00323587" w:rsidP="00323587">
      <w:r w:rsidRPr="00323587">
        <w:t>A classificação final considera todos os fatores analisados:</w:t>
      </w:r>
    </w:p>
    <w:p w14:paraId="3820BC5D" w14:textId="77777777" w:rsidR="00323587" w:rsidRPr="00323587" w:rsidRDefault="00323587" w:rsidP="00323587">
      <w:pPr>
        <w:numPr>
          <w:ilvl w:val="0"/>
          <w:numId w:val="5"/>
        </w:numPr>
      </w:pPr>
      <w:proofErr w:type="spellStart"/>
      <w:r w:rsidRPr="00323587">
        <w:rPr>
          <w:b/>
          <w:bCs/>
        </w:rPr>
        <w:t>Finscore</w:t>
      </w:r>
      <w:proofErr w:type="spellEnd"/>
      <w:r w:rsidRPr="00323587">
        <w:rPr>
          <w:b/>
          <w:bCs/>
        </w:rPr>
        <w:t xml:space="preserve"> Bruto:</w:t>
      </w:r>
      <w:r w:rsidRPr="00323587">
        <w:t xml:space="preserve"> -1.51 (Risco Elevado)</w:t>
      </w:r>
    </w:p>
    <w:p w14:paraId="5AE714F3" w14:textId="77777777" w:rsidR="00323587" w:rsidRPr="00323587" w:rsidRDefault="00323587" w:rsidP="00323587">
      <w:pPr>
        <w:numPr>
          <w:ilvl w:val="0"/>
          <w:numId w:val="5"/>
        </w:numPr>
      </w:pPr>
      <w:proofErr w:type="spellStart"/>
      <w:r w:rsidRPr="00323587">
        <w:rPr>
          <w:b/>
          <w:bCs/>
        </w:rPr>
        <w:t>Finscore</w:t>
      </w:r>
      <w:proofErr w:type="spellEnd"/>
      <w:r w:rsidRPr="00323587">
        <w:rPr>
          <w:b/>
          <w:bCs/>
        </w:rPr>
        <w:t xml:space="preserve"> Ajustado:</w:t>
      </w:r>
      <w:r w:rsidRPr="00323587">
        <w:t xml:space="preserve"> 122.5 (Moderado)</w:t>
      </w:r>
    </w:p>
    <w:p w14:paraId="6E1B8DF5" w14:textId="77777777" w:rsidR="00323587" w:rsidRPr="00323587" w:rsidRDefault="00323587" w:rsidP="00323587">
      <w:pPr>
        <w:numPr>
          <w:ilvl w:val="0"/>
          <w:numId w:val="5"/>
        </w:numPr>
      </w:pPr>
      <w:proofErr w:type="spellStart"/>
      <w:r w:rsidRPr="00323587">
        <w:rPr>
          <w:b/>
          <w:bCs/>
        </w:rPr>
        <w:t>Finscore</w:t>
      </w:r>
      <w:proofErr w:type="spellEnd"/>
      <w:r w:rsidRPr="00323587">
        <w:rPr>
          <w:b/>
          <w:bCs/>
        </w:rPr>
        <w:t xml:space="preserve"> Final:</w:t>
      </w:r>
      <w:r w:rsidRPr="00323587">
        <w:t xml:space="preserve"> 403.62 (Estável)</w:t>
      </w:r>
    </w:p>
    <w:p w14:paraId="3221EE7C" w14:textId="77777777" w:rsidR="00323587" w:rsidRPr="00323587" w:rsidRDefault="00323587" w:rsidP="00323587">
      <w:pPr>
        <w:numPr>
          <w:ilvl w:val="0"/>
          <w:numId w:val="5"/>
        </w:numPr>
      </w:pPr>
      <w:r w:rsidRPr="00323587">
        <w:rPr>
          <w:b/>
          <w:bCs/>
        </w:rPr>
        <w:t>Serasa Score:</w:t>
      </w:r>
      <w:r w:rsidRPr="00323587">
        <w:t xml:space="preserve"> 550 (Regular)</w:t>
      </w:r>
    </w:p>
    <w:p w14:paraId="5AC6D5E6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>Decisão Final:</w:t>
      </w:r>
    </w:p>
    <w:p w14:paraId="1908C401" w14:textId="77777777" w:rsidR="00323587" w:rsidRPr="00323587" w:rsidRDefault="00323587" w:rsidP="00323587">
      <w:r w:rsidRPr="00323587">
        <w:rPr>
          <w:rFonts w:ascii="Segoe UI Emoji" w:hAnsi="Segoe UI Emoji" w:cs="Segoe UI Emoji"/>
        </w:rPr>
        <w:lastRenderedPageBreak/>
        <w:t>✅</w:t>
      </w:r>
      <w:r w:rsidRPr="00323587">
        <w:t xml:space="preserve"> </w:t>
      </w:r>
      <w:r w:rsidRPr="00323587">
        <w:rPr>
          <w:b/>
          <w:bCs/>
        </w:rPr>
        <w:t>RISCO CONTROLADO:</w:t>
      </w:r>
      <w:r w:rsidRPr="00323587">
        <w:t xml:space="preserve"> A empresa apresenta estabilidade relativa, mas exige monitoramento contínuo.</w:t>
      </w:r>
    </w:p>
    <w:p w14:paraId="00541FFA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>7. Conclusão e Recomendações</w:t>
      </w:r>
    </w:p>
    <w:p w14:paraId="365B637B" w14:textId="77777777" w:rsidR="00323587" w:rsidRPr="00323587" w:rsidRDefault="00323587" w:rsidP="00323587">
      <w:r w:rsidRPr="00323587">
        <w:t xml:space="preserve">Com base na análise, concluímos que a CARGOBR TRANSPORTES apresenta </w:t>
      </w:r>
      <w:r w:rsidRPr="00323587">
        <w:rPr>
          <w:b/>
          <w:bCs/>
        </w:rPr>
        <w:t>riscos financeiros relevantes</w:t>
      </w:r>
      <w:r w:rsidRPr="00323587">
        <w:t>, especialmente devido ao endividamento elevado e à baixa liquidez. No entanto, sinais de melhora na rentabilidade indicam uma possível recuperação.</w:t>
      </w:r>
    </w:p>
    <w:p w14:paraId="6B043F39" w14:textId="77777777" w:rsidR="00323587" w:rsidRPr="00323587" w:rsidRDefault="00323587" w:rsidP="00323587">
      <w:pPr>
        <w:rPr>
          <w:b/>
          <w:bCs/>
        </w:rPr>
      </w:pPr>
      <w:r w:rsidRPr="00323587">
        <w:rPr>
          <w:b/>
          <w:bCs/>
        </w:rPr>
        <w:t>Recomendações para Mitigação de Riscos:</w:t>
      </w:r>
    </w:p>
    <w:p w14:paraId="1CFA5842" w14:textId="77777777" w:rsidR="00323587" w:rsidRPr="00323587" w:rsidRDefault="00323587" w:rsidP="00323587">
      <w:pPr>
        <w:numPr>
          <w:ilvl w:val="0"/>
          <w:numId w:val="6"/>
        </w:numPr>
      </w:pPr>
      <w:r w:rsidRPr="00323587">
        <w:rPr>
          <w:b/>
          <w:bCs/>
        </w:rPr>
        <w:t>Exigir garantias adicionais</w:t>
      </w:r>
      <w:r w:rsidRPr="00323587">
        <w:t xml:space="preserve"> para novas concessões de crédito.</w:t>
      </w:r>
    </w:p>
    <w:p w14:paraId="4B189AD7" w14:textId="77777777" w:rsidR="00323587" w:rsidRPr="00323587" w:rsidRDefault="00323587" w:rsidP="00323587">
      <w:pPr>
        <w:numPr>
          <w:ilvl w:val="0"/>
          <w:numId w:val="6"/>
        </w:numPr>
      </w:pPr>
      <w:r w:rsidRPr="00323587">
        <w:rPr>
          <w:b/>
          <w:bCs/>
        </w:rPr>
        <w:t>Monitoramento trimestral</w:t>
      </w:r>
      <w:r w:rsidRPr="00323587">
        <w:t xml:space="preserve"> dos índices financeiros da empresa.</w:t>
      </w:r>
    </w:p>
    <w:p w14:paraId="09F91329" w14:textId="77777777" w:rsidR="00323587" w:rsidRPr="00323587" w:rsidRDefault="00323587" w:rsidP="00323587">
      <w:pPr>
        <w:numPr>
          <w:ilvl w:val="0"/>
          <w:numId w:val="6"/>
        </w:numPr>
      </w:pPr>
      <w:r w:rsidRPr="00323587">
        <w:rPr>
          <w:b/>
          <w:bCs/>
        </w:rPr>
        <w:t>Estabelecimento de limites de crédito</w:t>
      </w:r>
      <w:r w:rsidRPr="00323587">
        <w:t xml:space="preserve"> para reduzir exposição ao risco.</w:t>
      </w:r>
    </w:p>
    <w:p w14:paraId="3360B255" w14:textId="77777777" w:rsidR="00323587" w:rsidRPr="00323587" w:rsidRDefault="00323587" w:rsidP="00323587">
      <w:pPr>
        <w:numPr>
          <w:ilvl w:val="0"/>
          <w:numId w:val="6"/>
        </w:numPr>
      </w:pPr>
      <w:r w:rsidRPr="00323587">
        <w:rPr>
          <w:b/>
          <w:bCs/>
        </w:rPr>
        <w:t>Incentivo à renegociação de passivos</w:t>
      </w:r>
      <w:r w:rsidRPr="00323587">
        <w:t xml:space="preserve"> para alongamento do perfil da dívida.</w:t>
      </w:r>
    </w:p>
    <w:p w14:paraId="1FA647B0" w14:textId="77777777" w:rsidR="00323587" w:rsidRPr="00323587" w:rsidRDefault="00323587" w:rsidP="00323587">
      <w:r w:rsidRPr="00323587">
        <w:t>Embora a empresa tenha um risco moderado, sua capacidade de pagamento deve ser constantemente avaliada para evitar inadimplência futura.</w:t>
      </w:r>
    </w:p>
    <w:p w14:paraId="3087F724" w14:textId="77777777" w:rsidR="00D2051B" w:rsidRDefault="00D2051B"/>
    <w:sectPr w:rsidR="00D20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3002"/>
    <w:multiLevelType w:val="multilevel"/>
    <w:tmpl w:val="D7D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747D5"/>
    <w:multiLevelType w:val="multilevel"/>
    <w:tmpl w:val="FEB27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0342E"/>
    <w:multiLevelType w:val="multilevel"/>
    <w:tmpl w:val="1980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177FC"/>
    <w:multiLevelType w:val="multilevel"/>
    <w:tmpl w:val="B636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B04C9"/>
    <w:multiLevelType w:val="multilevel"/>
    <w:tmpl w:val="654C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C0FE1"/>
    <w:multiLevelType w:val="multilevel"/>
    <w:tmpl w:val="B4C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71195">
    <w:abstractNumId w:val="2"/>
  </w:num>
  <w:num w:numId="2" w16cid:durableId="128979470">
    <w:abstractNumId w:val="5"/>
  </w:num>
  <w:num w:numId="3" w16cid:durableId="489443931">
    <w:abstractNumId w:val="0"/>
  </w:num>
  <w:num w:numId="4" w16cid:durableId="293341063">
    <w:abstractNumId w:val="3"/>
  </w:num>
  <w:num w:numId="5" w16cid:durableId="1225413721">
    <w:abstractNumId w:val="4"/>
  </w:num>
  <w:num w:numId="6" w16cid:durableId="160094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87"/>
    <w:rsid w:val="000557DD"/>
    <w:rsid w:val="00323587"/>
    <w:rsid w:val="00D2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0B3B"/>
  <w15:chartTrackingRefBased/>
  <w15:docId w15:val="{75242B0B-4BF4-4352-A219-674ABE7D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5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5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5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5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5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5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5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5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5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5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1</cp:revision>
  <dcterms:created xsi:type="dcterms:W3CDTF">2025-03-07T03:56:00Z</dcterms:created>
  <dcterms:modified xsi:type="dcterms:W3CDTF">2025-03-07T03:57:00Z</dcterms:modified>
</cp:coreProperties>
</file>