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E62DB" w14:textId="77777777" w:rsidR="00325319" w:rsidRPr="00325319" w:rsidRDefault="00325319" w:rsidP="00325319">
      <w:r w:rsidRPr="00325319">
        <w:rPr>
          <w:b/>
          <w:bCs/>
        </w:rPr>
        <w:t>PARECER DE ANÁLISE DE CRÉDITO</w:t>
      </w:r>
    </w:p>
    <w:p w14:paraId="46434ACB" w14:textId="77777777" w:rsidR="00325319" w:rsidRPr="00325319" w:rsidRDefault="00325319" w:rsidP="00325319">
      <w:r w:rsidRPr="00325319">
        <w:rPr>
          <w:b/>
          <w:bCs/>
        </w:rPr>
        <w:t>1. INTRODUÇÃO</w:t>
      </w:r>
      <w:r w:rsidRPr="00325319">
        <w:br/>
        <w:t>Este parecer tem como objetivo fornecer uma análise detalhada da situação financeira da empresa analisada, utilizando os demonstrativos financeiros disponíveis.</w:t>
      </w:r>
    </w:p>
    <w:p w14:paraId="1E99226B" w14:textId="77777777" w:rsidR="00325319" w:rsidRPr="00325319" w:rsidRDefault="00325319" w:rsidP="00325319">
      <w:r w:rsidRPr="00325319">
        <w:rPr>
          <w:b/>
          <w:bCs/>
        </w:rPr>
        <w:t>Nome da Empresa:</w:t>
      </w:r>
      <w:r w:rsidRPr="00325319">
        <w:t xml:space="preserve"> RESOLV HOSPITALAR</w:t>
      </w:r>
      <w:r w:rsidRPr="00325319">
        <w:br/>
      </w:r>
      <w:r w:rsidRPr="00325319">
        <w:rPr>
          <w:b/>
          <w:bCs/>
        </w:rPr>
        <w:t>Período da Análise:</w:t>
      </w:r>
      <w:r w:rsidRPr="00325319">
        <w:t xml:space="preserve"> 2021 - 2023</w:t>
      </w:r>
      <w:r w:rsidRPr="00325319">
        <w:br/>
        <w:t>Serão avaliados os dados contábeis, índices financeiros e scores de risco para apresentar um veredito sobre a viabilidade da concessão de crédito à empresa.</w:t>
      </w:r>
    </w:p>
    <w:p w14:paraId="73CA2016" w14:textId="77777777" w:rsidR="00325319" w:rsidRPr="00325319" w:rsidRDefault="00325319" w:rsidP="00325319">
      <w:r w:rsidRPr="00325319">
        <w:pict w14:anchorId="4FD44BF5">
          <v:rect id="_x0000_i1067" style="width:0;height:1.5pt" o:hralign="center" o:hrstd="t" o:hr="t" fillcolor="#a0a0a0" stroked="f"/>
        </w:pict>
      </w:r>
    </w:p>
    <w:p w14:paraId="2C3DD531" w14:textId="77777777" w:rsidR="00325319" w:rsidRPr="00325319" w:rsidRDefault="00325319" w:rsidP="00325319">
      <w:r w:rsidRPr="00325319">
        <w:rPr>
          <w:b/>
          <w:bCs/>
        </w:rPr>
        <w:t>2. METODOLOGIA</w:t>
      </w:r>
      <w:r w:rsidRPr="00325319">
        <w:br/>
        <w:t xml:space="preserve">A análise financeira segue as diretrizes metodológicas do </w:t>
      </w:r>
      <w:proofErr w:type="spellStart"/>
      <w:r w:rsidRPr="00325319">
        <w:t>FinScore</w:t>
      </w:r>
      <w:proofErr w:type="spellEnd"/>
      <w:r w:rsidRPr="00325319">
        <w:t xml:space="preserve">, um indicador consolidado que avalia a saúde financeira da empresa com base em índices financeiros e técnicas estatísticas avançadas. O </w:t>
      </w:r>
      <w:proofErr w:type="spellStart"/>
      <w:r w:rsidRPr="00325319">
        <w:t>FinScore</w:t>
      </w:r>
      <w:proofErr w:type="spellEnd"/>
      <w:r w:rsidRPr="00325319">
        <w:t xml:space="preserve"> pode ser apresentado em três versões:</w:t>
      </w:r>
    </w:p>
    <w:p w14:paraId="5B28938A" w14:textId="77777777" w:rsidR="00325319" w:rsidRPr="00325319" w:rsidRDefault="00325319" w:rsidP="00325319">
      <w:pPr>
        <w:numPr>
          <w:ilvl w:val="0"/>
          <w:numId w:val="1"/>
        </w:numPr>
      </w:pPr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Bruto:</w:t>
      </w:r>
      <w:r w:rsidRPr="00325319">
        <w:t xml:space="preserve"> Calculado por meio da Análise de Componentes Principais (PCA), variando entre -2 e +2.</w:t>
      </w:r>
    </w:p>
    <w:p w14:paraId="3EB0EDB3" w14:textId="77777777" w:rsidR="00325319" w:rsidRPr="00325319" w:rsidRDefault="00325319" w:rsidP="00325319">
      <w:pPr>
        <w:numPr>
          <w:ilvl w:val="0"/>
          <w:numId w:val="1"/>
        </w:numPr>
      </w:pPr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Ajustado:</w:t>
      </w:r>
      <w:r w:rsidRPr="00325319">
        <w:t xml:space="preserve"> Transformado para uma escala de 0 a 1000.</w:t>
      </w:r>
    </w:p>
    <w:p w14:paraId="249BBA54" w14:textId="77777777" w:rsidR="00325319" w:rsidRPr="00325319" w:rsidRDefault="00325319" w:rsidP="00325319">
      <w:pPr>
        <w:numPr>
          <w:ilvl w:val="0"/>
          <w:numId w:val="1"/>
        </w:numPr>
      </w:pPr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Final:</w:t>
      </w:r>
      <w:r w:rsidRPr="00325319">
        <w:t xml:space="preserve"> Combina o </w:t>
      </w:r>
      <w:proofErr w:type="spellStart"/>
      <w:r w:rsidRPr="00325319">
        <w:t>FinScore</w:t>
      </w:r>
      <w:proofErr w:type="spellEnd"/>
      <w:r w:rsidRPr="00325319">
        <w:t xml:space="preserve"> Ajustado com o Serasa Score, refletindo tanto a análise contábil quanto o risco de crédito do mercado.</w:t>
      </w:r>
    </w:p>
    <w:p w14:paraId="0547FB3E" w14:textId="77777777" w:rsidR="00325319" w:rsidRPr="00325319" w:rsidRDefault="00325319" w:rsidP="00325319">
      <w:r w:rsidRPr="00325319">
        <w:t>As classificações de risco seguem as seguintes escalas:</w:t>
      </w:r>
    </w:p>
    <w:p w14:paraId="357E1B04" w14:textId="77777777" w:rsidR="00325319" w:rsidRPr="00325319" w:rsidRDefault="00325319" w:rsidP="00325319"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Bruto:</w:t>
      </w:r>
    </w:p>
    <w:p w14:paraId="41DF49B6" w14:textId="77777777" w:rsidR="00325319" w:rsidRPr="00325319" w:rsidRDefault="00325319" w:rsidP="00325319">
      <w:pPr>
        <w:numPr>
          <w:ilvl w:val="0"/>
          <w:numId w:val="2"/>
        </w:numPr>
      </w:pPr>
      <w:r w:rsidRPr="00325319">
        <w:rPr>
          <w:b/>
          <w:bCs/>
        </w:rPr>
        <w:t>&gt; 1.5:</w:t>
      </w:r>
      <w:r w:rsidRPr="00325319">
        <w:t xml:space="preserve"> Muito Abaixo do Risco</w:t>
      </w:r>
    </w:p>
    <w:p w14:paraId="2E1B9C1E" w14:textId="77777777" w:rsidR="00325319" w:rsidRPr="00325319" w:rsidRDefault="00325319" w:rsidP="00325319">
      <w:pPr>
        <w:numPr>
          <w:ilvl w:val="0"/>
          <w:numId w:val="2"/>
        </w:numPr>
      </w:pPr>
      <w:r w:rsidRPr="00325319">
        <w:rPr>
          <w:b/>
          <w:bCs/>
        </w:rPr>
        <w:t>1.0 - 1.5:</w:t>
      </w:r>
      <w:r w:rsidRPr="00325319">
        <w:t xml:space="preserve"> Levemente Abaixo do Risco</w:t>
      </w:r>
    </w:p>
    <w:p w14:paraId="7440EBEF" w14:textId="77777777" w:rsidR="00325319" w:rsidRPr="00325319" w:rsidRDefault="00325319" w:rsidP="00325319">
      <w:pPr>
        <w:numPr>
          <w:ilvl w:val="0"/>
          <w:numId w:val="2"/>
        </w:numPr>
      </w:pPr>
      <w:r w:rsidRPr="00325319">
        <w:rPr>
          <w:b/>
          <w:bCs/>
        </w:rPr>
        <w:t>-1.0 a 1.0:</w:t>
      </w:r>
      <w:r w:rsidRPr="00325319">
        <w:t xml:space="preserve"> Neutro</w:t>
      </w:r>
    </w:p>
    <w:p w14:paraId="79A82323" w14:textId="77777777" w:rsidR="00325319" w:rsidRPr="00325319" w:rsidRDefault="00325319" w:rsidP="00325319">
      <w:pPr>
        <w:numPr>
          <w:ilvl w:val="0"/>
          <w:numId w:val="2"/>
        </w:numPr>
      </w:pPr>
      <w:r w:rsidRPr="00325319">
        <w:rPr>
          <w:b/>
          <w:bCs/>
        </w:rPr>
        <w:t>-1.5 a -1.0:</w:t>
      </w:r>
      <w:r w:rsidRPr="00325319">
        <w:t xml:space="preserve"> Levemente Acima do Risco</w:t>
      </w:r>
    </w:p>
    <w:p w14:paraId="4258E489" w14:textId="77777777" w:rsidR="00325319" w:rsidRPr="00325319" w:rsidRDefault="00325319" w:rsidP="00325319">
      <w:pPr>
        <w:numPr>
          <w:ilvl w:val="0"/>
          <w:numId w:val="2"/>
        </w:numPr>
      </w:pPr>
      <w:r w:rsidRPr="00325319">
        <w:rPr>
          <w:b/>
          <w:bCs/>
        </w:rPr>
        <w:t>≤ -1.5:</w:t>
      </w:r>
      <w:r w:rsidRPr="00325319">
        <w:t xml:space="preserve"> Muito Acima do Risco</w:t>
      </w:r>
    </w:p>
    <w:p w14:paraId="6744281F" w14:textId="77777777" w:rsidR="00325319" w:rsidRPr="00325319" w:rsidRDefault="00325319" w:rsidP="00325319"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Ajustado e Final:</w:t>
      </w:r>
    </w:p>
    <w:p w14:paraId="3CC40A9F" w14:textId="77777777" w:rsidR="00325319" w:rsidRPr="00325319" w:rsidRDefault="00325319" w:rsidP="00325319">
      <w:pPr>
        <w:numPr>
          <w:ilvl w:val="0"/>
          <w:numId w:val="3"/>
        </w:numPr>
      </w:pPr>
      <w:r w:rsidRPr="00325319">
        <w:rPr>
          <w:b/>
          <w:bCs/>
        </w:rPr>
        <w:t>&gt; 750:</w:t>
      </w:r>
      <w:r w:rsidRPr="00325319">
        <w:t xml:space="preserve"> Muito Abaixo do Risco</w:t>
      </w:r>
    </w:p>
    <w:p w14:paraId="47D85C0A" w14:textId="77777777" w:rsidR="00325319" w:rsidRPr="00325319" w:rsidRDefault="00325319" w:rsidP="00325319">
      <w:pPr>
        <w:numPr>
          <w:ilvl w:val="0"/>
          <w:numId w:val="3"/>
        </w:numPr>
      </w:pPr>
      <w:r w:rsidRPr="00325319">
        <w:rPr>
          <w:b/>
          <w:bCs/>
        </w:rPr>
        <w:t>500 - 750:</w:t>
      </w:r>
      <w:r w:rsidRPr="00325319">
        <w:t xml:space="preserve"> Levemente Abaixo do Risco</w:t>
      </w:r>
    </w:p>
    <w:p w14:paraId="524FC326" w14:textId="77777777" w:rsidR="00325319" w:rsidRPr="00325319" w:rsidRDefault="00325319" w:rsidP="00325319">
      <w:pPr>
        <w:numPr>
          <w:ilvl w:val="0"/>
          <w:numId w:val="3"/>
        </w:numPr>
      </w:pPr>
      <w:r w:rsidRPr="00325319">
        <w:rPr>
          <w:b/>
          <w:bCs/>
        </w:rPr>
        <w:t>250 - 500:</w:t>
      </w:r>
      <w:r w:rsidRPr="00325319">
        <w:t xml:space="preserve"> Neutro</w:t>
      </w:r>
    </w:p>
    <w:p w14:paraId="58FE68A3" w14:textId="77777777" w:rsidR="00325319" w:rsidRPr="00325319" w:rsidRDefault="00325319" w:rsidP="00325319">
      <w:pPr>
        <w:numPr>
          <w:ilvl w:val="0"/>
          <w:numId w:val="3"/>
        </w:numPr>
      </w:pPr>
      <w:r w:rsidRPr="00325319">
        <w:rPr>
          <w:b/>
          <w:bCs/>
        </w:rPr>
        <w:t>100 - 250:</w:t>
      </w:r>
      <w:r w:rsidRPr="00325319">
        <w:t xml:space="preserve"> Levemente Acima do Risco</w:t>
      </w:r>
    </w:p>
    <w:p w14:paraId="33011B45" w14:textId="77777777" w:rsidR="00325319" w:rsidRPr="00325319" w:rsidRDefault="00325319" w:rsidP="00325319">
      <w:pPr>
        <w:numPr>
          <w:ilvl w:val="0"/>
          <w:numId w:val="3"/>
        </w:numPr>
      </w:pPr>
      <w:r w:rsidRPr="00325319">
        <w:rPr>
          <w:b/>
          <w:bCs/>
        </w:rPr>
        <w:lastRenderedPageBreak/>
        <w:t>≤ 100:</w:t>
      </w:r>
      <w:r w:rsidRPr="00325319">
        <w:t xml:space="preserve"> Muito Acima do Risco</w:t>
      </w:r>
    </w:p>
    <w:p w14:paraId="4C7FE8AD" w14:textId="77777777" w:rsidR="00325319" w:rsidRPr="00325319" w:rsidRDefault="00325319" w:rsidP="00325319">
      <w:r w:rsidRPr="00325319">
        <w:pict w14:anchorId="1E72E679">
          <v:rect id="_x0000_i1068" style="width:0;height:1.5pt" o:hralign="center" o:hrstd="t" o:hr="t" fillcolor="#a0a0a0" stroked="f"/>
        </w:pict>
      </w:r>
    </w:p>
    <w:p w14:paraId="620E210B" w14:textId="77777777" w:rsidR="00325319" w:rsidRPr="00325319" w:rsidRDefault="00325319" w:rsidP="00325319">
      <w:r w:rsidRPr="00325319">
        <w:rPr>
          <w:b/>
          <w:bCs/>
        </w:rPr>
        <w:t>3. ANÁLISE DOS DADOS CONTÁBEIS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655"/>
        <w:gridCol w:w="655"/>
        <w:gridCol w:w="604"/>
        <w:gridCol w:w="604"/>
        <w:gridCol w:w="655"/>
        <w:gridCol w:w="655"/>
        <w:gridCol w:w="604"/>
        <w:gridCol w:w="655"/>
        <w:gridCol w:w="604"/>
        <w:gridCol w:w="604"/>
        <w:gridCol w:w="655"/>
        <w:gridCol w:w="604"/>
        <w:gridCol w:w="670"/>
      </w:tblGrid>
      <w:tr w:rsidR="00325319" w:rsidRPr="00325319" w14:paraId="6A30E53C" w14:textId="77777777" w:rsidTr="003253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687EC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14:paraId="22695C47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Ativo Circulante</w:t>
            </w:r>
          </w:p>
        </w:tc>
        <w:tc>
          <w:tcPr>
            <w:tcW w:w="0" w:type="auto"/>
            <w:vAlign w:val="center"/>
            <w:hideMark/>
          </w:tcPr>
          <w:p w14:paraId="3F05C6B7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Passivo Circulante</w:t>
            </w:r>
          </w:p>
        </w:tc>
        <w:tc>
          <w:tcPr>
            <w:tcW w:w="0" w:type="auto"/>
            <w:vAlign w:val="center"/>
            <w:hideMark/>
          </w:tcPr>
          <w:p w14:paraId="5BA539CA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Estoques</w:t>
            </w:r>
          </w:p>
        </w:tc>
        <w:tc>
          <w:tcPr>
            <w:tcW w:w="0" w:type="auto"/>
            <w:vAlign w:val="center"/>
            <w:hideMark/>
          </w:tcPr>
          <w:p w14:paraId="6CA6D605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Lucro Líquido</w:t>
            </w:r>
          </w:p>
        </w:tc>
        <w:tc>
          <w:tcPr>
            <w:tcW w:w="0" w:type="auto"/>
            <w:vAlign w:val="center"/>
            <w:hideMark/>
          </w:tcPr>
          <w:p w14:paraId="576D5D46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Receita Total</w:t>
            </w:r>
          </w:p>
        </w:tc>
        <w:tc>
          <w:tcPr>
            <w:tcW w:w="0" w:type="auto"/>
            <w:vAlign w:val="center"/>
            <w:hideMark/>
          </w:tcPr>
          <w:p w14:paraId="19A03028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Ativo Total</w:t>
            </w:r>
          </w:p>
        </w:tc>
        <w:tc>
          <w:tcPr>
            <w:tcW w:w="0" w:type="auto"/>
            <w:vAlign w:val="center"/>
            <w:hideMark/>
          </w:tcPr>
          <w:p w14:paraId="31642D53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Patrimônio Líquido</w:t>
            </w:r>
          </w:p>
        </w:tc>
        <w:tc>
          <w:tcPr>
            <w:tcW w:w="0" w:type="auto"/>
            <w:vAlign w:val="center"/>
            <w:hideMark/>
          </w:tcPr>
          <w:p w14:paraId="6B2B84DE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Passivo Total</w:t>
            </w:r>
          </w:p>
        </w:tc>
        <w:tc>
          <w:tcPr>
            <w:tcW w:w="0" w:type="auto"/>
            <w:vAlign w:val="center"/>
            <w:hideMark/>
          </w:tcPr>
          <w:p w14:paraId="7F952FEE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EBIT</w:t>
            </w:r>
          </w:p>
        </w:tc>
        <w:tc>
          <w:tcPr>
            <w:tcW w:w="0" w:type="auto"/>
            <w:vAlign w:val="center"/>
            <w:hideMark/>
          </w:tcPr>
          <w:p w14:paraId="195CC442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Despesa de Juros</w:t>
            </w:r>
          </w:p>
        </w:tc>
        <w:tc>
          <w:tcPr>
            <w:tcW w:w="0" w:type="auto"/>
            <w:vAlign w:val="center"/>
            <w:hideMark/>
          </w:tcPr>
          <w:p w14:paraId="16E1E920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Contas a Receber</w:t>
            </w:r>
          </w:p>
        </w:tc>
        <w:tc>
          <w:tcPr>
            <w:tcW w:w="0" w:type="auto"/>
            <w:vAlign w:val="center"/>
            <w:hideMark/>
          </w:tcPr>
          <w:p w14:paraId="73B93F99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Contas a Pagar</w:t>
            </w:r>
          </w:p>
        </w:tc>
        <w:tc>
          <w:tcPr>
            <w:tcW w:w="0" w:type="auto"/>
            <w:vAlign w:val="center"/>
            <w:hideMark/>
          </w:tcPr>
          <w:p w14:paraId="24C9BBA8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Custos</w:t>
            </w:r>
          </w:p>
        </w:tc>
      </w:tr>
      <w:tr w:rsidR="00325319" w:rsidRPr="00325319" w14:paraId="44BA049A" w14:textId="77777777" w:rsidTr="0032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1A64" w14:textId="77777777" w:rsidR="00325319" w:rsidRPr="00325319" w:rsidRDefault="00325319" w:rsidP="00325319">
            <w:r w:rsidRPr="00325319">
              <w:t>2021</w:t>
            </w:r>
          </w:p>
        </w:tc>
        <w:tc>
          <w:tcPr>
            <w:tcW w:w="0" w:type="auto"/>
            <w:vAlign w:val="center"/>
            <w:hideMark/>
          </w:tcPr>
          <w:p w14:paraId="071C683E" w14:textId="77777777" w:rsidR="00325319" w:rsidRPr="00325319" w:rsidRDefault="00325319" w:rsidP="00325319">
            <w:r w:rsidRPr="00325319">
              <w:t>21.460.741,22</w:t>
            </w:r>
          </w:p>
        </w:tc>
        <w:tc>
          <w:tcPr>
            <w:tcW w:w="0" w:type="auto"/>
            <w:vAlign w:val="center"/>
            <w:hideMark/>
          </w:tcPr>
          <w:p w14:paraId="67D7B404" w14:textId="77777777" w:rsidR="00325319" w:rsidRPr="00325319" w:rsidRDefault="00325319" w:rsidP="00325319">
            <w:r w:rsidRPr="00325319">
              <w:t>21.949.637,11</w:t>
            </w:r>
          </w:p>
        </w:tc>
        <w:tc>
          <w:tcPr>
            <w:tcW w:w="0" w:type="auto"/>
            <w:vAlign w:val="center"/>
            <w:hideMark/>
          </w:tcPr>
          <w:p w14:paraId="5921DEB5" w14:textId="77777777" w:rsidR="00325319" w:rsidRPr="00325319" w:rsidRDefault="00325319" w:rsidP="00325319">
            <w:r w:rsidRPr="00325319">
              <w:t>1.382.446,09</w:t>
            </w:r>
          </w:p>
        </w:tc>
        <w:tc>
          <w:tcPr>
            <w:tcW w:w="0" w:type="auto"/>
            <w:vAlign w:val="center"/>
            <w:hideMark/>
          </w:tcPr>
          <w:p w14:paraId="0369BD1E" w14:textId="77777777" w:rsidR="00325319" w:rsidRPr="00325319" w:rsidRDefault="00325319" w:rsidP="00325319">
            <w:r w:rsidRPr="00325319">
              <w:t>606.035,48</w:t>
            </w:r>
          </w:p>
        </w:tc>
        <w:tc>
          <w:tcPr>
            <w:tcW w:w="0" w:type="auto"/>
            <w:vAlign w:val="center"/>
            <w:hideMark/>
          </w:tcPr>
          <w:p w14:paraId="0A88E8F1" w14:textId="77777777" w:rsidR="00325319" w:rsidRPr="00325319" w:rsidRDefault="00325319" w:rsidP="00325319">
            <w:r w:rsidRPr="00325319">
              <w:t>22.766.391,83</w:t>
            </w:r>
          </w:p>
        </w:tc>
        <w:tc>
          <w:tcPr>
            <w:tcW w:w="0" w:type="auto"/>
            <w:vAlign w:val="center"/>
            <w:hideMark/>
          </w:tcPr>
          <w:p w14:paraId="415D0C24" w14:textId="77777777" w:rsidR="00325319" w:rsidRPr="00325319" w:rsidRDefault="00325319" w:rsidP="00325319">
            <w:r w:rsidRPr="00325319">
              <w:t>39.792.738,77</w:t>
            </w:r>
          </w:p>
        </w:tc>
        <w:tc>
          <w:tcPr>
            <w:tcW w:w="0" w:type="auto"/>
            <w:vAlign w:val="center"/>
            <w:hideMark/>
          </w:tcPr>
          <w:p w14:paraId="29A78976" w14:textId="77777777" w:rsidR="00325319" w:rsidRPr="00325319" w:rsidRDefault="00325319" w:rsidP="00325319">
            <w:r w:rsidRPr="00325319">
              <w:t>2.269.527,90</w:t>
            </w:r>
          </w:p>
        </w:tc>
        <w:tc>
          <w:tcPr>
            <w:tcW w:w="0" w:type="auto"/>
            <w:vAlign w:val="center"/>
            <w:hideMark/>
          </w:tcPr>
          <w:p w14:paraId="1B51392E" w14:textId="77777777" w:rsidR="00325319" w:rsidRPr="00325319" w:rsidRDefault="00325319" w:rsidP="00325319">
            <w:r w:rsidRPr="00325319">
              <w:t>37.523.210,87</w:t>
            </w:r>
          </w:p>
        </w:tc>
        <w:tc>
          <w:tcPr>
            <w:tcW w:w="0" w:type="auto"/>
            <w:vAlign w:val="center"/>
            <w:hideMark/>
          </w:tcPr>
          <w:p w14:paraId="160B4DDD" w14:textId="77777777" w:rsidR="00325319" w:rsidRPr="00325319" w:rsidRDefault="00325319" w:rsidP="00325319">
            <w:r w:rsidRPr="00325319">
              <w:t>1.748.747,67</w:t>
            </w:r>
          </w:p>
        </w:tc>
        <w:tc>
          <w:tcPr>
            <w:tcW w:w="0" w:type="auto"/>
            <w:vAlign w:val="center"/>
            <w:hideMark/>
          </w:tcPr>
          <w:p w14:paraId="4AB6DAF2" w14:textId="77777777" w:rsidR="00325319" w:rsidRPr="00325319" w:rsidRDefault="00325319" w:rsidP="00325319">
            <w:r w:rsidRPr="00325319">
              <w:t>1.142.712,19</w:t>
            </w:r>
          </w:p>
        </w:tc>
        <w:tc>
          <w:tcPr>
            <w:tcW w:w="0" w:type="auto"/>
            <w:vAlign w:val="center"/>
            <w:hideMark/>
          </w:tcPr>
          <w:p w14:paraId="63FA5093" w14:textId="77777777" w:rsidR="00325319" w:rsidRPr="00325319" w:rsidRDefault="00325319" w:rsidP="00325319">
            <w:r w:rsidRPr="00325319">
              <w:t>10.675.776,98</w:t>
            </w:r>
          </w:p>
        </w:tc>
        <w:tc>
          <w:tcPr>
            <w:tcW w:w="0" w:type="auto"/>
            <w:vAlign w:val="center"/>
            <w:hideMark/>
          </w:tcPr>
          <w:p w14:paraId="14F20F5E" w14:textId="77777777" w:rsidR="00325319" w:rsidRPr="00325319" w:rsidRDefault="00325319" w:rsidP="00325319">
            <w:r w:rsidRPr="00325319">
              <w:t>2.322.178,40</w:t>
            </w:r>
          </w:p>
        </w:tc>
        <w:tc>
          <w:tcPr>
            <w:tcW w:w="0" w:type="auto"/>
            <w:vAlign w:val="center"/>
            <w:hideMark/>
          </w:tcPr>
          <w:p w14:paraId="25443535" w14:textId="77777777" w:rsidR="00325319" w:rsidRPr="00325319" w:rsidRDefault="00325319" w:rsidP="00325319">
            <w:r w:rsidRPr="00325319">
              <w:t>22.566.635,56</w:t>
            </w:r>
          </w:p>
        </w:tc>
      </w:tr>
      <w:tr w:rsidR="00325319" w:rsidRPr="00325319" w14:paraId="457B18E0" w14:textId="77777777" w:rsidTr="0032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5353" w14:textId="77777777" w:rsidR="00325319" w:rsidRPr="00325319" w:rsidRDefault="00325319" w:rsidP="00325319">
            <w:r w:rsidRPr="00325319">
              <w:t>2022</w:t>
            </w:r>
          </w:p>
        </w:tc>
        <w:tc>
          <w:tcPr>
            <w:tcW w:w="0" w:type="auto"/>
            <w:vAlign w:val="center"/>
            <w:hideMark/>
          </w:tcPr>
          <w:p w14:paraId="113C66A8" w14:textId="77777777" w:rsidR="00325319" w:rsidRPr="00325319" w:rsidRDefault="00325319" w:rsidP="00325319">
            <w:r w:rsidRPr="00325319">
              <w:t>22.837.434,77</w:t>
            </w:r>
          </w:p>
        </w:tc>
        <w:tc>
          <w:tcPr>
            <w:tcW w:w="0" w:type="auto"/>
            <w:vAlign w:val="center"/>
            <w:hideMark/>
          </w:tcPr>
          <w:p w14:paraId="553AE3CB" w14:textId="77777777" w:rsidR="00325319" w:rsidRPr="00325319" w:rsidRDefault="00325319" w:rsidP="00325319">
            <w:r w:rsidRPr="00325319">
              <w:t>16.619.458,73</w:t>
            </w:r>
          </w:p>
        </w:tc>
        <w:tc>
          <w:tcPr>
            <w:tcW w:w="0" w:type="auto"/>
            <w:vAlign w:val="center"/>
            <w:hideMark/>
          </w:tcPr>
          <w:p w14:paraId="4F41B564" w14:textId="77777777" w:rsidR="00325319" w:rsidRPr="00325319" w:rsidRDefault="00325319" w:rsidP="00325319">
            <w:r w:rsidRPr="00325319">
              <w:t>1.167.040,22</w:t>
            </w:r>
          </w:p>
        </w:tc>
        <w:tc>
          <w:tcPr>
            <w:tcW w:w="0" w:type="auto"/>
            <w:vAlign w:val="center"/>
            <w:hideMark/>
          </w:tcPr>
          <w:p w14:paraId="26D8A495" w14:textId="77777777" w:rsidR="00325319" w:rsidRPr="00325319" w:rsidRDefault="00325319" w:rsidP="00325319">
            <w:r w:rsidRPr="00325319">
              <w:t>942.891,16</w:t>
            </w:r>
          </w:p>
        </w:tc>
        <w:tc>
          <w:tcPr>
            <w:tcW w:w="0" w:type="auto"/>
            <w:vAlign w:val="center"/>
            <w:hideMark/>
          </w:tcPr>
          <w:p w14:paraId="602EA724" w14:textId="77777777" w:rsidR="00325319" w:rsidRPr="00325319" w:rsidRDefault="00325319" w:rsidP="00325319">
            <w:r w:rsidRPr="00325319">
              <w:t>27.654.090,05</w:t>
            </w:r>
          </w:p>
        </w:tc>
        <w:tc>
          <w:tcPr>
            <w:tcW w:w="0" w:type="auto"/>
            <w:vAlign w:val="center"/>
            <w:hideMark/>
          </w:tcPr>
          <w:p w14:paraId="78CF0710" w14:textId="77777777" w:rsidR="00325319" w:rsidRPr="00325319" w:rsidRDefault="00325319" w:rsidP="00325319">
            <w:r w:rsidRPr="00325319">
              <w:t>27.597.972,68</w:t>
            </w:r>
          </w:p>
        </w:tc>
        <w:tc>
          <w:tcPr>
            <w:tcW w:w="0" w:type="auto"/>
            <w:vAlign w:val="center"/>
            <w:hideMark/>
          </w:tcPr>
          <w:p w14:paraId="394EDBBC" w14:textId="77777777" w:rsidR="00325319" w:rsidRPr="00325319" w:rsidRDefault="00325319" w:rsidP="00325319">
            <w:r w:rsidRPr="00325319">
              <w:t>4.570.142,59</w:t>
            </w:r>
          </w:p>
        </w:tc>
        <w:tc>
          <w:tcPr>
            <w:tcW w:w="0" w:type="auto"/>
            <w:vAlign w:val="center"/>
            <w:hideMark/>
          </w:tcPr>
          <w:p w14:paraId="21509CEE" w14:textId="77777777" w:rsidR="00325319" w:rsidRPr="00325319" w:rsidRDefault="00325319" w:rsidP="00325319">
            <w:r w:rsidRPr="00325319">
              <w:t>23.027.830,09</w:t>
            </w:r>
          </w:p>
        </w:tc>
        <w:tc>
          <w:tcPr>
            <w:tcW w:w="0" w:type="auto"/>
            <w:vAlign w:val="center"/>
            <w:hideMark/>
          </w:tcPr>
          <w:p w14:paraId="2CA123F0" w14:textId="77777777" w:rsidR="00325319" w:rsidRPr="00325319" w:rsidRDefault="00325319" w:rsidP="00325319">
            <w:r w:rsidRPr="00325319">
              <w:t>1.158.668,56</w:t>
            </w:r>
          </w:p>
        </w:tc>
        <w:tc>
          <w:tcPr>
            <w:tcW w:w="0" w:type="auto"/>
            <w:vAlign w:val="center"/>
            <w:hideMark/>
          </w:tcPr>
          <w:p w14:paraId="3CEC80FC" w14:textId="77777777" w:rsidR="00325319" w:rsidRPr="00325319" w:rsidRDefault="00325319" w:rsidP="00325319">
            <w:r w:rsidRPr="00325319">
              <w:t>215.777,40</w:t>
            </w:r>
          </w:p>
        </w:tc>
        <w:tc>
          <w:tcPr>
            <w:tcW w:w="0" w:type="auto"/>
            <w:vAlign w:val="center"/>
            <w:hideMark/>
          </w:tcPr>
          <w:p w14:paraId="581D125F" w14:textId="77777777" w:rsidR="00325319" w:rsidRPr="00325319" w:rsidRDefault="00325319" w:rsidP="00325319">
            <w:r w:rsidRPr="00325319">
              <w:t>15.069.084,73</w:t>
            </w:r>
          </w:p>
        </w:tc>
        <w:tc>
          <w:tcPr>
            <w:tcW w:w="0" w:type="auto"/>
            <w:vAlign w:val="center"/>
            <w:hideMark/>
          </w:tcPr>
          <w:p w14:paraId="6E56A3A5" w14:textId="77777777" w:rsidR="00325319" w:rsidRPr="00325319" w:rsidRDefault="00325319" w:rsidP="00325319">
            <w:r w:rsidRPr="00325319">
              <w:t>3.271.110,74</w:t>
            </w:r>
          </w:p>
        </w:tc>
        <w:tc>
          <w:tcPr>
            <w:tcW w:w="0" w:type="auto"/>
            <w:vAlign w:val="center"/>
            <w:hideMark/>
          </w:tcPr>
          <w:p w14:paraId="0CD0E8AE" w14:textId="77777777" w:rsidR="00325319" w:rsidRPr="00325319" w:rsidRDefault="00325319" w:rsidP="00325319">
            <w:r w:rsidRPr="00325319">
              <w:t>26.226.216,84</w:t>
            </w:r>
          </w:p>
        </w:tc>
      </w:tr>
      <w:tr w:rsidR="00325319" w:rsidRPr="00325319" w14:paraId="5D4890D8" w14:textId="77777777" w:rsidTr="0032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3606" w14:textId="77777777" w:rsidR="00325319" w:rsidRPr="00325319" w:rsidRDefault="00325319" w:rsidP="00325319">
            <w:r w:rsidRPr="00325319">
              <w:t>2023</w:t>
            </w:r>
          </w:p>
        </w:tc>
        <w:tc>
          <w:tcPr>
            <w:tcW w:w="0" w:type="auto"/>
            <w:vAlign w:val="center"/>
            <w:hideMark/>
          </w:tcPr>
          <w:p w14:paraId="38034631" w14:textId="77777777" w:rsidR="00325319" w:rsidRPr="00325319" w:rsidRDefault="00325319" w:rsidP="00325319">
            <w:r w:rsidRPr="00325319">
              <w:t>17.972.277,48</w:t>
            </w:r>
          </w:p>
        </w:tc>
        <w:tc>
          <w:tcPr>
            <w:tcW w:w="0" w:type="auto"/>
            <w:vAlign w:val="center"/>
            <w:hideMark/>
          </w:tcPr>
          <w:p w14:paraId="70A8A09C" w14:textId="77777777" w:rsidR="00325319" w:rsidRPr="00325319" w:rsidRDefault="00325319" w:rsidP="00325319">
            <w:r w:rsidRPr="00325319">
              <w:t>11.349.351,49</w:t>
            </w:r>
          </w:p>
        </w:tc>
        <w:tc>
          <w:tcPr>
            <w:tcW w:w="0" w:type="auto"/>
            <w:vAlign w:val="center"/>
            <w:hideMark/>
          </w:tcPr>
          <w:p w14:paraId="10268692" w14:textId="77777777" w:rsidR="00325319" w:rsidRPr="00325319" w:rsidRDefault="00325319" w:rsidP="00325319">
            <w:r w:rsidRPr="00325319">
              <w:t>1.434.835,78</w:t>
            </w:r>
          </w:p>
        </w:tc>
        <w:tc>
          <w:tcPr>
            <w:tcW w:w="0" w:type="auto"/>
            <w:vAlign w:val="center"/>
            <w:hideMark/>
          </w:tcPr>
          <w:p w14:paraId="3105594B" w14:textId="77777777" w:rsidR="00325319" w:rsidRPr="00325319" w:rsidRDefault="00325319" w:rsidP="00325319">
            <w:r w:rsidRPr="00325319">
              <w:t>2.038.769,22</w:t>
            </w:r>
          </w:p>
        </w:tc>
        <w:tc>
          <w:tcPr>
            <w:tcW w:w="0" w:type="auto"/>
            <w:vAlign w:val="center"/>
            <w:hideMark/>
          </w:tcPr>
          <w:p w14:paraId="353F6C50" w14:textId="77777777" w:rsidR="00325319" w:rsidRPr="00325319" w:rsidRDefault="00325319" w:rsidP="00325319">
            <w:r w:rsidRPr="00325319">
              <w:t>78.463.249,51</w:t>
            </w:r>
          </w:p>
        </w:tc>
        <w:tc>
          <w:tcPr>
            <w:tcW w:w="0" w:type="auto"/>
            <w:vAlign w:val="center"/>
            <w:hideMark/>
          </w:tcPr>
          <w:p w14:paraId="5D2AF946" w14:textId="77777777" w:rsidR="00325319" w:rsidRPr="00325319" w:rsidRDefault="00325319" w:rsidP="00325319">
            <w:r w:rsidRPr="00325319">
              <w:t>22.278.928,99</w:t>
            </w:r>
          </w:p>
        </w:tc>
        <w:tc>
          <w:tcPr>
            <w:tcW w:w="0" w:type="auto"/>
            <w:vAlign w:val="center"/>
            <w:hideMark/>
          </w:tcPr>
          <w:p w14:paraId="54A9E5D1" w14:textId="77777777" w:rsidR="00325319" w:rsidRPr="00325319" w:rsidRDefault="00325319" w:rsidP="00325319">
            <w:r w:rsidRPr="00325319">
              <w:t>3.387.043,28</w:t>
            </w:r>
          </w:p>
        </w:tc>
        <w:tc>
          <w:tcPr>
            <w:tcW w:w="0" w:type="auto"/>
            <w:vAlign w:val="center"/>
            <w:hideMark/>
          </w:tcPr>
          <w:p w14:paraId="14E278A4" w14:textId="77777777" w:rsidR="00325319" w:rsidRPr="00325319" w:rsidRDefault="00325319" w:rsidP="00325319">
            <w:r w:rsidRPr="00325319">
              <w:t>18.891.885,71</w:t>
            </w:r>
          </w:p>
        </w:tc>
        <w:tc>
          <w:tcPr>
            <w:tcW w:w="0" w:type="auto"/>
            <w:vAlign w:val="center"/>
            <w:hideMark/>
          </w:tcPr>
          <w:p w14:paraId="4F3AECC4" w14:textId="77777777" w:rsidR="00325319" w:rsidRPr="00325319" w:rsidRDefault="00325319" w:rsidP="00325319">
            <w:r w:rsidRPr="00325319">
              <w:t>2.160.654,23</w:t>
            </w:r>
          </w:p>
        </w:tc>
        <w:tc>
          <w:tcPr>
            <w:tcW w:w="0" w:type="auto"/>
            <w:vAlign w:val="center"/>
            <w:hideMark/>
          </w:tcPr>
          <w:p w14:paraId="2299F618" w14:textId="77777777" w:rsidR="00325319" w:rsidRPr="00325319" w:rsidRDefault="00325319" w:rsidP="00325319">
            <w:r w:rsidRPr="00325319">
              <w:t>121.885,01</w:t>
            </w:r>
          </w:p>
        </w:tc>
        <w:tc>
          <w:tcPr>
            <w:tcW w:w="0" w:type="auto"/>
            <w:vAlign w:val="center"/>
            <w:hideMark/>
          </w:tcPr>
          <w:p w14:paraId="0782B6DC" w14:textId="77777777" w:rsidR="00325319" w:rsidRPr="00325319" w:rsidRDefault="00325319" w:rsidP="00325319">
            <w:r w:rsidRPr="00325319">
              <w:t>13.432.046,22</w:t>
            </w:r>
          </w:p>
        </w:tc>
        <w:tc>
          <w:tcPr>
            <w:tcW w:w="0" w:type="auto"/>
            <w:vAlign w:val="center"/>
            <w:hideMark/>
          </w:tcPr>
          <w:p w14:paraId="3CADDBFB" w14:textId="77777777" w:rsidR="00325319" w:rsidRPr="00325319" w:rsidRDefault="00325319" w:rsidP="00325319">
            <w:r w:rsidRPr="00325319">
              <w:t>2.277.242,50</w:t>
            </w:r>
          </w:p>
        </w:tc>
        <w:tc>
          <w:tcPr>
            <w:tcW w:w="0" w:type="auto"/>
            <w:vAlign w:val="center"/>
            <w:hideMark/>
          </w:tcPr>
          <w:p w14:paraId="74DCFFA7" w14:textId="77777777" w:rsidR="00325319" w:rsidRPr="00325319" w:rsidRDefault="00325319" w:rsidP="00325319">
            <w:r w:rsidRPr="00325319">
              <w:t>75.490.180,85</w:t>
            </w:r>
          </w:p>
        </w:tc>
      </w:tr>
    </w:tbl>
    <w:p w14:paraId="43E98CF4" w14:textId="77777777" w:rsidR="00325319" w:rsidRPr="00325319" w:rsidRDefault="00325319" w:rsidP="00325319">
      <w:r w:rsidRPr="00325319">
        <w:rPr>
          <w:b/>
          <w:bCs/>
        </w:rPr>
        <w:t>Principais Observações:</w:t>
      </w:r>
    </w:p>
    <w:p w14:paraId="71D1485A" w14:textId="77777777" w:rsidR="00325319" w:rsidRPr="00325319" w:rsidRDefault="00325319" w:rsidP="00325319">
      <w:pPr>
        <w:numPr>
          <w:ilvl w:val="0"/>
          <w:numId w:val="4"/>
        </w:numPr>
      </w:pPr>
      <w:r w:rsidRPr="00325319">
        <w:t xml:space="preserve">A liquidez corrente caiu de </w:t>
      </w:r>
      <w:r w:rsidRPr="00325319">
        <w:rPr>
          <w:b/>
          <w:bCs/>
        </w:rPr>
        <w:t>1,58 (2021) para 0,98 (2023)</w:t>
      </w:r>
      <w:r w:rsidRPr="00325319">
        <w:t>, indicando risco de curto prazo.</w:t>
      </w:r>
    </w:p>
    <w:p w14:paraId="04D18B20" w14:textId="77777777" w:rsidR="00325319" w:rsidRPr="00325319" w:rsidRDefault="00325319" w:rsidP="00325319">
      <w:pPr>
        <w:numPr>
          <w:ilvl w:val="0"/>
          <w:numId w:val="4"/>
        </w:numPr>
      </w:pPr>
      <w:r w:rsidRPr="00325319">
        <w:t xml:space="preserve">O endividamento aumentou, alcançando </w:t>
      </w:r>
      <w:r w:rsidRPr="00325319">
        <w:rPr>
          <w:b/>
          <w:bCs/>
        </w:rPr>
        <w:t>0,94 em 2023</w:t>
      </w:r>
      <w:r w:rsidRPr="00325319">
        <w:t>, sugerindo alta dependência de capital de terceiros.</w:t>
      </w:r>
    </w:p>
    <w:p w14:paraId="75D309C9" w14:textId="77777777" w:rsidR="00325319" w:rsidRPr="00325319" w:rsidRDefault="00325319" w:rsidP="00325319">
      <w:pPr>
        <w:numPr>
          <w:ilvl w:val="0"/>
          <w:numId w:val="4"/>
        </w:numPr>
      </w:pPr>
      <w:r w:rsidRPr="00325319">
        <w:t xml:space="preserve">O lucro líquido cresceu, mas a margem líquida permaneceu estagnada em </w:t>
      </w:r>
      <w:r w:rsidRPr="00325319">
        <w:rPr>
          <w:b/>
          <w:bCs/>
        </w:rPr>
        <w:t>3%</w:t>
      </w:r>
      <w:r w:rsidRPr="00325319">
        <w:t>.</w:t>
      </w:r>
    </w:p>
    <w:p w14:paraId="3C2B68F1" w14:textId="77777777" w:rsidR="00325319" w:rsidRPr="00325319" w:rsidRDefault="00325319" w:rsidP="00325319">
      <w:r w:rsidRPr="00325319">
        <w:pict w14:anchorId="39007C16">
          <v:rect id="_x0000_i1069" style="width:0;height:1.5pt" o:hralign="center" o:hrstd="t" o:hr="t" fillcolor="#a0a0a0" stroked="f"/>
        </w:pict>
      </w:r>
    </w:p>
    <w:p w14:paraId="6865C861" w14:textId="77777777" w:rsidR="00325319" w:rsidRPr="00325319" w:rsidRDefault="00325319" w:rsidP="00325319">
      <w:r w:rsidRPr="00325319">
        <w:rPr>
          <w:b/>
          <w:bCs/>
        </w:rPr>
        <w:t>4. ANÁLISE DOS ÍNDICES FINANCEIROS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804"/>
        <w:gridCol w:w="760"/>
        <w:gridCol w:w="735"/>
        <w:gridCol w:w="419"/>
        <w:gridCol w:w="414"/>
        <w:gridCol w:w="1318"/>
        <w:gridCol w:w="908"/>
        <w:gridCol w:w="482"/>
        <w:gridCol w:w="1180"/>
        <w:gridCol w:w="1016"/>
      </w:tblGrid>
      <w:tr w:rsidR="00325319" w:rsidRPr="00325319" w14:paraId="1E7F2F52" w14:textId="77777777" w:rsidTr="003253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5217C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lastRenderedPageBreak/>
              <w:t>Ano</w:t>
            </w:r>
          </w:p>
        </w:tc>
        <w:tc>
          <w:tcPr>
            <w:tcW w:w="0" w:type="auto"/>
            <w:vAlign w:val="center"/>
            <w:hideMark/>
          </w:tcPr>
          <w:p w14:paraId="5CA24945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Liquidez Corrente</w:t>
            </w:r>
          </w:p>
        </w:tc>
        <w:tc>
          <w:tcPr>
            <w:tcW w:w="0" w:type="auto"/>
            <w:vAlign w:val="center"/>
            <w:hideMark/>
          </w:tcPr>
          <w:p w14:paraId="58E1B0E2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Liquidez Seca</w:t>
            </w:r>
          </w:p>
        </w:tc>
        <w:tc>
          <w:tcPr>
            <w:tcW w:w="0" w:type="auto"/>
            <w:vAlign w:val="center"/>
            <w:hideMark/>
          </w:tcPr>
          <w:p w14:paraId="654BBF9E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Margem Líquida</w:t>
            </w:r>
          </w:p>
        </w:tc>
        <w:tc>
          <w:tcPr>
            <w:tcW w:w="0" w:type="auto"/>
            <w:vAlign w:val="center"/>
            <w:hideMark/>
          </w:tcPr>
          <w:p w14:paraId="2602F15C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ROA</w:t>
            </w:r>
          </w:p>
        </w:tc>
        <w:tc>
          <w:tcPr>
            <w:tcW w:w="0" w:type="auto"/>
            <w:vAlign w:val="center"/>
            <w:hideMark/>
          </w:tcPr>
          <w:p w14:paraId="59F20B8B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ROE</w:t>
            </w:r>
          </w:p>
        </w:tc>
        <w:tc>
          <w:tcPr>
            <w:tcW w:w="0" w:type="auto"/>
            <w:vAlign w:val="center"/>
            <w:hideMark/>
          </w:tcPr>
          <w:p w14:paraId="35B1CB62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Endividamento</w:t>
            </w:r>
          </w:p>
        </w:tc>
        <w:tc>
          <w:tcPr>
            <w:tcW w:w="0" w:type="auto"/>
            <w:vAlign w:val="center"/>
            <w:hideMark/>
          </w:tcPr>
          <w:p w14:paraId="00D43A0F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Cobertura de Juros</w:t>
            </w:r>
          </w:p>
        </w:tc>
        <w:tc>
          <w:tcPr>
            <w:tcW w:w="0" w:type="auto"/>
            <w:vAlign w:val="center"/>
            <w:hideMark/>
          </w:tcPr>
          <w:p w14:paraId="68C4018D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Giro do Ativo</w:t>
            </w:r>
          </w:p>
        </w:tc>
        <w:tc>
          <w:tcPr>
            <w:tcW w:w="0" w:type="auto"/>
            <w:vAlign w:val="center"/>
            <w:hideMark/>
          </w:tcPr>
          <w:p w14:paraId="427C6F97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Período Médio de Recebimento</w:t>
            </w:r>
          </w:p>
        </w:tc>
        <w:tc>
          <w:tcPr>
            <w:tcW w:w="0" w:type="auto"/>
            <w:vAlign w:val="center"/>
            <w:hideMark/>
          </w:tcPr>
          <w:p w14:paraId="3AD1D257" w14:textId="77777777" w:rsidR="00325319" w:rsidRPr="00325319" w:rsidRDefault="00325319" w:rsidP="00325319">
            <w:pPr>
              <w:rPr>
                <w:b/>
                <w:bCs/>
              </w:rPr>
            </w:pPr>
            <w:r w:rsidRPr="00325319">
              <w:rPr>
                <w:b/>
                <w:bCs/>
              </w:rPr>
              <w:t>Período Médio de Pagamento</w:t>
            </w:r>
          </w:p>
        </w:tc>
      </w:tr>
      <w:tr w:rsidR="00325319" w:rsidRPr="00325319" w14:paraId="0FF6C560" w14:textId="77777777" w:rsidTr="0032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1CDB" w14:textId="77777777" w:rsidR="00325319" w:rsidRPr="00325319" w:rsidRDefault="00325319" w:rsidP="00325319">
            <w:r w:rsidRPr="00325319">
              <w:t>2021</w:t>
            </w:r>
          </w:p>
        </w:tc>
        <w:tc>
          <w:tcPr>
            <w:tcW w:w="0" w:type="auto"/>
            <w:vAlign w:val="center"/>
            <w:hideMark/>
          </w:tcPr>
          <w:p w14:paraId="132ABCA7" w14:textId="77777777" w:rsidR="00325319" w:rsidRPr="00325319" w:rsidRDefault="00325319" w:rsidP="00325319">
            <w:r w:rsidRPr="00325319">
              <w:t>1,58</w:t>
            </w:r>
          </w:p>
        </w:tc>
        <w:tc>
          <w:tcPr>
            <w:tcW w:w="0" w:type="auto"/>
            <w:vAlign w:val="center"/>
            <w:hideMark/>
          </w:tcPr>
          <w:p w14:paraId="699403E5" w14:textId="77777777" w:rsidR="00325319" w:rsidRPr="00325319" w:rsidRDefault="00325319" w:rsidP="00325319">
            <w:r w:rsidRPr="00325319">
              <w:t>1,46</w:t>
            </w:r>
          </w:p>
        </w:tc>
        <w:tc>
          <w:tcPr>
            <w:tcW w:w="0" w:type="auto"/>
            <w:vAlign w:val="center"/>
            <w:hideMark/>
          </w:tcPr>
          <w:p w14:paraId="6E664EFE" w14:textId="77777777" w:rsidR="00325319" w:rsidRPr="00325319" w:rsidRDefault="00325319" w:rsidP="00325319">
            <w:r w:rsidRPr="00325319">
              <w:t>0,03</w:t>
            </w:r>
          </w:p>
        </w:tc>
        <w:tc>
          <w:tcPr>
            <w:tcW w:w="0" w:type="auto"/>
            <w:vAlign w:val="center"/>
            <w:hideMark/>
          </w:tcPr>
          <w:p w14:paraId="65F14834" w14:textId="77777777" w:rsidR="00325319" w:rsidRPr="00325319" w:rsidRDefault="00325319" w:rsidP="00325319">
            <w:r w:rsidRPr="00325319">
              <w:t>0,09</w:t>
            </w:r>
          </w:p>
        </w:tc>
        <w:tc>
          <w:tcPr>
            <w:tcW w:w="0" w:type="auto"/>
            <w:vAlign w:val="center"/>
            <w:hideMark/>
          </w:tcPr>
          <w:p w14:paraId="746BDC50" w14:textId="77777777" w:rsidR="00325319" w:rsidRPr="00325319" w:rsidRDefault="00325319" w:rsidP="00325319">
            <w:r w:rsidRPr="00325319">
              <w:t>0,60</w:t>
            </w:r>
          </w:p>
        </w:tc>
        <w:tc>
          <w:tcPr>
            <w:tcW w:w="0" w:type="auto"/>
            <w:vAlign w:val="center"/>
            <w:hideMark/>
          </w:tcPr>
          <w:p w14:paraId="68EFD8B4" w14:textId="77777777" w:rsidR="00325319" w:rsidRPr="00325319" w:rsidRDefault="00325319" w:rsidP="00325319">
            <w:r w:rsidRPr="00325319">
              <w:t>0,85</w:t>
            </w:r>
          </w:p>
        </w:tc>
        <w:tc>
          <w:tcPr>
            <w:tcW w:w="0" w:type="auto"/>
            <w:vAlign w:val="center"/>
            <w:hideMark/>
          </w:tcPr>
          <w:p w14:paraId="5459641B" w14:textId="77777777" w:rsidR="00325319" w:rsidRPr="00325319" w:rsidRDefault="00325319" w:rsidP="00325319">
            <w:r w:rsidRPr="00325319">
              <w:t>17,73</w:t>
            </w:r>
          </w:p>
        </w:tc>
        <w:tc>
          <w:tcPr>
            <w:tcW w:w="0" w:type="auto"/>
            <w:vAlign w:val="center"/>
            <w:hideMark/>
          </w:tcPr>
          <w:p w14:paraId="04623D2C" w14:textId="77777777" w:rsidR="00325319" w:rsidRPr="00325319" w:rsidRDefault="00325319" w:rsidP="00325319">
            <w:r w:rsidRPr="00325319">
              <w:t>3,52</w:t>
            </w:r>
          </w:p>
        </w:tc>
        <w:tc>
          <w:tcPr>
            <w:tcW w:w="0" w:type="auto"/>
            <w:vAlign w:val="center"/>
            <w:hideMark/>
          </w:tcPr>
          <w:p w14:paraId="47D180E6" w14:textId="77777777" w:rsidR="00325319" w:rsidRPr="00325319" w:rsidRDefault="00325319" w:rsidP="00325319">
            <w:r w:rsidRPr="00325319">
              <w:t>62,48</w:t>
            </w:r>
          </w:p>
        </w:tc>
        <w:tc>
          <w:tcPr>
            <w:tcW w:w="0" w:type="auto"/>
            <w:vAlign w:val="center"/>
            <w:hideMark/>
          </w:tcPr>
          <w:p w14:paraId="4B4ACF12" w14:textId="77777777" w:rsidR="00325319" w:rsidRPr="00325319" w:rsidRDefault="00325319" w:rsidP="00325319">
            <w:r w:rsidRPr="00325319">
              <w:t>11,01</w:t>
            </w:r>
          </w:p>
        </w:tc>
      </w:tr>
      <w:tr w:rsidR="00325319" w:rsidRPr="00325319" w14:paraId="2532E847" w14:textId="77777777" w:rsidTr="0032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B391" w14:textId="77777777" w:rsidR="00325319" w:rsidRPr="00325319" w:rsidRDefault="00325319" w:rsidP="00325319">
            <w:r w:rsidRPr="00325319">
              <w:t>2022</w:t>
            </w:r>
          </w:p>
        </w:tc>
        <w:tc>
          <w:tcPr>
            <w:tcW w:w="0" w:type="auto"/>
            <w:vAlign w:val="center"/>
            <w:hideMark/>
          </w:tcPr>
          <w:p w14:paraId="2E3B844A" w14:textId="77777777" w:rsidR="00325319" w:rsidRPr="00325319" w:rsidRDefault="00325319" w:rsidP="00325319">
            <w:r w:rsidRPr="00325319">
              <w:t>1,37</w:t>
            </w:r>
          </w:p>
        </w:tc>
        <w:tc>
          <w:tcPr>
            <w:tcW w:w="0" w:type="auto"/>
            <w:vAlign w:val="center"/>
            <w:hideMark/>
          </w:tcPr>
          <w:p w14:paraId="3C4ED0B7" w14:textId="77777777" w:rsidR="00325319" w:rsidRPr="00325319" w:rsidRDefault="00325319" w:rsidP="00325319">
            <w:r w:rsidRPr="00325319">
              <w:t>1,30</w:t>
            </w:r>
          </w:p>
        </w:tc>
        <w:tc>
          <w:tcPr>
            <w:tcW w:w="0" w:type="auto"/>
            <w:vAlign w:val="center"/>
            <w:hideMark/>
          </w:tcPr>
          <w:p w14:paraId="36A9E169" w14:textId="77777777" w:rsidR="00325319" w:rsidRPr="00325319" w:rsidRDefault="00325319" w:rsidP="00325319">
            <w:r w:rsidRPr="00325319">
              <w:t>0,03</w:t>
            </w:r>
          </w:p>
        </w:tc>
        <w:tc>
          <w:tcPr>
            <w:tcW w:w="0" w:type="auto"/>
            <w:vAlign w:val="center"/>
            <w:hideMark/>
          </w:tcPr>
          <w:p w14:paraId="2E394652" w14:textId="77777777" w:rsidR="00325319" w:rsidRPr="00325319" w:rsidRDefault="00325319" w:rsidP="00325319">
            <w:r w:rsidRPr="00325319">
              <w:t>0,03</w:t>
            </w:r>
          </w:p>
        </w:tc>
        <w:tc>
          <w:tcPr>
            <w:tcW w:w="0" w:type="auto"/>
            <w:vAlign w:val="center"/>
            <w:hideMark/>
          </w:tcPr>
          <w:p w14:paraId="664B9513" w14:textId="77777777" w:rsidR="00325319" w:rsidRPr="00325319" w:rsidRDefault="00325319" w:rsidP="00325319">
            <w:r w:rsidRPr="00325319">
              <w:t>0,21</w:t>
            </w:r>
          </w:p>
        </w:tc>
        <w:tc>
          <w:tcPr>
            <w:tcW w:w="0" w:type="auto"/>
            <w:vAlign w:val="center"/>
            <w:hideMark/>
          </w:tcPr>
          <w:p w14:paraId="7CA2D935" w14:textId="77777777" w:rsidR="00325319" w:rsidRPr="00325319" w:rsidRDefault="00325319" w:rsidP="00325319">
            <w:r w:rsidRPr="00325319">
              <w:t>0,83</w:t>
            </w:r>
          </w:p>
        </w:tc>
        <w:tc>
          <w:tcPr>
            <w:tcW w:w="0" w:type="auto"/>
            <w:vAlign w:val="center"/>
            <w:hideMark/>
          </w:tcPr>
          <w:p w14:paraId="0E73C842" w14:textId="77777777" w:rsidR="00325319" w:rsidRPr="00325319" w:rsidRDefault="00325319" w:rsidP="00325319">
            <w:r w:rsidRPr="00325319">
              <w:t>5,37</w:t>
            </w:r>
          </w:p>
        </w:tc>
        <w:tc>
          <w:tcPr>
            <w:tcW w:w="0" w:type="auto"/>
            <w:vAlign w:val="center"/>
            <w:hideMark/>
          </w:tcPr>
          <w:p w14:paraId="0AD64527" w14:textId="77777777" w:rsidR="00325319" w:rsidRPr="00325319" w:rsidRDefault="00325319" w:rsidP="00325319">
            <w:r w:rsidRPr="00325319">
              <w:t>1,00</w:t>
            </w:r>
          </w:p>
        </w:tc>
        <w:tc>
          <w:tcPr>
            <w:tcW w:w="0" w:type="auto"/>
            <w:vAlign w:val="center"/>
            <w:hideMark/>
          </w:tcPr>
          <w:p w14:paraId="59278CFC" w14:textId="77777777" w:rsidR="00325319" w:rsidRPr="00325319" w:rsidRDefault="00325319" w:rsidP="00325319">
            <w:r w:rsidRPr="00325319">
              <w:t>198,89</w:t>
            </w:r>
          </w:p>
        </w:tc>
        <w:tc>
          <w:tcPr>
            <w:tcW w:w="0" w:type="auto"/>
            <w:vAlign w:val="center"/>
            <w:hideMark/>
          </w:tcPr>
          <w:p w14:paraId="5D5872A4" w14:textId="77777777" w:rsidR="00325319" w:rsidRPr="00325319" w:rsidRDefault="00325319" w:rsidP="00325319">
            <w:r w:rsidRPr="00325319">
              <w:t>45,53</w:t>
            </w:r>
          </w:p>
        </w:tc>
      </w:tr>
      <w:tr w:rsidR="00325319" w:rsidRPr="00325319" w14:paraId="3947D0D2" w14:textId="77777777" w:rsidTr="003253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5B872" w14:textId="77777777" w:rsidR="00325319" w:rsidRPr="00325319" w:rsidRDefault="00325319" w:rsidP="00325319">
            <w:r w:rsidRPr="00325319">
              <w:t>2023</w:t>
            </w:r>
          </w:p>
        </w:tc>
        <w:tc>
          <w:tcPr>
            <w:tcW w:w="0" w:type="auto"/>
            <w:vAlign w:val="center"/>
            <w:hideMark/>
          </w:tcPr>
          <w:p w14:paraId="4F81C049" w14:textId="77777777" w:rsidR="00325319" w:rsidRPr="00325319" w:rsidRDefault="00325319" w:rsidP="00325319">
            <w:r w:rsidRPr="00325319">
              <w:t>0,98</w:t>
            </w:r>
          </w:p>
        </w:tc>
        <w:tc>
          <w:tcPr>
            <w:tcW w:w="0" w:type="auto"/>
            <w:vAlign w:val="center"/>
            <w:hideMark/>
          </w:tcPr>
          <w:p w14:paraId="3FBA8650" w14:textId="77777777" w:rsidR="00325319" w:rsidRPr="00325319" w:rsidRDefault="00325319" w:rsidP="00325319">
            <w:r w:rsidRPr="00325319">
              <w:t>0,91</w:t>
            </w:r>
          </w:p>
        </w:tc>
        <w:tc>
          <w:tcPr>
            <w:tcW w:w="0" w:type="auto"/>
            <w:vAlign w:val="center"/>
            <w:hideMark/>
          </w:tcPr>
          <w:p w14:paraId="71BF8413" w14:textId="77777777" w:rsidR="00325319" w:rsidRPr="00325319" w:rsidRDefault="00325319" w:rsidP="00325319">
            <w:r w:rsidRPr="00325319">
              <w:t>0,03</w:t>
            </w:r>
          </w:p>
        </w:tc>
        <w:tc>
          <w:tcPr>
            <w:tcW w:w="0" w:type="auto"/>
            <w:vAlign w:val="center"/>
            <w:hideMark/>
          </w:tcPr>
          <w:p w14:paraId="5B3AC503" w14:textId="77777777" w:rsidR="00325319" w:rsidRPr="00325319" w:rsidRDefault="00325319" w:rsidP="00325319">
            <w:r w:rsidRPr="00325319">
              <w:t>0,02</w:t>
            </w:r>
          </w:p>
        </w:tc>
        <w:tc>
          <w:tcPr>
            <w:tcW w:w="0" w:type="auto"/>
            <w:vAlign w:val="center"/>
            <w:hideMark/>
          </w:tcPr>
          <w:p w14:paraId="78A4E485" w14:textId="77777777" w:rsidR="00325319" w:rsidRPr="00325319" w:rsidRDefault="00325319" w:rsidP="00325319">
            <w:r w:rsidRPr="00325319">
              <w:t>0,27</w:t>
            </w:r>
          </w:p>
        </w:tc>
        <w:tc>
          <w:tcPr>
            <w:tcW w:w="0" w:type="auto"/>
            <w:vAlign w:val="center"/>
            <w:hideMark/>
          </w:tcPr>
          <w:p w14:paraId="68DFB9C0" w14:textId="77777777" w:rsidR="00325319" w:rsidRPr="00325319" w:rsidRDefault="00325319" w:rsidP="00325319">
            <w:r w:rsidRPr="00325319">
              <w:t>0,94</w:t>
            </w:r>
          </w:p>
        </w:tc>
        <w:tc>
          <w:tcPr>
            <w:tcW w:w="0" w:type="auto"/>
            <w:vAlign w:val="center"/>
            <w:hideMark/>
          </w:tcPr>
          <w:p w14:paraId="69E5E944" w14:textId="77777777" w:rsidR="00325319" w:rsidRPr="00325319" w:rsidRDefault="00325319" w:rsidP="00325319">
            <w:r w:rsidRPr="00325319">
              <w:t>1,53</w:t>
            </w:r>
          </w:p>
        </w:tc>
        <w:tc>
          <w:tcPr>
            <w:tcW w:w="0" w:type="auto"/>
            <w:vAlign w:val="center"/>
            <w:hideMark/>
          </w:tcPr>
          <w:p w14:paraId="3432D2D6" w14:textId="77777777" w:rsidR="00325319" w:rsidRPr="00325319" w:rsidRDefault="00325319" w:rsidP="00325319">
            <w:r w:rsidRPr="00325319">
              <w:t>0,57</w:t>
            </w:r>
          </w:p>
        </w:tc>
        <w:tc>
          <w:tcPr>
            <w:tcW w:w="0" w:type="auto"/>
            <w:vAlign w:val="center"/>
            <w:hideMark/>
          </w:tcPr>
          <w:p w14:paraId="1CCF1C42" w14:textId="77777777" w:rsidR="00325319" w:rsidRPr="00325319" w:rsidRDefault="00325319" w:rsidP="00325319">
            <w:r w:rsidRPr="00325319">
              <w:t>171,16</w:t>
            </w:r>
          </w:p>
        </w:tc>
        <w:tc>
          <w:tcPr>
            <w:tcW w:w="0" w:type="auto"/>
            <w:vAlign w:val="center"/>
            <w:hideMark/>
          </w:tcPr>
          <w:p w14:paraId="507BD283" w14:textId="77777777" w:rsidR="00325319" w:rsidRPr="00325319" w:rsidRDefault="00325319" w:rsidP="00325319">
            <w:r w:rsidRPr="00325319">
              <w:t>37,56</w:t>
            </w:r>
          </w:p>
        </w:tc>
      </w:tr>
    </w:tbl>
    <w:p w14:paraId="1322CAFA" w14:textId="77777777" w:rsidR="00325319" w:rsidRPr="00325319" w:rsidRDefault="00325319" w:rsidP="00325319">
      <w:r w:rsidRPr="00325319">
        <w:rPr>
          <w:b/>
          <w:bCs/>
        </w:rPr>
        <w:t>Principais Observações:</w:t>
      </w:r>
    </w:p>
    <w:p w14:paraId="38D1A59F" w14:textId="77777777" w:rsidR="00325319" w:rsidRPr="00325319" w:rsidRDefault="00325319" w:rsidP="00325319">
      <w:pPr>
        <w:numPr>
          <w:ilvl w:val="0"/>
          <w:numId w:val="5"/>
        </w:numPr>
      </w:pPr>
      <w:r w:rsidRPr="00325319">
        <w:rPr>
          <w:b/>
          <w:bCs/>
        </w:rPr>
        <w:t>Liquidez:</w:t>
      </w:r>
      <w:r w:rsidRPr="00325319">
        <w:t xml:space="preserve"> Diminuiu, indicando riscos de curto prazo.</w:t>
      </w:r>
    </w:p>
    <w:p w14:paraId="5DCBA591" w14:textId="77777777" w:rsidR="00325319" w:rsidRPr="00325319" w:rsidRDefault="00325319" w:rsidP="00325319">
      <w:pPr>
        <w:numPr>
          <w:ilvl w:val="0"/>
          <w:numId w:val="5"/>
        </w:numPr>
      </w:pPr>
      <w:r w:rsidRPr="00325319">
        <w:rPr>
          <w:b/>
          <w:bCs/>
        </w:rPr>
        <w:t>Rentabilidade:</w:t>
      </w:r>
      <w:r w:rsidRPr="00325319">
        <w:t xml:space="preserve"> ROA e ROE baixos sugerem baixa eficiência na geração de lucro.</w:t>
      </w:r>
    </w:p>
    <w:p w14:paraId="689B9F96" w14:textId="77777777" w:rsidR="00325319" w:rsidRPr="00325319" w:rsidRDefault="00325319" w:rsidP="00325319">
      <w:pPr>
        <w:numPr>
          <w:ilvl w:val="0"/>
          <w:numId w:val="5"/>
        </w:numPr>
      </w:pPr>
      <w:r w:rsidRPr="00325319">
        <w:rPr>
          <w:b/>
          <w:bCs/>
        </w:rPr>
        <w:t>Endividamento:</w:t>
      </w:r>
      <w:r w:rsidRPr="00325319">
        <w:t xml:space="preserve"> Elevado, com cobertura de juros caindo para </w:t>
      </w:r>
      <w:r w:rsidRPr="00325319">
        <w:rPr>
          <w:b/>
          <w:bCs/>
        </w:rPr>
        <w:t>1,53 em 2023</w:t>
      </w:r>
      <w:r w:rsidRPr="00325319">
        <w:t>.</w:t>
      </w:r>
    </w:p>
    <w:p w14:paraId="35463D9F" w14:textId="77777777" w:rsidR="00325319" w:rsidRPr="00325319" w:rsidRDefault="00325319" w:rsidP="00325319">
      <w:pPr>
        <w:numPr>
          <w:ilvl w:val="0"/>
          <w:numId w:val="5"/>
        </w:numPr>
      </w:pPr>
      <w:r w:rsidRPr="00325319">
        <w:rPr>
          <w:b/>
          <w:bCs/>
        </w:rPr>
        <w:t>Ciclo financeiro:</w:t>
      </w:r>
      <w:r w:rsidRPr="00325319">
        <w:t xml:space="preserve"> Aumento do período de recebimento, afetando o fluxo de caixa.</w:t>
      </w:r>
    </w:p>
    <w:p w14:paraId="62B6C777" w14:textId="77777777" w:rsidR="00325319" w:rsidRPr="00325319" w:rsidRDefault="00325319" w:rsidP="00325319">
      <w:r w:rsidRPr="00325319">
        <w:pict w14:anchorId="62A52072">
          <v:rect id="_x0000_i1070" style="width:0;height:1.5pt" o:hralign="center" o:hrstd="t" o:hr="t" fillcolor="#a0a0a0" stroked="f"/>
        </w:pict>
      </w:r>
    </w:p>
    <w:p w14:paraId="190EFDBE" w14:textId="77777777" w:rsidR="00325319" w:rsidRPr="00325319" w:rsidRDefault="00325319" w:rsidP="00325319">
      <w:r w:rsidRPr="00325319">
        <w:rPr>
          <w:b/>
          <w:bCs/>
        </w:rPr>
        <w:t>5. ANÁLISE DOS FINSCORES E SERASA SCORE</w:t>
      </w:r>
    </w:p>
    <w:p w14:paraId="6F292FDF" w14:textId="77777777" w:rsidR="00325319" w:rsidRPr="00325319" w:rsidRDefault="00325319" w:rsidP="00325319">
      <w:pPr>
        <w:numPr>
          <w:ilvl w:val="0"/>
          <w:numId w:val="6"/>
        </w:numPr>
      </w:pPr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Bruto:</w:t>
      </w:r>
      <w:r w:rsidRPr="00325319">
        <w:t xml:space="preserve"> -0,97 (</w:t>
      </w:r>
      <w:r w:rsidRPr="00325319">
        <w:rPr>
          <w:b/>
          <w:bCs/>
        </w:rPr>
        <w:t>Neutro</w:t>
      </w:r>
      <w:r w:rsidRPr="00325319">
        <w:t>)</w:t>
      </w:r>
    </w:p>
    <w:p w14:paraId="1A1E73A7" w14:textId="77777777" w:rsidR="00325319" w:rsidRPr="00325319" w:rsidRDefault="00325319" w:rsidP="00325319">
      <w:pPr>
        <w:numPr>
          <w:ilvl w:val="0"/>
          <w:numId w:val="6"/>
        </w:numPr>
      </w:pPr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Ajustado:</w:t>
      </w:r>
      <w:r w:rsidRPr="00325319">
        <w:t xml:space="preserve"> 257,50 (</w:t>
      </w:r>
      <w:r w:rsidRPr="00325319">
        <w:rPr>
          <w:b/>
          <w:bCs/>
        </w:rPr>
        <w:t>Neutro</w:t>
      </w:r>
      <w:r w:rsidRPr="00325319">
        <w:t>)</w:t>
      </w:r>
    </w:p>
    <w:p w14:paraId="1D47880A" w14:textId="77777777" w:rsidR="00325319" w:rsidRPr="00325319" w:rsidRDefault="00325319" w:rsidP="00325319">
      <w:pPr>
        <w:numPr>
          <w:ilvl w:val="0"/>
          <w:numId w:val="6"/>
        </w:numPr>
      </w:pPr>
      <w:proofErr w:type="spellStart"/>
      <w:r w:rsidRPr="00325319">
        <w:rPr>
          <w:b/>
          <w:bCs/>
        </w:rPr>
        <w:t>FinScore</w:t>
      </w:r>
      <w:proofErr w:type="spellEnd"/>
      <w:r w:rsidRPr="00325319">
        <w:rPr>
          <w:b/>
          <w:bCs/>
        </w:rPr>
        <w:t xml:space="preserve"> Final:</w:t>
      </w:r>
      <w:r w:rsidRPr="00325319">
        <w:t xml:space="preserve"> 423,42 (</w:t>
      </w:r>
      <w:r w:rsidRPr="00325319">
        <w:rPr>
          <w:b/>
          <w:bCs/>
        </w:rPr>
        <w:t>Neutro</w:t>
      </w:r>
      <w:r w:rsidRPr="00325319">
        <w:t>)</w:t>
      </w:r>
    </w:p>
    <w:p w14:paraId="5C3AAE37" w14:textId="77777777" w:rsidR="00325319" w:rsidRPr="00325319" w:rsidRDefault="00325319" w:rsidP="00325319">
      <w:pPr>
        <w:numPr>
          <w:ilvl w:val="0"/>
          <w:numId w:val="6"/>
        </w:numPr>
      </w:pPr>
      <w:r w:rsidRPr="00325319">
        <w:rPr>
          <w:b/>
          <w:bCs/>
        </w:rPr>
        <w:t>Serasa Score:</w:t>
      </w:r>
      <w:r w:rsidRPr="00325319">
        <w:t xml:space="preserve"> 389,00 (</w:t>
      </w:r>
      <w:r w:rsidRPr="00325319">
        <w:rPr>
          <w:b/>
          <w:bCs/>
        </w:rPr>
        <w:t>Levemente Acima do Risco</w:t>
      </w:r>
      <w:r w:rsidRPr="00325319">
        <w:t>)</w:t>
      </w:r>
    </w:p>
    <w:p w14:paraId="523A51DD" w14:textId="77777777" w:rsidR="00325319" w:rsidRPr="00325319" w:rsidRDefault="00325319" w:rsidP="00325319">
      <w:r w:rsidRPr="00325319">
        <w:t>A empresa apresenta um risco moderado, com estabilidade financeira relativa, mas enfrenta desafios de liquidez e alavancagem.</w:t>
      </w:r>
    </w:p>
    <w:p w14:paraId="22637BFB" w14:textId="77777777" w:rsidR="00325319" w:rsidRPr="00325319" w:rsidRDefault="00325319" w:rsidP="00325319">
      <w:r w:rsidRPr="00325319">
        <w:pict w14:anchorId="73DAA80D">
          <v:rect id="_x0000_i1071" style="width:0;height:1.5pt" o:hralign="center" o:hrstd="t" o:hr="t" fillcolor="#a0a0a0" stroked="f"/>
        </w:pict>
      </w:r>
    </w:p>
    <w:p w14:paraId="5D9806DA" w14:textId="77777777" w:rsidR="00325319" w:rsidRPr="00325319" w:rsidRDefault="00325319" w:rsidP="00325319">
      <w:r w:rsidRPr="00325319">
        <w:rPr>
          <w:b/>
          <w:bCs/>
        </w:rPr>
        <w:t>6. VEREDICTO FINAL</w:t>
      </w:r>
      <w:r w:rsidRPr="00325319">
        <w:br/>
        <w:t>Com base nos dados analisados, a concessão de crédito à empresa RESOLV HOSPITALAR deve ser condicionada a garantias adicionais, dada a queda da liquidez e o aumento do endividamento.</w:t>
      </w:r>
    </w:p>
    <w:p w14:paraId="2C4BBBA7" w14:textId="77777777" w:rsidR="00325319" w:rsidRPr="00325319" w:rsidRDefault="00325319" w:rsidP="00325319">
      <w:r w:rsidRPr="00325319">
        <w:lastRenderedPageBreak/>
        <w:pict w14:anchorId="266DF77B">
          <v:rect id="_x0000_i1072" style="width:0;height:1.5pt" o:hralign="center" o:hrstd="t" o:hr="t" fillcolor="#a0a0a0" stroked="f"/>
        </w:pict>
      </w:r>
    </w:p>
    <w:p w14:paraId="706AC311" w14:textId="77777777" w:rsidR="00325319" w:rsidRPr="00325319" w:rsidRDefault="00325319" w:rsidP="00325319">
      <w:r w:rsidRPr="00325319">
        <w:rPr>
          <w:b/>
          <w:bCs/>
        </w:rPr>
        <w:t>7. RECOMENDAÇÕES PARA MITIGAÇÃO DE RISCOS</w:t>
      </w:r>
    </w:p>
    <w:p w14:paraId="4ACA555E" w14:textId="77777777" w:rsidR="00325319" w:rsidRPr="00325319" w:rsidRDefault="00325319" w:rsidP="00325319">
      <w:pPr>
        <w:numPr>
          <w:ilvl w:val="0"/>
          <w:numId w:val="7"/>
        </w:numPr>
      </w:pPr>
      <w:r w:rsidRPr="00325319">
        <w:t>Exigir garantias reais.</w:t>
      </w:r>
    </w:p>
    <w:p w14:paraId="4F39CA18" w14:textId="77777777" w:rsidR="00325319" w:rsidRPr="00325319" w:rsidRDefault="00325319" w:rsidP="00325319">
      <w:pPr>
        <w:numPr>
          <w:ilvl w:val="0"/>
          <w:numId w:val="7"/>
        </w:numPr>
      </w:pPr>
      <w:r w:rsidRPr="00325319">
        <w:t>Estabelecer limites de crédito compatíveis.</w:t>
      </w:r>
    </w:p>
    <w:p w14:paraId="770AD77A" w14:textId="77777777" w:rsidR="00325319" w:rsidRPr="00325319" w:rsidRDefault="00325319" w:rsidP="00325319">
      <w:pPr>
        <w:numPr>
          <w:ilvl w:val="0"/>
          <w:numId w:val="7"/>
        </w:numPr>
      </w:pPr>
      <w:r w:rsidRPr="00325319">
        <w:t>Monitorar indicadores financeiros regularmente.</w:t>
      </w:r>
    </w:p>
    <w:p w14:paraId="75F95E93" w14:textId="77777777" w:rsidR="00325319" w:rsidRPr="00325319" w:rsidRDefault="00325319" w:rsidP="00325319">
      <w:r w:rsidRPr="00325319">
        <w:pict w14:anchorId="63BBEDCB">
          <v:rect id="_x0000_i1073" style="width:0;height:1.5pt" o:hralign="center" o:hrstd="t" o:hr="t" fillcolor="#a0a0a0" stroked="f"/>
        </w:pict>
      </w:r>
    </w:p>
    <w:p w14:paraId="21E5FA3F" w14:textId="77777777" w:rsidR="006E0504" w:rsidRDefault="006E0504"/>
    <w:sectPr w:rsidR="006E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095E"/>
    <w:multiLevelType w:val="multilevel"/>
    <w:tmpl w:val="217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37D38"/>
    <w:multiLevelType w:val="multilevel"/>
    <w:tmpl w:val="23F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255B4"/>
    <w:multiLevelType w:val="multilevel"/>
    <w:tmpl w:val="6AF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53EDE"/>
    <w:multiLevelType w:val="multilevel"/>
    <w:tmpl w:val="267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F4296"/>
    <w:multiLevelType w:val="multilevel"/>
    <w:tmpl w:val="4EE6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C3BED"/>
    <w:multiLevelType w:val="multilevel"/>
    <w:tmpl w:val="776E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E7BFF"/>
    <w:multiLevelType w:val="multilevel"/>
    <w:tmpl w:val="7E54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860973">
    <w:abstractNumId w:val="6"/>
  </w:num>
  <w:num w:numId="2" w16cid:durableId="1989431325">
    <w:abstractNumId w:val="3"/>
  </w:num>
  <w:num w:numId="3" w16cid:durableId="90784540">
    <w:abstractNumId w:val="2"/>
  </w:num>
  <w:num w:numId="4" w16cid:durableId="1964923361">
    <w:abstractNumId w:val="5"/>
  </w:num>
  <w:num w:numId="5" w16cid:durableId="300621386">
    <w:abstractNumId w:val="0"/>
  </w:num>
  <w:num w:numId="6" w16cid:durableId="981689332">
    <w:abstractNumId w:val="1"/>
  </w:num>
  <w:num w:numId="7" w16cid:durableId="1856187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19"/>
    <w:rsid w:val="00325319"/>
    <w:rsid w:val="006E0504"/>
    <w:rsid w:val="00C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ABDE"/>
  <w15:chartTrackingRefBased/>
  <w15:docId w15:val="{70E686F1-25DF-4DC3-A3F2-33E72AE8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3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3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3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3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3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3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3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3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3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3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2025-03-07T05:51:00Z</dcterms:created>
  <dcterms:modified xsi:type="dcterms:W3CDTF">2025-03-07T05:52:00Z</dcterms:modified>
</cp:coreProperties>
</file>