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onceitos_chave_artigo_macroeconomia_ii"/>
      <w:r>
        <w:rPr>
          <w:rFonts w:eastAsia="Georgia" w:cs="Georgia" w:ascii="Georgia" w:hAnsi="Georgia"/>
          <w:b/>
          <w:sz w:val="56"/>
        </w:rPr>
        <w:t xml:space="preserve">Conceitos-Chave – Artigo Macroeconomia II</w:t>
      </w:r>
      <w:bookmarkEnd w:id="0"/>
    </w:p>
    <w:p>
      <w:pPr>
        <w:spacing w:line="271" w:before="240" w:lineRule="auto"/>
      </w:pPr>
      <w:bookmarkStart w:id="1" w:name="regras_de_política_monetária_e_de_ffc7c7"/>
      <w:r>
        <w:rPr>
          <w:rFonts w:eastAsia="Georgia" w:cs="Georgia" w:ascii="Georgia" w:hAnsi="Georgia"/>
          <w:b/>
          <w:sz w:val="42"/>
        </w:rPr>
        <w:t xml:space="preserve">Regras de Política Monetária e Determinância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regime_de_metas_de_inflação"/>
      <w:r>
        <w:rPr>
          <w:rFonts w:eastAsia="Georgia" w:cs="Georgia" w:ascii="Georgia" w:hAnsi="Georgia"/>
          <w:b/>
          <w:sz w:val="42"/>
        </w:rPr>
        <w:t xml:space="preserve">1. Regime de Metas de Inflação</w:t>
      </w:r>
      <w:bookmarkEnd w:id="2"/>
    </w:p>
    <w:p>
      <w:pPr>
        <w:spacing w:after="210" w:lineRule="auto"/>
      </w:pPr>
      <w:r>
        <w:rPr>
          <w:b/>
        </w:rPr>
        <w:t xml:space="preserve">Definição:</w:t>
      </w:r>
      <w:r>
        <w:rPr/>
        <w:br w:type="textWrapping"/>
      </w:r>
      <w:r>
        <w:rPr>
          <w:rFonts w:eastAsia="Georgia" w:cs="Georgia" w:ascii="Georgia" w:hAnsi="Georgia"/>
        </w:rPr>
        <w:t xml:space="preserve">Framework institucional em que o Banco Central compromete-se publicamente com uma meta numérica de inflação (ou banda de tolerância) no horizonte de médio prazo, usando a taxa de juros como instrumento principal de política.</w:t>
      </w:r>
    </w:p>
    <w:p>
      <w:pPr>
        <w:spacing w:after="210" w:lineRule="auto"/>
      </w:pPr>
      <w:r>
        <w:rPr>
          <w:b/>
        </w:rPr>
        <w:t xml:space="preserve">Elementos Estruturantes (conforme BCB, 1999-presente):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Meta numérica e transparência:</w:t>
      </w:r>
      <w:r>
        <w:rPr>
          <w:rFonts w:eastAsia="Georgia" w:cs="Georgia" w:ascii="Georgia" w:hAnsi="Georgia"/>
        </w:rPr>
        <w:t xml:space="preserve"> Público conhece antecipadamente o alvo de inflação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Horizonte de médio prazo:</w:t>
      </w:r>
      <w:r>
        <w:rPr>
          <w:rFonts w:eastAsia="Georgia" w:cs="Georgia" w:ascii="Georgia" w:hAnsi="Georgia"/>
        </w:rPr>
        <w:t xml:space="preserve"> Típico de 12-24 meses, permitindo ajustes graduais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Responsabilização:</w:t>
      </w:r>
      <w:r>
        <w:rPr>
          <w:rFonts w:eastAsia="Georgia" w:cs="Georgia" w:ascii="Georgia" w:hAnsi="Georgia"/>
        </w:rPr>
        <w:t xml:space="preserve"> O BCB é obrigado a explicar desvios (cartas abertas ao Ministério da Fazenda)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Operacionalização:</w:t>
      </w:r>
      <w:r>
        <w:rPr>
          <w:rFonts w:eastAsia="Georgia" w:cs="Georgia" w:ascii="Georgia" w:hAnsi="Georgia"/>
        </w:rPr>
        <w:t xml:space="preserve"> Único instrumento é a taxa Selic (taxa de juros de curto prazo)</w:t>
      </w:r>
    </w:p>
    <w:p>
      <w:pPr>
        <w:spacing w:after="210" w:lineRule="auto"/>
      </w:pPr>
      <w:r>
        <w:rPr>
          <w:b/>
        </w:rPr>
        <w:t xml:space="preserve">Particularidade Brasileira:</w:t>
      </w:r>
    </w:p>
    <w:p>
      <w:pPr>
        <w:numPr>
          <w:ilvl w:val="0"/>
          <w:numId w:val="2"/>
        </w:numPr>
        <w:spacing w:lineRule="auto"/>
      </w:pPr>
      <w:r>
        <w:rPr/>
        <w:t xml:space="preserve">Implementado desde 1999 (Plano Real consolidado)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Período amostral do seu artigo: 1999-2024 (25 anos de regime único)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Mudança recente (2025):</w:t>
      </w:r>
      <w:r>
        <w:rPr>
          <w:rFonts w:eastAsia="Georgia" w:cs="Georgia" w:ascii="Georgia" w:hAnsi="Georgia"/>
        </w:rPr>
        <w:t xml:space="preserve"> Transição de meta "anual calendário" para "meta contínua" (rolling 12-meses), aproximando-se do padrão internacional. Isso afeta a calibração do que é "sucesso" ou "falha" do Princípio de Taylor.</w:t>
      </w:r>
    </w:p>
    <w:p>
      <w:pPr>
        <w:spacing w:after="210" w:lineRule="auto"/>
      </w:pPr>
      <w:r>
        <w:rPr>
          <w:b/>
        </w:rPr>
        <w:t xml:space="preserve">Implicação Teórica:</w:t>
      </w:r>
      <w:r>
        <w:rPr/>
        <w:br w:type="textWrapping"/>
      </w:r>
      <w:r>
        <w:rPr>
          <w:rFonts w:eastAsia="Georgia" w:cs="Georgia" w:ascii="Georgia" w:hAnsi="Georgia"/>
        </w:rPr>
        <w:t xml:space="preserve">Sob metas de inflação, o BC aceita certo trade-off entre estabilização de inflação e produto, mas hierarquicamente prioriza a inflação. A regra de Taylor emerge como </w:t>
      </w:r>
      <w:r>
        <w:rPr>
          <w:i/>
        </w:rPr>
        <w:t xml:space="preserve">best practice</w:t>
      </w:r>
      <w:r>
        <w:rPr/>
        <w:t xml:space="preserve"> para operar neste regime.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regras_de_taylor"/>
      <w:r>
        <w:rPr>
          <w:b/>
          <w:sz w:val="42"/>
        </w:rPr>
        <w:t xml:space="preserve">2. Regras de Taylor</w:t>
      </w:r>
      <w:bookmarkEnd w:id="3"/>
    </w:p>
    <w:p>
      <w:pPr>
        <w:spacing w:after="210" w:lineRule="auto"/>
      </w:pPr>
      <w:r>
        <w:rPr>
          <w:b/>
        </w:rPr>
        <w:t xml:space="preserve">Conceito Geral:</w:t>
      </w:r>
      <w:r>
        <w:rPr/>
        <w:br w:type="textWrapping"/>
      </w:r>
      <w:r>
        <w:rPr>
          <w:rFonts w:eastAsia="Georgia" w:cs="Georgia" w:ascii="Georgia" w:hAnsi="Georgia"/>
        </w:rPr>
        <w:t xml:space="preserve">Regra de política monetária em que o Banco Central define a taxa de juros nominal (</w:t>
      </w:r>
      <m:oMath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) como função de: (i) desvios da inflação da meta (</w:t>
      </w:r>
      <m:oMath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−</m:t>
        </m:r>
        <m:sSup>
          <m:sSupPr/>
          <m:e>
            <m:r>
              <m:rPr>
                <m:sty m:val="i"/>
              </m:rPr>
              <m:t>π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/>
        <w:t xml:space="preserve">), (ii) desvios do produto do potencial (</w:t>
      </w:r>
      <m:oMath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), e (iii) possível inércia institucional (suavização de taxas).</w:t>
      </w:r>
    </w:p>
    <w:p>
      <w:pPr>
        <w:spacing w:after="210" w:lineRule="auto"/>
      </w:pPr>
      <w:r>
        <w:rPr/>
        <w:t xml:space="preserve">Formulada originalmente por </w:t>
      </w:r>
      <w:r>
        <w:rPr>
          <w:b/>
        </w:rPr>
        <w:t xml:space="preserve">John Taylor (1993)</w:t>
      </w:r>
      <w:r>
        <w:rPr>
          <w:rFonts w:eastAsia="Georgia" w:cs="Georgia" w:ascii="Georgia" w:hAnsi="Georgia"/>
        </w:rPr>
        <w:t xml:space="preserve"> baseada na prática histórica do Federal Reserve, ganhou força teórica com o modelo Novo-Keynesiano (Woodford 2003).</w:t>
      </w:r>
    </w:p>
    <w:p>
      <w:pPr>
        <w:spacing w:line="271" w:before="240" w:lineRule="auto"/>
      </w:pPr>
      <w:bookmarkStart w:id="4" w:name="bm_2_1_backward_looking_contempor_60e0db"/>
      <w:r>
        <w:rPr>
          <w:b/>
          <w:sz w:val="33"/>
        </w:rPr>
        <w:t xml:space="preserve">2.1 </w:t>
      </w:r>
      <w:r>
        <w:rPr>
          <w:b/>
          <w:sz w:val="33"/>
        </w:rPr>
        <w:t xml:space="preserve">Backward-looking</w:t>
      </w:r>
      <w:r>
        <w:rPr>
          <w:rFonts w:eastAsia="Georgia" w:cs="Georgia" w:ascii="Georgia" w:hAnsi="Georgia"/>
          <w:b/>
          <w:sz w:val="33"/>
        </w:rPr>
        <w:t xml:space="preserve"> (Contemporânea ou com Defasagens)</w:t>
      </w:r>
      <w:bookmarkEnd w:id="4"/>
    </w:p>
    <w:p>
      <w:pPr>
        <w:spacing w:after="210" w:lineRule="auto"/>
      </w:pPr>
      <w:r>
        <w:rPr>
          <w:b/>
        </w:rPr>
        <w:t xml:space="preserve">Forma Geral: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ρ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</m:sSub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Onde:</w:t>
      </w:r>
    </w:p>
    <w:p>
      <w:pPr>
        <w:numPr>
          <w:ilvl w:val="0"/>
          <w:numId w:val="3"/>
        </w:numPr>
        <w:spacing w:lineRule="auto"/>
      </w:pPr>
      <m:oMath>
        <m:r>
          <m:rPr>
            <m:sty m:val="i"/>
          </m:rPr>
          <m:t>ρ</m:t>
        </m:r>
      </m:oMath>
      <w:r>
        <w:rPr/>
        <w:t xml:space="preserve"> = taxa de juros real neutra (ou steady-state nominal)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 = coeficiente de reação à inflação (típico: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para determinância)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rFonts w:eastAsia="Georgia" w:cs="Georgia" w:ascii="Georgia" w:hAnsi="Georgia"/>
        </w:rPr>
        <w:t xml:space="preserve"> = coeficiente de reação ao hiato do produto (típico: </w:t>
      </w:r>
      <m:oMath>
        <m:r>
          <m:rPr>
            <m:sty m:val="p"/>
          </m:rPr>
          <m:t>0</m:t>
        </m:r>
        <m:r>
          <m:rPr>
            <m:sty m:val="p"/>
          </m:rPr>
          <m:t>&lt;</m:t>
        </m:r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0.5</m:t>
        </m:r>
      </m:oMath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ε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= choque de política monetária i.i.d.</w:t>
      </w:r>
    </w:p>
    <w:p>
      <w:pPr>
        <w:spacing w:after="210" w:lineRule="auto"/>
      </w:pPr>
      <w:r>
        <w:rPr>
          <w:b/>
        </w:rPr>
        <w:t xml:space="preserve">Características:</w:t>
      </w:r>
    </w:p>
    <w:p>
      <w:pPr>
        <w:numPr>
          <w:ilvl w:val="0"/>
          <w:numId w:val="4"/>
        </w:numPr>
        <w:spacing w:lineRule="auto"/>
      </w:pPr>
      <w:r>
        <w:rPr/>
        <w:t xml:space="preserve">O BC responde ao que </w:t>
      </w:r>
      <w:r>
        <w:rPr>
          <w:i/>
        </w:rPr>
        <w:t xml:space="preserve">já ocorreu</w:t>
      </w:r>
      <w:r>
        <w:rPr>
          <w:rFonts w:eastAsia="Georgia" w:cs="Georgia" w:ascii="Georgia" w:hAnsi="Georgia"/>
        </w:rPr>
        <w:t xml:space="preserve"> (inflação e hiato observados hoje ou em períodos passados)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Mais fácil de estimar econometricamente (MQO com robustez de Newey-West)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Realista para muitos contextos: o BC não conhece o futuro com perfeição</w:t>
      </w:r>
    </w:p>
    <w:p>
      <w:pPr>
        <w:spacing w:after="210" w:lineRule="auto"/>
      </w:pPr>
      <w:r>
        <w:rPr>
          <w:b/>
        </w:rPr>
        <w:t xml:space="preserve">Crítica Teórica:</w:t>
      </w:r>
      <w:r>
        <w:rPr/>
        <w:br w:type="textWrapping"/>
      </w:r>
      <w:r>
        <w:rPr>
          <w:rFonts w:eastAsia="Georgia" w:cs="Georgia" w:ascii="Georgia" w:hAnsi="Georgia"/>
        </w:rPr>
        <w:t xml:space="preserve">O modelo Novo-Keynesiano assume expectativas racionais; responder apenas ao passado pode parecer "míope". Porém, em prática, o BC usa dados defasados (PIB trimestral, IPCA mensal).</w:t>
      </w:r>
    </w:p>
    <w:p>
      <w:pPr>
        <w:spacing w:after="210" w:lineRule="auto"/>
      </w:pPr>
      <w:r>
        <w:rPr>
          <w:b/>
        </w:rPr>
        <w:t xml:space="preserve">Estimação para Brasil (seu artigo):</w:t>
      </w:r>
      <w:r>
        <w:rPr/>
        <w:br w:type="textWrapping"/>
      </w:r>
      <w:r>
        <w:rPr/>
        <w:t xml:space="preserve">Substitua </w:t>
      </w:r>
      <m:oMath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por IPCA (ou IPCA núcleo), </w:t>
      </w:r>
      <m:oMath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</m:sub>
        </m:sSub>
      </m:oMath>
      <w:r>
        <w:rPr/>
        <w:t xml:space="preserve"> por estimativa de hiato (HP, Hamilton ou UCM), </w:t>
      </w:r>
      <m:oMath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por Selic meta. Período: 1999-2024 (dados mensais ou trimestrais).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2_forward_looking_clarida_ga_5341ed"/>
      <w:r>
        <w:rPr>
          <w:b/>
          <w:sz w:val="33"/>
        </w:rPr>
        <w:t xml:space="preserve">2.2 </w:t>
      </w:r>
      <w:r>
        <w:rPr>
          <w:b/>
          <w:sz w:val="33"/>
        </w:rPr>
        <w:t xml:space="preserve">Forward-looking</w:t>
      </w:r>
      <w:r>
        <w:rPr>
          <w:rFonts w:eastAsia="Georgia" w:cs="Georgia" w:ascii="Georgia" w:hAnsi="Georgia"/>
          <w:b/>
          <w:sz w:val="33"/>
        </w:rPr>
        <w:t xml:space="preserve"> (Clarida, Galí &amp; Gertler 2000)</w:t>
      </w:r>
      <w:bookmarkEnd w:id="5"/>
    </w:p>
    <w:p>
      <w:pPr>
        <w:spacing w:after="210" w:lineRule="auto"/>
      </w:pPr>
      <w:r>
        <w:rPr>
          <w:b/>
        </w:rPr>
        <w:t xml:space="preserve">Forma Geral: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ρ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</m:sSub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Ou mais comumente: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ρ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h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</m:sSub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i"/>
                </m:rPr>
                <m:t>h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 </w:t>
      </w:r>
      <m:oMath>
        <m:r>
          <m:rPr>
            <m:sty m:val="i"/>
          </m:rPr>
          <m:t>h</m:t>
        </m:r>
      </m:oMath>
      <w:r>
        <w:rPr>
          <w:rFonts w:eastAsia="Georgia" w:cs="Georgia" w:ascii="Georgia" w:hAnsi="Georgia"/>
        </w:rPr>
        <w:t xml:space="preserve"> é o horizonte de antecipação (tipicamente </w:t>
      </w:r>
      <m:oMath>
        <m:r>
          <m:rPr>
            <m:sty m:val="i"/>
          </m:rPr>
          <m:t>h</m:t>
        </m:r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trimestre ou </w:t>
      </w:r>
      <m:oMath>
        <m:r>
          <m:rPr>
            <m:sty m:val="i"/>
          </m:rPr>
          <m:t>h</m:t>
        </m:r>
        <m:r>
          <m:rPr>
            <m:sty m:val="p"/>
          </m:rPr>
          <m:t>=</m:t>
        </m:r>
        <m:r>
          <m:rPr>
            <m:sty m:val="p"/>
          </m:rPr>
          <m:t>4</m:t>
        </m:r>
      </m:oMath>
      <w:r>
        <w:rPr/>
        <w:t xml:space="preserve"> trimestres).</w:t>
      </w:r>
    </w:p>
    <w:p>
      <w:pPr>
        <w:spacing w:after="210" w:lineRule="auto"/>
      </w:pPr>
      <w:r>
        <w:rPr>
          <w:b/>
        </w:rPr>
        <w:t xml:space="preserve">Características: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O BC responde antecipadamente: vê sinais de inflação futura e age hoje ("forward-looking policy")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Mais consistente com teoria Novo-Keynesiana e com prática de "forward guidance" moderno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Pressupõe que o BC tem informação sobre expectativas (surveys, mercado financeiro)</w:t>
      </w:r>
    </w:p>
    <w:p>
      <w:pPr>
        <w:spacing w:after="210" w:lineRule="auto"/>
      </w:pPr>
      <w:r>
        <w:rPr>
          <w:b/>
        </w:rPr>
        <w:t xml:space="preserve">Operacionalização para Brasil:</w:t>
      </w:r>
      <w:r>
        <w:rPr/>
        <w:br w:type="textWrapping"/>
      </w:r>
      <w:r>
        <w:rPr>
          <w:rFonts w:eastAsia="Georgia" w:cs="Georgia" w:ascii="Georgia" w:hAnsi="Georgia"/>
        </w:rPr>
        <w:t xml:space="preserve">Não há perfeitamente dados de expectativas trimestrais, mas temos: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Focus</w:t>
      </w:r>
      <w:r>
        <w:rPr>
          <w:rFonts w:eastAsia="Georgia" w:cs="Georgia" w:ascii="Georgia" w:hAnsi="Georgia"/>
        </w:rPr>
        <w:t xml:space="preserve"> (banco de dados FGV/BCB): expectativas mensais de analistas para inflação 12-meses</w:t>
      </w:r>
    </w:p>
    <w:p>
      <w:pPr>
        <w:numPr>
          <w:ilvl w:val="0"/>
          <w:numId w:val="6"/>
        </w:numPr>
        <w:spacing w:lineRule="auto"/>
      </w:pPr>
      <w:r>
        <w:rPr/>
        <w:t xml:space="preserve">Usar Focus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]</m:t>
        </m:r>
      </m:oMath>
      <w:r>
        <w:rPr>
          <w:rFonts w:eastAsia="Georgia" w:cs="Georgia" w:ascii="Georgia" w:hAnsi="Georgia"/>
        </w:rPr>
        <w:t xml:space="preserve"> como proxy para expectativas de médio prazo</w:t>
      </w:r>
    </w:p>
    <w:p>
      <w:pPr>
        <w:numPr>
          <w:ilvl w:val="0"/>
          <w:numId w:val="6"/>
        </w:numPr>
        <w:spacing w:lineRule="auto"/>
      </w:pPr>
      <w:r>
        <w:rPr/>
        <w:t xml:space="preserve">Para o hiato, mais desafiador: recorrer ao HIE (</w:t>
      </w:r>
      <w:r>
        <w:rPr>
          <w:i/>
        </w:rPr>
        <w:t xml:space="preserve">hiato do Instituto de Economia</w:t>
      </w:r>
      <w:r>
        <w:rPr>
          <w:rFonts w:eastAsia="Georgia" w:cs="Georgia" w:ascii="Georgia" w:hAnsi="Georgia"/>
        </w:rPr>
        <w:t xml:space="preserve">) ou própria estimativa UCM</w:t>
      </w:r>
    </w:p>
    <w:p>
      <w:pPr>
        <w:spacing w:after="210" w:lineRule="auto"/>
      </w:pPr>
      <w:r>
        <w:rPr>
          <w:b/>
        </w:rPr>
        <w:t xml:space="preserve">Estimação:</w:t>
      </w:r>
      <w:r>
        <w:rPr/>
        <w:br w:type="textWrapping"/>
      </w:r>
      <w:r>
        <w:rPr>
          <w:rFonts w:eastAsia="Georgia" w:cs="Georgia" w:ascii="Georgia" w:hAnsi="Georgia"/>
        </w:rPr>
        <w:t xml:space="preserve">GMM com instrumentos defasados (Clarida et al. 2000). Instrumentos válidos: </w:t>
      </w:r>
      <m:oMath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b>
        </m:sSub>
      </m:oMath>
      <w:r>
        <w:rPr/>
        <w:t xml:space="preserve">, etc.</w:t>
      </w:r>
    </w:p>
    <w:p>
      <w:pPr>
        <w:spacing w:after="210" w:lineRule="auto"/>
      </w:pPr>
      <w:r>
        <w:rPr>
          <w:b/>
        </w:rPr>
        <w:t xml:space="preserve">Cuidado Crítico:</w:t>
      </w:r>
      <w:r>
        <w:rPr>
          <w:rFonts w:eastAsia="Georgia" w:cs="Georgia" w:ascii="Georgia" w:hAnsi="Georgia"/>
        </w:rPr>
        <w:t xml:space="preserve"> Teste J de Hansen. Se p-value baixo, seus instrumentos são fracos ou a especificação está errada (variáveis omitidas, mudança estrutural).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3_híbrida_com_suavização_inércia"/>
      <w:r>
        <w:rPr>
          <w:b/>
          <w:sz w:val="33"/>
        </w:rPr>
        <w:t xml:space="preserve">2.3 </w:t>
      </w:r>
      <w:r>
        <w:rPr>
          <w:b/>
          <w:sz w:val="33"/>
        </w:rPr>
        <w:t xml:space="preserve">Híbrida</w:t>
      </w:r>
      <w:r>
        <w:rPr>
          <w:rFonts w:eastAsia="Georgia" w:cs="Georgia" w:ascii="Georgia" w:hAnsi="Georgia"/>
          <w:b/>
          <w:sz w:val="33"/>
        </w:rPr>
        <w:t xml:space="preserve"> (com Suavização/Inércia)</w:t>
      </w:r>
      <w:bookmarkEnd w:id="6"/>
    </w:p>
    <w:p>
      <w:pPr>
        <w:spacing w:after="210" w:lineRule="auto"/>
      </w:pPr>
      <w:r>
        <w:rPr>
          <w:b/>
        </w:rPr>
        <w:t xml:space="preserve">Forma Geral (com Suavização de Taxa de Juros):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θ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θ</m:t>
          </m:r>
          <m:r>
            <m:rPr>
              <m:sty m:val="p"/>
            </m:rPr>
            <m:t>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i"/>
                </m:rPr>
                <m:t>ρ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ϕ</m:t>
                  </m:r>
                </m:e>
                <m:sub>
                  <m:r>
                    <m:rPr>
                      <m:sty m:val="i"/>
                    </m:rPr>
                    <m:t>π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m:t>π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ϕ</m:t>
                  </m:r>
                </m:e>
                <m:sub>
                  <m:r>
                    <m:rPr>
                      <m:sty m:val="i"/>
                    </m:rPr>
                    <m:t>y</m:t>
                  </m:r>
                </m:sub>
              </m:sSub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ou equivalentemente:</w:t>
      </w:r>
    </w:p>
    <w:p>
      <w:pPr>
        <w:spacing w:after="210" w:lineRule="auto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θ</m:t>
          </m:r>
          <m:r>
            <m:rPr>
              <m:sty m:val="p"/>
            </m:rPr>
            <m:t>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/>
                <m:e>
                  <m:r>
                    <m:rPr>
                      <m:sty m:val="i"/>
                    </m:rPr>
                    <m:t>ϕ</m:t>
                  </m:r>
                </m:e>
                <m:sub>
                  <m:r>
                    <m:rPr>
                      <m:sty m:val="i"/>
                    </m:rPr>
                    <m:t>π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m:t>π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ϕ</m:t>
                  </m:r>
                </m:e>
                <m:sub>
                  <m:r>
                    <m:rPr>
                      <m:sty m:val="i"/>
                    </m:rPr>
                    <m:t>y</m:t>
                  </m:r>
                </m:sub>
              </m:sSub>
              <m:sSub>
                <m:sSubPr/>
                <m:e>
                  <m:acc>
                    <m:accPr>
                      <m:chr m:val="˜"/>
                    </m:accPr>
                    <m:e>
                      <m:r>
                        <m:rPr>
                          <m:sty m:val="i"/>
                        </m:rPr>
                        <m:t>y</m:t>
                      </m:r>
                    </m:e>
                  </m:acc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i"/>
                    </m:rPr>
                    <m:t>i</m:t>
                  </m:r>
                </m:e>
                <m:sub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Onde:</w:t>
      </w:r>
    </w:p>
    <w:p>
      <w:pPr>
        <w:numPr>
          <w:ilvl w:val="0"/>
          <w:numId w:val="7"/>
        </w:numPr>
        <w:spacing w:lineRule="auto"/>
      </w:pPr>
      <m:oMath>
        <m:r>
          <m:rPr>
            <m:sty m:val="i"/>
          </m:rP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= coeficiente de inércia (quanto maior </w:t>
      </w:r>
      <m:oMath>
        <m:r>
          <m:rPr>
            <m:sty m:val="i"/>
          </m:rPr>
          <m:t>θ</m:t>
        </m:r>
      </m:oMath>
      <w:r>
        <w:rPr/>
        <w:t xml:space="preserve">, mais lento o ajuste da taxa)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Típico para Brasil: </w:t>
      </w:r>
      <m:oMath>
        <m:r>
          <m:rPr>
            <m:sty m:val="i"/>
          </m:rPr>
          <m:t>θ</m:t>
        </m:r>
        <m:r>
          <m:rPr>
            <m:sty m:val="p"/>
          </m:rPr>
          <m:t>≈</m:t>
        </m:r>
        <m:r>
          <m:rPr>
            <m:sty m:val="p"/>
          </m:rPr>
          <m:t>0.6</m:t>
        </m:r>
        <m:r>
          <m:rPr>
            <m:sty m:val="p"/>
          </m:rPr>
          <m:t>−</m:t>
        </m:r>
        <m:r>
          <m:rPr>
            <m:sty m:val="p"/>
          </m:rPr>
          <m:t>0.8</m:t>
        </m:r>
      </m:oMath>
    </w:p>
    <w:p>
      <w:pPr>
        <w:spacing w:after="210" w:lineRule="auto"/>
      </w:pPr>
      <w:r>
        <w:rPr>
          <w:b/>
        </w:rPr>
        <w:t xml:space="preserve">Forma Alternativa (com Defasagens de Determinantes):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ρ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  <m:sup>
              <m:r>
                <m:rPr>
                  <m:sty m:val="i"/>
                </m:rPr>
                <m:t>ℓ</m:t>
              </m:r>
            </m:sup>
          </m:sSubSup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</m:sSub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  <m:sup>
              <m:r>
                <m:rPr>
                  <m:sty m:val="i"/>
                </m:rPr>
                <m:t>ℓ</m:t>
              </m:r>
            </m:sup>
          </m:sSubSup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ε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Chamada "partial adjustment" ou "gradual policy response."</w:t>
      </w:r>
    </w:p>
    <w:p>
      <w:pPr>
        <w:spacing w:after="210" w:lineRule="auto"/>
      </w:pPr>
      <w:r>
        <w:rPr>
          <w:b/>
        </w:rPr>
        <w:t xml:space="preserve">Por que existe inércia?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Institucional:</w:t>
      </w:r>
      <w:r>
        <w:rPr>
          <w:rFonts w:eastAsia="Georgia" w:cs="Georgia" w:ascii="Georgia" w:hAnsi="Georgia"/>
        </w:rPr>
        <w:t xml:space="preserve"> O BC não quer enviar sinal de mudança radical (credibilidade)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Informacional:</w:t>
      </w:r>
      <w:r>
        <w:rPr/>
        <w:t xml:space="preserve"> Dados saem com defasagens; o BC aprende gradualmente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Político:</w:t>
      </w:r>
      <w:r>
        <w:rPr>
          <w:rFonts w:eastAsia="Georgia" w:cs="Georgia" w:ascii="Georgia" w:hAnsi="Georgia"/>
        </w:rPr>
        <w:t xml:space="preserve"> Aumentos abruptos de juros causam pressão política; suavização é pragmática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Modelagem:</w:t>
      </w:r>
      <w:r>
        <w:rPr>
          <w:rFonts w:eastAsia="Georgia" w:cs="Georgia" w:ascii="Georgia" w:hAnsi="Georgia"/>
        </w:rPr>
        <w:t xml:space="preserve"> Captura comportamento real do Copom (decisões graduais)</w:t>
      </w:r>
    </w:p>
    <w:p>
      <w:pPr>
        <w:spacing w:after="210" w:lineRule="auto"/>
      </w:pPr>
      <w:r>
        <w:rPr>
          <w:b/>
        </w:rPr>
        <w:t xml:space="preserve">Estimação:</w:t>
      </w:r>
      <w:r>
        <w:rPr/>
        <w:br w:type="textWrapping"/>
      </w:r>
      <w:r>
        <w:rPr>
          <w:rFonts w:eastAsia="Georgia" w:cs="Georgia" w:ascii="Georgia" w:hAnsi="Georgia"/>
        </w:rPr>
        <w:t xml:space="preserve">OLS com erros-padrão robustos (Newey-West) frequentemente suficiente; alternativamente, GMM.</w:t>
      </w:r>
    </w:p>
    <w:p>
      <w:pPr>
        <w:spacing w:after="210" w:lineRule="auto"/>
      </w:pPr>
      <w:r>
        <w:rPr>
          <w:b/>
        </w:rPr>
        <w:t xml:space="preserve">Crítica Teórica:</w:t>
      </w:r>
      <w:r>
        <w:rPr/>
        <w:br w:type="textWrapping"/>
      </w:r>
      <w:r>
        <w:rPr>
          <w:rFonts w:eastAsia="Georgia" w:cs="Georgia" w:ascii="Georgia" w:hAnsi="Georgia"/>
        </w:rPr>
        <w:t xml:space="preserve">A inércia pode viesar para cima a medida de reação efetiva à inflação. Separe:</w:t>
      </w:r>
    </w:p>
    <w:p>
      <w:pPr>
        <w:numPr>
          <w:ilvl w:val="0"/>
          <w:numId w:val="9"/>
        </w:numPr>
        <w:spacing w:lineRule="auto"/>
      </w:pPr>
      <m:oMath>
        <m:r>
          <m:rPr>
            <m:sty m:val="i"/>
          </m:rPr>
          <m:t>θ</m:t>
        </m:r>
      </m:oMath>
      <w:r>
        <w:rPr>
          <w:rFonts w:eastAsia="Georgia" w:cs="Georgia" w:ascii="Georgia" w:hAnsi="Georgia"/>
        </w:rPr>
        <w:t xml:space="preserve"> captura suavização da </w:t>
      </w:r>
      <w:r>
        <w:rPr>
          <w:i/>
        </w:rPr>
        <w:t xml:space="preserve">trajetória de política</w:t>
      </w:r>
    </w:p>
    <w:p>
      <w:pPr>
        <w:numPr>
          <w:ilvl w:val="0"/>
          <w:numId w:val="9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 captura reação verdadeira ao desvio de inflação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 você não fizer essa separação, pode concluir que o BC é "passivo" quando na verdade é ativo mas gradualista.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3_princípio_de_taylor"/>
      <w:r>
        <w:rPr>
          <w:rFonts w:eastAsia="Georgia" w:cs="Georgia" w:ascii="Georgia" w:hAnsi="Georgia"/>
          <w:b/>
          <w:sz w:val="42"/>
        </w:rPr>
        <w:t xml:space="preserve">3. Princípio de Taylor</w:t>
      </w:r>
      <w:bookmarkEnd w:id="7"/>
    </w:p>
    <w:p>
      <w:pPr>
        <w:spacing w:after="210" w:lineRule="auto"/>
      </w:pPr>
      <w:r>
        <w:rPr>
          <w:b/>
        </w:rPr>
        <w:t xml:space="preserve">Enunciado:</w:t>
      </w:r>
      <w:r>
        <w:rPr/>
        <w:br w:type="textWrapping"/>
      </w:r>
      <w:r>
        <w:rPr/>
        <w:t xml:space="preserve">O Banco Central satisfaz o </w:t>
      </w:r>
      <w:r>
        <w:rPr>
          <w:b/>
        </w:rPr>
        <w:t xml:space="preserve">Princípio de Taylor</w:t>
      </w:r>
      <w:r>
        <w:rPr/>
        <w:t xml:space="preserve"> quando aumenta a taxa de juros nominal (real) </w:t>
      </w:r>
      <w:r>
        <w:rPr>
          <w:i/>
        </w:rPr>
        <w:t xml:space="preserve">mais do que proporcionalmente</w:t>
      </w:r>
      <w:r>
        <w:rPr>
          <w:rFonts w:eastAsia="Georgia" w:cs="Georgia" w:ascii="Georgia" w:hAnsi="Georgia"/>
        </w:rPr>
        <w:t xml:space="preserve"> ao aumento de inflação. Formalmente:</w:t>
      </w:r>
    </w:p>
    <w:p>
      <w:pPr>
        <w:spacing w:after="21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d</m:t>
              </m:r>
              <m:sSub>
                <m:sSubPr/>
                <m:e>
                  <m:r>
                    <m:rPr>
                      <m:sty m:val="i"/>
                    </m:rPr>
                    <m:t>i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</m:num>
            <m:den>
              <m:r>
                <m:rPr>
                  <m:sty m:val="i"/>
                </m:rPr>
                <m:t>d</m:t>
              </m:r>
              <m:sSub>
                <m:sSubPr/>
                <m:e>
                  <m:r>
                    <m:rPr>
                      <m:sty m:val="i"/>
                    </m:rPr>
                    <m:t>π</m:t>
                  </m:r>
                </m:e>
                <m:sub>
                  <m:r>
                    <m:rPr>
                      <m:sty m:val="i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1</m:t>
          </m:r>
        </m:oMath>
      </m:oMathPara>
    </w:p>
    <w:p>
      <w:pPr>
        <w:spacing w:after="210" w:lineRule="auto"/>
      </w:pPr>
      <w:r>
        <w:rPr>
          <w:b/>
        </w:rPr>
        <w:t xml:space="preserve">Interpretação Econômica: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 inflação sobe em 1 p.p., o BC sobe a taxa nominal em mais de 1 p.p., aumentando </w:t>
      </w:r>
      <w:r>
        <w:rPr>
          <w:i/>
        </w:rPr>
        <w:t xml:space="preserve">efetivamente</w:t>
      </w:r>
      <w:r>
        <w:rPr>
          <w:rFonts w:eastAsia="Georgia" w:cs="Georgia" w:ascii="Georgia" w:hAnsi="Georgia"/>
        </w:rPr>
        <w:t xml:space="preserve"> a taxa real, o que encarece o crédito e reduz a demanda agregada, trazendo a inflação de volta.</w:t>
      </w:r>
    </w:p>
    <w:p>
      <w:pPr>
        <w:spacing w:after="210" w:lineRule="auto"/>
      </w:pPr>
      <w:r>
        <w:rPr>
          <w:b/>
        </w:rPr>
        <w:t xml:space="preserve">Intuição:</w:t>
      </w:r>
    </w:p>
    <w:p>
      <w:pPr>
        <w:numPr>
          <w:ilvl w:val="0"/>
          <w:numId w:val="10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: BC é </w:t>
      </w:r>
      <w:r>
        <w:rPr>
          <w:b/>
        </w:rPr>
        <w:t xml:space="preserve">"acomodatício"</w:t>
      </w:r>
      <w:r>
        <w:rPr>
          <w:rFonts w:eastAsia="Georgia" w:cs="Georgia" w:ascii="Georgia" w:hAnsi="Georgia"/>
        </w:rPr>
        <w:t xml:space="preserve"> — não fecha a tesoura suficientemente; inflação ganha inercia</w:t>
      </w:r>
    </w:p>
    <w:p>
      <w:pPr>
        <w:numPr>
          <w:ilvl w:val="0"/>
          <w:numId w:val="10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: BC apenas acompanha a inflação em termos nominais (taxa real constante) — </w:t>
      </w:r>
      <w:r>
        <w:rPr>
          <w:b/>
        </w:rPr>
        <w:t xml:space="preserve">passivo</w:t>
      </w:r>
    </w:p>
    <w:p>
      <w:pPr>
        <w:numPr>
          <w:ilvl w:val="0"/>
          <w:numId w:val="10"/>
        </w:numPr>
        <w:spacing w:lineRule="auto"/>
      </w:pP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/>
        <w:t xml:space="preserve">: BC </w:t>
      </w:r>
      <w:r>
        <w:rPr>
          <w:b/>
        </w:rPr>
        <w:t xml:space="preserve">aperta a política</w:t>
      </w:r>
      <w:r>
        <w:rPr>
          <w:rFonts w:eastAsia="Georgia" w:cs="Georgia" w:ascii="Georgia" w:hAnsi="Georgia"/>
        </w:rPr>
        <w:t xml:space="preserve"> em termos reais quando inflação sobe — </w:t>
      </w:r>
      <w:r>
        <w:rPr>
          <w:b/>
        </w:rPr>
        <w:t xml:space="preserve">ativo</w:t>
      </w:r>
    </w:p>
    <w:p>
      <w:pPr>
        <w:spacing w:after="210" w:lineRule="auto"/>
      </w:pPr>
      <w:r>
        <w:rPr>
          <w:b/>
        </w:rPr>
        <w:t xml:space="preserve">Conexão com Determinância:</w:t>
      </w:r>
      <w:r>
        <w:rPr/>
        <w:br w:type="textWrapping"/>
      </w:r>
      <w:r>
        <w:rPr>
          <w:rFonts w:eastAsia="Georgia" w:cs="Georgia" w:ascii="Georgia" w:hAnsi="Georgia"/>
        </w:rPr>
        <w:t xml:space="preserve">O Princípio de Taylor é </w:t>
      </w:r>
      <w:r>
        <w:rPr>
          <w:i/>
        </w:rPr>
        <w:t xml:space="preserve">condição necessária</w:t>
      </w:r>
      <w:r>
        <w:rPr>
          <w:rFonts w:eastAsia="Georgia" w:cs="Georgia" w:ascii="Georgia" w:hAnsi="Georgia"/>
        </w:rPr>
        <w:t xml:space="preserve"> (mas não suficiente) para que o modelo NK tenha um equilíbrio único (</w:t>
      </w:r>
      <w:r>
        <w:rPr>
          <w:i/>
        </w:rPr>
        <w:t xml:space="preserve">determinate</w:t>
      </w:r>
      <w:r>
        <w:rPr>
          <w:rFonts w:eastAsia="Georgia" w:cs="Georgia" w:ascii="Georgia" w:hAnsi="Georgia"/>
        </w:rPr>
        <w:t xml:space="preserve">). Sem ele, há múltiplos equilíbrios (</w:t>
      </w:r>
      <w:r>
        <w:rPr>
          <w:i/>
        </w:rPr>
        <w:t xml:space="preserve">sunspot equilibria</w:t>
      </w:r>
      <w:r>
        <w:rPr>
          <w:rFonts w:eastAsia="Georgia" w:cs="Georgia" w:ascii="Georgia" w:hAnsi="Georgia"/>
        </w:rPr>
        <w:t xml:space="preserve">) e as expectativas podem ser auto-realizáveis.</w:t>
      </w:r>
    </w:p>
    <w:p>
      <w:pPr>
        <w:spacing w:after="210" w:lineRule="auto"/>
      </w:pPr>
      <w:r>
        <w:rPr>
          <w:b/>
        </w:rPr>
        <w:t xml:space="preserve">Evidência Histórica: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Volcker/Greenspan (Fed, 1980s-2000s):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1.5</m:t>
        </m:r>
        <m:r>
          <m:rPr>
            <m:sty m:val="p"/>
          </m:rPr>
          <m:t>−</m:t>
        </m:r>
        <m:r>
          <m:rPr>
            <m:sty m:val="p"/>
          </m:rPr>
          <m:t>2.0</m:t>
        </m:r>
      </m:oMath>
      <w:r>
        <w:rPr>
          <w:rFonts w:eastAsia="Georgia" w:cs="Georgia" w:ascii="Georgia" w:hAnsi="Georgia"/>
        </w:rPr>
        <w:t xml:space="preserve">, satisfaz Princípio → Determinância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Brasil, 1999-2010:</w:t>
      </w:r>
      <w:r>
        <w:rPr/>
        <w:t xml:space="preserve"> Estimativas sugerem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(Minella et al. 2003) → Regime de metas bem fundamentado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Brasil, 2011-2016 (Tombini):</w:t>
      </w:r>
      <w:r>
        <w:rPr>
          <w:rFonts w:eastAsia="Georgia" w:cs="Georgia" w:ascii="Georgia" w:hAnsi="Georgia"/>
        </w:rPr>
        <w:t xml:space="preserve"> Possível redução para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≲</m:t>
        </m:r>
        <m:r>
          <m:rPr>
            <m:sty m:val="p"/>
          </m:rPr>
          <m:t>1.2</m:t>
        </m:r>
      </m:oMath>
      <w:r>
        <w:rPr>
          <w:rFonts w:eastAsia="Georgia" w:cs="Georgia" w:ascii="Georgia" w:hAnsi="Georgia"/>
        </w:rPr>
        <w:t xml:space="preserve"> → Debate sobre credibilidade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Brasil, 2022-2024:</w:t>
      </w:r>
      <w:r>
        <w:rPr>
          <w:rFonts w:eastAsia="Georgia" w:cs="Georgia" w:ascii="Georgia" w:hAnsi="Georgia"/>
        </w:rPr>
        <w:t xml:space="preserve"> Alta de juros agressiva sugere reação forte →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/>
        <w:t xml:space="preserve"> elevado de novo</w:t>
      </w:r>
    </w:p>
    <w:p>
      <w:pPr>
        <w:spacing w:after="210" w:lineRule="auto"/>
      </w:pPr>
      <w:r>
        <w:rPr>
          <w:b/>
        </w:rPr>
        <w:t xml:space="preserve">Seu Artigo:</w:t>
      </w:r>
      <w:r>
        <w:rPr/>
        <w:br w:type="textWrapping"/>
      </w:r>
      <w:r>
        <w:rPr/>
        <w:t xml:space="preserve">Testar empiricamente se cada </w:t>
      </w:r>
      <w:r>
        <w:rPr>
          <w:i/>
        </w:rPr>
        <w:t xml:space="preserve">regime de presidente do BCB</w:t>
      </w:r>
      <w:r>
        <w:rPr>
          <w:rFonts w:eastAsia="Georgia" w:cs="Georgia" w:ascii="Georgia" w:hAnsi="Georgia"/>
        </w:rPr>
        <w:t xml:space="preserve"> satisfez o Princípio, conectando com períodos de maior/menor inflação e credibilidade.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4_modelo_novo_keynesiano_nkpc"/>
      <w:r>
        <w:rPr>
          <w:b/>
          <w:sz w:val="42"/>
        </w:rPr>
        <w:t xml:space="preserve">4. Modelo Novo-Keynesiano (NKPC)</w:t>
      </w:r>
      <w:bookmarkEnd w:id="8"/>
    </w:p>
    <w:p>
      <w:pPr>
        <w:spacing w:line="271" w:before="240" w:lineRule="auto"/>
      </w:pPr>
      <w:bookmarkStart w:id="9" w:name="bm_4_1_curva_de_phillips_novo_key_b6f345"/>
      <w:r>
        <w:rPr>
          <w:b/>
          <w:sz w:val="33"/>
        </w:rPr>
        <w:t xml:space="preserve">4.1 </w:t>
      </w:r>
      <w:r>
        <w:rPr>
          <w:b/>
          <w:sz w:val="33"/>
        </w:rPr>
        <w:t xml:space="preserve">Curva de Phillips Novo-Keynesiana (NKPC)</w:t>
      </w:r>
      <w:bookmarkEnd w:id="9"/>
    </w:p>
    <w:p>
      <w:pPr>
        <w:spacing w:after="210" w:lineRule="auto"/>
      </w:pPr>
      <w:r>
        <w:rPr>
          <w:b/>
        </w:rPr>
        <w:t xml:space="preserve">Forma Padrão: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i"/>
            </m:rPr>
            <m:t>β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i"/>
            </m:rPr>
            <m:t>κ</m:t>
          </m:r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Onde: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= inflação no período </w:t>
      </w:r>
      <m:oMath>
        <m:r>
          <m:rPr>
            <m:sty m:val="i"/>
          </m:rPr>
          <m:t>t</m:t>
        </m:r>
      </m:oMath>
      <w:r>
        <w:rPr>
          <w:rFonts w:eastAsia="Georgia" w:cs="Georgia" w:ascii="Georgia" w:hAnsi="Georgia"/>
        </w:rPr>
        <w:t xml:space="preserve"> (taxa ou log-diferença do nível de preços)</w:t>
      </w:r>
    </w:p>
    <w:p>
      <w:pPr>
        <w:numPr>
          <w:ilvl w:val="0"/>
          <w:numId w:val="12"/>
        </w:numPr>
        <w:spacing w:lineRule="auto"/>
      </w:pPr>
      <m:oMath>
        <m:r>
          <m:rPr>
            <m:sty m:val="i"/>
          </m:rPr>
          <m:t>β</m:t>
        </m:r>
      </m:oMath>
      <w:r>
        <w:rPr>
          <w:rFonts w:eastAsia="Georgia" w:cs="Georgia" w:ascii="Georgia" w:hAnsi="Georgia"/>
        </w:rPr>
        <w:t xml:space="preserve"> = fator de desconto (típico </w:t>
      </w:r>
      <m:oMath>
        <m:r>
          <m:rPr>
            <m:sty m:val="i"/>
          </m:rPr>
          <m:t>β</m:t>
        </m:r>
        <m:r>
          <m:rPr>
            <m:sty m:val="p"/>
          </m:rPr>
          <m:t>≈</m:t>
        </m:r>
        <m:r>
          <m:rPr>
            <m:sty m:val="p"/>
          </m:rPr>
          <m:t>0.99</m:t>
        </m:r>
      </m:oMath>
      <w:r>
        <w:rPr/>
        <w:t xml:space="preserve"> quarterly)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>
          <w:rFonts w:eastAsia="Georgia" w:cs="Georgia" w:ascii="Georgia" w:hAnsi="Georgia"/>
        </w:rPr>
        <w:t xml:space="preserve"> = expectativa racional de inflação futura</w:t>
      </w:r>
    </w:p>
    <w:p>
      <w:pPr>
        <w:numPr>
          <w:ilvl w:val="0"/>
          <w:numId w:val="12"/>
        </w:numPr>
        <w:spacing w:lineRule="auto"/>
      </w:pPr>
      <m:oMath>
        <m:r>
          <m:rPr>
            <m:sty m:val="i"/>
          </m:rPr>
          <m:t>κ</m:t>
        </m:r>
      </m:oMath>
      <w:r>
        <w:rPr>
          <w:rFonts w:eastAsia="Georgia" w:cs="Georgia" w:ascii="Georgia" w:hAnsi="Georgia"/>
        </w:rPr>
        <w:t xml:space="preserve"> = parâmetro de inclinação (slope), típico </w:t>
      </w:r>
      <m:oMath>
        <m:r>
          <m:rPr>
            <m:sty m:val="i"/>
          </m:rPr>
          <m:t>κ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0.01</m:t>
        </m:r>
        <m:r>
          <m:rPr>
            <m:sty m:val="p"/>
          </m:rPr>
          <m:t>,</m:t>
        </m:r>
        <m:r>
          <m:rPr>
            <m:sty m:val="p"/>
          </m:rPr>
          <m:t>0.1</m:t>
        </m:r>
        <m:r>
          <m:rPr>
            <m:sty m:val="p"/>
          </m:rPr>
          <m:t>)</m:t>
        </m:r>
      </m:oMath>
      <w:r>
        <w:rPr/>
        <w:t xml:space="preserve"> para grandes economias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</m:sub>
        </m:sSub>
      </m:oMath>
      <w:r>
        <w:rPr/>
        <w:t xml:space="preserve"> = hiato do produto (desvio do PIB do potencial)</w:t>
      </w:r>
    </w:p>
    <w:p>
      <w:pPr>
        <w:numPr>
          <w:ilvl w:val="0"/>
          <w:numId w:val="12"/>
        </w:numPr>
        <w:spacing w:lineRule="auto"/>
      </w:pP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/>
        <w:t xml:space="preserve"> = choque de custo (supply shock), i.i.d. ou AR(1)</w:t>
      </w:r>
    </w:p>
    <w:p>
      <w:pPr>
        <w:spacing w:after="210" w:lineRule="auto"/>
      </w:pPr>
      <w:r>
        <w:rPr>
          <w:b/>
        </w:rPr>
        <w:t xml:space="preserve">Derivação Micro:</w:t>
      </w:r>
      <w:r>
        <w:rPr/>
        <w:br w:type="textWrapping"/>
      </w:r>
      <w:r>
        <w:rPr>
          <w:rFonts w:eastAsia="Georgia" w:cs="Georgia" w:ascii="Georgia" w:hAnsi="Georgia"/>
        </w:rPr>
        <w:t xml:space="preserve">Obtém-se pela combinação de: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Firmas com rigidez de preços </w:t>
      </w:r>
      <w:r>
        <w:rPr>
          <w:i/>
        </w:rPr>
        <w:t xml:space="preserve">à la</w:t>
      </w:r>
      <w:r>
        <w:rPr>
          <w:rFonts w:eastAsia="Georgia" w:cs="Georgia" w:ascii="Georgia" w:hAnsi="Georgia"/>
        </w:rPr>
        <w:t xml:space="preserve"> Calvo (fração </w:t>
      </w:r>
      <m:oMath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i"/>
          </m:rPr>
          <m:t>α</m:t>
        </m:r>
      </m:oMath>
      <w:r>
        <w:rPr>
          <w:rFonts w:eastAsia="Georgia" w:cs="Georgia" w:ascii="Georgia" w:hAnsi="Georgia"/>
        </w:rPr>
        <w:t xml:space="preserve"> pode reajustar preço a cada período)</w:t>
      </w:r>
    </w:p>
    <w:p>
      <w:pPr>
        <w:numPr>
          <w:ilvl w:val="0"/>
          <w:numId w:val="13"/>
        </w:numPr>
        <w:spacing w:lineRule="auto"/>
      </w:pPr>
      <w:r>
        <w:rPr/>
        <w:t xml:space="preserve">Demanda elasticidade constante</w:t>
      </w:r>
    </w:p>
    <w:p>
      <w:pPr>
        <w:numPr>
          <w:ilvl w:val="0"/>
          <w:numId w:val="13"/>
        </w:numPr>
        <w:spacing w:lineRule="auto"/>
      </w:pPr>
      <w:r>
        <w:rPr/>
        <w:t xml:space="preserve">Custos marginais crescentes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Resultado: os preços hoje refletem (i) expectativas de inflação futura (forward-looking), (ii) condições correntes de demanda (hiato).</w:t>
      </w:r>
    </w:p>
    <w:p>
      <w:pPr>
        <w:spacing w:after="210" w:lineRule="auto"/>
      </w:pPr>
      <w:r>
        <w:rPr>
          <w:b/>
        </w:rPr>
        <w:t xml:space="preserve">Intuição: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Se firmas esperam inflação alta no futuro, repassam para hoje ("inflation expectations channel")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Se há demanda excessiva (hiato positivo), firmas aumentam preços</w:t>
      </w:r>
    </w:p>
    <w:p>
      <w:pPr>
        <w:spacing w:after="210" w:lineRule="auto"/>
      </w:pPr>
      <w:r>
        <w:rPr>
          <w:b/>
        </w:rPr>
        <w:t xml:space="preserve">Calibração para Brasil (seu artigo):</w:t>
      </w:r>
    </w:p>
    <w:p>
      <w:pPr>
        <w:numPr>
          <w:ilvl w:val="0"/>
          <w:numId w:val="15"/>
        </w:numPr>
        <w:spacing w:lineRule="auto"/>
      </w:pPr>
      <m:oMath>
        <m:r>
          <m:rPr>
            <m:sty m:val="i"/>
          </m:rPr>
          <m:t>β</m:t>
        </m:r>
        <m:r>
          <m:rPr>
            <m:sty m:val="p"/>
          </m:rPr>
          <m:t>=</m:t>
        </m:r>
        <m:r>
          <m:rPr>
            <m:sty m:val="p"/>
          </m:rPr>
          <m:t>0.99</m:t>
        </m:r>
      </m:oMath>
      <w:r>
        <w:rPr/>
        <w:t xml:space="preserve"> (quarterly) ou </w:t>
      </w:r>
      <m:oMath>
        <m:r>
          <m:rPr>
            <m:sty m:val="p"/>
          </m:rPr>
          <m:t>0.9975</m:t>
        </m:r>
      </m:oMath>
      <w:r>
        <w:rPr/>
        <w:t xml:space="preserve"> (monthly)</w:t>
      </w:r>
    </w:p>
    <w:p>
      <w:pPr>
        <w:numPr>
          <w:ilvl w:val="0"/>
          <w:numId w:val="15"/>
        </w:numPr>
        <w:spacing w:lineRule="auto"/>
      </w:pPr>
      <m:oMath>
        <m:r>
          <m:rPr>
            <m:sty m:val="i"/>
          </m:rPr>
          <m:t>κ</m:t>
        </m:r>
      </m:oMath>
      <w:r>
        <w:rPr>
          <w:rFonts w:eastAsia="Georgia" w:cs="Georgia" w:ascii="Georgia" w:hAnsi="Georgia"/>
        </w:rPr>
        <w:t xml:space="preserve"> exige calibração: depende do grau de rigidez (</w:t>
      </w:r>
      <m:oMath>
        <m:r>
          <m:rPr>
            <m:sty m:val="i"/>
          </m:rPr>
          <m:t>α</m:t>
        </m:r>
      </m:oMath>
      <w:r>
        <w:rPr/>
        <w:t xml:space="preserve">), elasticidade de demanda (</w:t>
      </w:r>
      <m:oMath>
        <m:r>
          <m:rPr>
            <m:sty m:val="i"/>
          </m:rPr>
          <m:t>θ</m:t>
        </m:r>
      </m:oMath>
      <w:r>
        <w:rPr>
          <w:rFonts w:eastAsia="Georgia" w:cs="Georgia" w:ascii="Georgia" w:hAnsi="Georgia"/>
        </w:rPr>
        <w:t xml:space="preserve">), fração de trabalho. Tipicamente: </w:t>
      </w:r>
      <m:oMath>
        <m:r>
          <m:rPr>
            <m:sty m:val="i"/>
          </m:rPr>
          <m:t>κ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α</m:t>
            </m:r>
            <m:r>
              <m:rPr>
                <m:sty m:val="i"/>
              </m:rPr>
              <m:t>β</m:t>
            </m:r>
            <m:r>
              <m:rPr>
                <m:sty m:val="p"/>
              </m:rPr>
              <m:t>)</m:t>
            </m:r>
          </m:num>
          <m:den>
            <m:r>
              <m:rPr>
                <m:sty m:val="i"/>
              </m:rPr>
              <m:t>α</m:t>
            </m:r>
          </m:den>
        </m:f>
      </m:oMath>
      <w:r>
        <w:rPr/>
        <w:t xml:space="preserve"> onde </w:t>
      </w:r>
      <m:oMath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i"/>
          </m:rPr>
          <m:t>α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= fração de firmas que reajustam</w:t>
      </w:r>
    </w:p>
    <w:p>
      <w:pPr>
        <w:numPr>
          <w:ilvl w:val="0"/>
          <w:numId w:val="15"/>
        </w:numPr>
        <w:spacing w:lineRule="auto"/>
      </w:pPr>
      <w:r>
        <w:rPr/>
        <w:t xml:space="preserve">Para Brasil: literatura sugere </w:t>
      </w:r>
      <m:oMath>
        <m:r>
          <m:rPr>
            <m:sty m:val="i"/>
          </m:rPr>
          <m:t>κ</m:t>
        </m:r>
        <m:r>
          <m:rPr>
            <m:sty m:val="p"/>
          </m:rPr>
          <m:t>≈</m:t>
        </m:r>
        <m:r>
          <m:rPr>
            <m:sty m:val="p"/>
          </m:rPr>
          <m:t>0.03</m:t>
        </m:r>
        <m:r>
          <m:rPr>
            <m:sty m:val="p"/>
          </m:rPr>
          <m:t>−</m:t>
        </m:r>
        <m:r>
          <m:rPr>
            <m:sty m:val="p"/>
          </m:rPr>
          <m:t>0.05</m:t>
        </m:r>
      </m:oMath>
      <w:r>
        <w:rPr/>
        <w:t xml:space="preserve"> (trimestral)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4_2_dinâmica_da_nkpc_em_contex_fb01d2"/>
      <w:r>
        <w:rPr>
          <w:b/>
          <w:sz w:val="33"/>
        </w:rPr>
        <w:t xml:space="preserve">4.2 </w:t>
      </w:r>
      <w:r>
        <w:rPr>
          <w:b/>
          <w:sz w:val="33"/>
        </w:rPr>
        <w:t xml:space="preserve">Dinâmica da NKPC em Contexto Brasileiro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NKPC acima é "pura" forward-looking. Versão </w:t>
      </w:r>
      <w:r>
        <w:rPr>
          <w:i/>
        </w:rPr>
        <w:t xml:space="preserve">híbrida</w:t>
      </w:r>
      <w:r>
        <w:rPr/>
        <w:t xml:space="preserve"> (mais realista para Brasil):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γ</m:t>
              </m:r>
            </m:e>
            <m:sub>
              <m:r>
                <m:rPr>
                  <m:sty m:val="i"/>
                </m:rPr>
                <m:t>f</m:t>
              </m:r>
            </m:sub>
          </m:sSub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γ</m:t>
              </m:r>
            </m:e>
            <m:sub>
              <m:r>
                <m:rPr>
                  <m:sty m:val="i"/>
                </m:rPr>
                <m:t>b</m:t>
              </m:r>
            </m:sub>
          </m:sSub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κ</m:t>
          </m:r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u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 </w:t>
      </w:r>
      <m:oMath>
        <m:sSub>
          <m:sSubPr/>
          <m:e>
            <m:r>
              <m:rPr>
                <m:sty m:val="i"/>
              </m:rPr>
              <m:t>γ</m:t>
            </m:r>
          </m:e>
          <m:sub>
            <m:r>
              <m:rPr>
                <m:sty m:val="i"/>
              </m:rPr>
              <m:t>f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γ</m:t>
            </m:r>
          </m:e>
          <m:sub>
            <m:r>
              <m:rPr>
                <m:sty m:val="i"/>
              </m:rP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são pesos nas expectativas futuras vs. inflação passada.</w:t>
      </w:r>
    </w:p>
    <w:p>
      <w:pPr>
        <w:spacing w:after="210" w:lineRule="auto"/>
      </w:pPr>
      <w:r>
        <w:rPr>
          <w:b/>
        </w:rPr>
        <w:t xml:space="preserve">Por que útil para Brasil?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Inflação brasileira mostra inércia (valores passados importam)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Expectativas não são perfeitamente racionais; há "aprendizado adaptativo"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Credibilidade do BCB ainda em construção (vs. desenvolvidos)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5_is_dinâmica"/>
      <w:r>
        <w:rPr>
          <w:rFonts w:eastAsia="Georgia" w:cs="Georgia" w:ascii="Georgia" w:hAnsi="Georgia"/>
          <w:b/>
          <w:sz w:val="42"/>
        </w:rPr>
        <w:t xml:space="preserve">5. IS Dinâmica</w:t>
      </w:r>
      <w:bookmarkEnd w:id="11"/>
    </w:p>
    <w:p>
      <w:pPr>
        <w:spacing w:after="210" w:lineRule="auto"/>
      </w:pPr>
      <w:r>
        <w:rPr>
          <w:b/>
        </w:rPr>
        <w:t xml:space="preserve">Forma Padrão:</w:t>
      </w:r>
    </w:p>
    <w:p>
      <w:pPr>
        <w:spacing w:after="210" w:lineRule="auto"/>
      </w:pPr>
      <m:oMathPara>
        <m:oMath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i"/>
                </m:rPr>
                <m:t>σ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i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i"/>
                </m:rPr>
                <m:t>π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Sup>
            <m:sSubSupPr/>
            <m:e>
              <m:r>
                <m:rPr>
                  <m:sty m:val="i"/>
                </m:rPr>
                <m:t>r</m:t>
              </m:r>
            </m:e>
            <m:sub>
              <m:r>
                <m:rPr>
                  <m:sty m:val="i"/>
                </m:rPr>
                <m:t>t</m:t>
              </m:r>
            </m:sub>
            <m:sup>
              <m:r>
                <m:rPr>
                  <m:sty m:val="i"/>
                </m:rPr>
                <m:t>n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g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Onde: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</m:sub>
        </m:sSub>
      </m:oMath>
      <w:r>
        <w:rPr/>
        <w:t xml:space="preserve"> = hiato do produto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/>
        <w:t xml:space="preserve"> = expectativa racional do hiato futuro (forward-looking, como consumo esperado)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/>
        <w:t xml:space="preserve"> = taxa de juros nominal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>
          <w:rFonts w:eastAsia="Georgia" w:cs="Georgia" w:ascii="Georgia" w:hAnsi="Georgia"/>
        </w:rPr>
        <w:t xml:space="preserve"> = expectativa de inflação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/>
        <w:t xml:space="preserve"> = taxa de juros real ex-ante (taxa real esperada)</w:t>
      </w:r>
    </w:p>
    <w:p>
      <w:pPr>
        <w:numPr>
          <w:ilvl w:val="0"/>
          <w:numId w:val="17"/>
        </w:numPr>
        <w:spacing w:lineRule="auto"/>
      </w:pPr>
      <m:oMath>
        <m:sSubSup>
          <m:sSubSupPr/>
          <m:e>
            <m:r>
              <m:rPr>
                <m:sty m:val="i"/>
              </m:rPr>
              <m:t>r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i"/>
              </m:rPr>
              <m:t>n</m:t>
            </m:r>
          </m:sup>
        </m:sSubSup>
      </m:oMath>
      <w:r>
        <w:rPr/>
        <w:t xml:space="preserve"> = taxa natural de juros (ou real neutra: taxa que stabiliza produto em potencial)</w:t>
      </w:r>
    </w:p>
    <w:p>
      <w:pPr>
        <w:numPr>
          <w:ilvl w:val="0"/>
          <w:numId w:val="17"/>
        </w:numPr>
        <w:spacing w:lineRule="auto"/>
      </w:pPr>
      <m:oMath>
        <m:r>
          <m:rPr>
            <m:sty m:val="i"/>
          </m:rPr>
          <m:t>σ</m:t>
        </m:r>
      </m:oMath>
      <w:r>
        <w:rPr>
          <w:rFonts w:eastAsia="Georgia" w:cs="Georgia" w:ascii="Georgia" w:hAnsi="Georgia"/>
        </w:rPr>
        <w:t xml:space="preserve"> = elasticidade intertemporal de substituição (quanto maior, menos sensível o consumo a mudanças em taxa real)</w:t>
      </w:r>
    </w:p>
    <w:p>
      <w:pPr>
        <w:numPr>
          <w:ilvl w:val="0"/>
          <w:numId w:val="17"/>
        </w:numPr>
        <w:spacing w:lineRule="auto"/>
      </w:pPr>
      <m:oMath>
        <m:sSub>
          <m:sSubPr/>
          <m:e>
            <m:r>
              <m:rPr>
                <m:sty m:val="i"/>
              </m:rPr>
              <m:t>g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= choque de demanda (preferência, gasto público, etc.)</w:t>
      </w:r>
    </w:p>
    <w:p>
      <w:pPr>
        <w:spacing w:after="210" w:lineRule="auto"/>
      </w:pPr>
      <w:r>
        <w:rPr>
          <w:b/>
        </w:rPr>
        <w:t xml:space="preserve">Interpretação:</w:t>
      </w:r>
      <w:r>
        <w:rPr/>
        <w:br w:type="textWrapping"/>
      </w:r>
      <w:r>
        <w:rPr>
          <w:rFonts w:eastAsia="Georgia" w:cs="Georgia" w:ascii="Georgia" w:hAnsi="Georgia"/>
        </w:rPr>
        <w:t xml:space="preserve">Consumidores (firmas de investimento) planejam consumo dinamicamente: se a taxa real esperada sobe, adiam consumo para amanhã → produto cai hoje.</w:t>
      </w:r>
    </w:p>
    <w:p>
      <w:pPr>
        <w:spacing w:after="210" w:lineRule="auto"/>
      </w:pPr>
      <w:r>
        <w:rPr>
          <w:b/>
        </w:rPr>
        <w:t xml:space="preserve">Calibração para Brasil:</w:t>
      </w:r>
    </w:p>
    <w:p>
      <w:pPr>
        <w:numPr>
          <w:ilvl w:val="0"/>
          <w:numId w:val="18"/>
        </w:numPr>
        <w:spacing w:lineRule="auto"/>
      </w:pPr>
      <m:oMath>
        <m:r>
          <m:rPr>
            <m:sty m:val="i"/>
          </m:rPr>
          <m:t>σ</m:t>
        </m:r>
        <m:r>
          <m:rPr>
            <m:sty m:val="p"/>
          </m:rPr>
          <m:t>≈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p"/>
          </m:rPr>
          <m:t>2</m:t>
        </m:r>
      </m:oMath>
      <w:r>
        <w:rPr/>
        <w:t xml:space="preserve"> (elasticidade intertemporal de consumo)</w:t>
      </w:r>
    </w:p>
    <w:p>
      <w:pPr>
        <w:numPr>
          <w:ilvl w:val="0"/>
          <w:numId w:val="18"/>
        </w:numPr>
        <w:spacing w:lineRule="auto"/>
      </w:pPr>
      <m:oMath>
        <m:sSubSup>
          <m:sSubSupPr/>
          <m:e>
            <m:r>
              <m:rPr>
                <m:sty m:val="i"/>
              </m:rPr>
              <m:t>r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i"/>
              </m:rPr>
              <m:t>n</m:t>
            </m:r>
          </m:sup>
        </m:sSubSup>
      </m:oMath>
      <w:r>
        <w:rPr>
          <w:rFonts w:eastAsia="Georgia" w:cs="Georgia" w:ascii="Georgia" w:hAnsi="Georgia"/>
        </w:rPr>
        <w:t xml:space="preserve"> = tendência do crescimento real de longo prazo mais preferência temporal (tipicamente </w:t>
      </w:r>
      <m:oMath>
        <m:sSubSup>
          <m:sSubSupPr/>
          <m:e>
            <m:r>
              <m:rPr>
                <m:sty m:val="i"/>
              </m:rPr>
              <m:t>r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i"/>
              </m:rPr>
              <m:t>n</m:t>
            </m:r>
          </m:sup>
        </m:sSubSup>
        <m:r>
          <m:rPr>
            <m:sty m:val="p"/>
          </m:rPr>
          <m:t>≈</m:t>
        </m:r>
        <m:r>
          <m:rPr>
            <m:sty m:val="p"/>
          </m:rPr>
          <m:t>1.5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rPr>
            <m:sty m:val="p"/>
          </m:rPr>
          <m:t>2.5</m:t>
        </m:r>
        <m:r>
          <m:rPr>
            <m:sty m:val="p"/>
          </m:rPr>
          <m:t>%</m:t>
        </m:r>
      </m:oMath>
      <w:r>
        <w:rPr/>
        <w:t xml:space="preserve"> a.a. real, ou </w:t>
      </w:r>
      <m:oMath>
        <m:r>
          <m:rPr>
            <m:sty m:val="p"/>
          </m:rPr>
          <m:t>≈</m:t>
        </m:r>
        <m:r>
          <m:rPr>
            <m:sty m:val="p"/>
          </m:rPr>
          <m:t>0.4</m:t>
        </m:r>
        <m:r>
          <m:rPr>
            <m:sty m:val="p"/>
          </m:rPr>
          <m:t>%</m:t>
        </m:r>
      </m:oMath>
      <w:r>
        <w:rPr/>
        <w:t xml:space="preserve"> ao trimestre)</w:t>
      </w:r>
    </w:p>
    <w:p>
      <w:pPr>
        <w:numPr>
          <w:ilvl w:val="0"/>
          <w:numId w:val="18"/>
        </w:numPr>
        <w:spacing w:lineRule="auto"/>
      </w:pPr>
      <w:r>
        <w:rPr/>
        <w:t xml:space="preserve">Choque </w:t>
      </w:r>
      <m:oMath>
        <m:sSub>
          <m:sSubPr/>
          <m:e>
            <m:r>
              <m:rPr>
                <m:sty m:val="i"/>
              </m:rPr>
              <m:t>g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pode incluir ciclo de negócios global, ciclos políticos, safras agrícolas, etc.</w:t>
      </w:r>
    </w:p>
    <w:p>
      <w:pPr>
        <w:spacing w:after="210" w:lineRule="auto"/>
      </w:pPr>
      <w:r>
        <w:rPr>
          <w:b/>
        </w:rPr>
        <w:t xml:space="preserve">Papel da IS para seu artigo:</w:t>
      </w:r>
      <w:r>
        <w:rPr/>
        <w:br w:type="textWrapping"/>
      </w:r>
      <w:r>
        <w:rPr>
          <w:rFonts w:eastAsia="Georgia" w:cs="Georgia" w:ascii="Georgia" w:hAnsi="Georgia"/>
        </w:rPr>
        <w:t xml:space="preserve">A IS conecta política monetária (via </w:t>
      </w:r>
      <m:oMath>
        <m:sSub>
          <m:sSubPr/>
          <m:e>
            <m:r>
              <m:rPr>
                <m:sty m:val="i"/>
              </m:rPr>
              <m:t>i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) ao produto. Se o BC não aumentar a taxa real o suficiente quando inflação sobe, o hiato permanece positivo, perpetuando inflação (falha do Princípio de Taylor).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6_condições_de_blanchard_kahn"/>
      <w:r>
        <w:rPr>
          <w:rFonts w:eastAsia="Georgia" w:cs="Georgia" w:ascii="Georgia" w:hAnsi="Georgia"/>
          <w:b/>
          <w:sz w:val="42"/>
        </w:rPr>
        <w:t xml:space="preserve">6. Condições de Blanchard-Kahn</w:t>
      </w:r>
      <w:bookmarkEnd w:id="12"/>
    </w:p>
    <w:p>
      <w:pPr>
        <w:spacing w:after="210" w:lineRule="auto"/>
      </w:pPr>
      <w:r>
        <w:rPr>
          <w:b/>
        </w:rPr>
        <w:t xml:space="preserve">Contexto:</w:t>
      </w:r>
      <w:r>
        <w:rPr/>
        <w:br w:type="textWrapping"/>
      </w:r>
      <w:r>
        <w:rPr>
          <w:rFonts w:eastAsia="Georgia" w:cs="Georgia" w:ascii="Georgia" w:hAnsi="Georgia"/>
        </w:rPr>
        <w:t xml:space="preserve">Sistema dinâmico com expectativas racionais tem a forma geral:</w:t>
      </w:r>
    </w:p>
    <w:p>
      <w:pPr>
        <w:spacing w:after="210" w:lineRule="auto"/>
      </w:pPr>
      <m:oMathPara>
        <m:oMath>
          <m:r>
            <m:rPr>
              <m:sty m:val="b"/>
            </m:rPr>
            <m:t>A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B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[</m:t>
          </m:r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b"/>
            </m:rPr>
            <m:t>C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>
                  <m:sty m:val="i"/>
                </m:rPr>
                <m:t>t</m:t>
              </m:r>
            </m:sub>
          </m:sSub>
        </m:oMath>
      </m:oMathPara>
    </w:p>
    <w:p>
      <w:pPr>
        <w:spacing w:after="210" w:lineRule="auto"/>
      </w:pPr>
      <w:r>
        <w:rPr/>
        <w:t xml:space="preserve">Onde </w:t>
      </w:r>
      <m:oMath>
        <m:sSub>
          <m:sSubPr/>
          <m:e>
            <m:r>
              <m:rPr>
                <m:sty m:val="b"/>
              </m:rPr>
              <m:t>X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contém variáveis de estado (inflação, hiato, juros) e </w:t>
      </w: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>
                <m:sty m:val="i"/>
              </m:rPr>
              <m:t>t</m:t>
            </m:r>
          </m:sub>
        </m:sSub>
      </m:oMath>
      <w:r>
        <w:rPr>
          <w:rFonts w:eastAsia="Georgia" w:cs="Georgia" w:ascii="Georgia" w:hAnsi="Georgia"/>
        </w:rPr>
        <w:t xml:space="preserve"> são choques.</w:t>
      </w:r>
    </w:p>
    <w:p>
      <w:pPr>
        <w:spacing w:after="210" w:lineRule="auto"/>
      </w:pPr>
      <w:r>
        <w:rPr>
          <w:b/>
        </w:rPr>
        <w:t xml:space="preserve">Problema de Existência e Unicidade de Equilíbrio: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Se número de </w:t>
      </w:r>
      <w:r>
        <w:rPr>
          <w:b/>
        </w:rPr>
        <w:t xml:space="preserve">raízes explosivas</w:t>
      </w:r>
      <w:r>
        <w:rPr>
          <w:rFonts w:eastAsia="Georgia" w:cs="Georgia" w:ascii="Georgia" w:hAnsi="Georgia"/>
        </w:rPr>
        <w:t xml:space="preserve"> = número de </w:t>
      </w:r>
      <w:r>
        <w:rPr>
          <w:b/>
        </w:rPr>
        <w:t xml:space="preserve">variáveis de salto</w:t>
      </w:r>
      <w:r>
        <w:rPr>
          <w:rFonts w:eastAsia="Georgia" w:cs="Georgia" w:ascii="Georgia" w:hAnsi="Georgia"/>
        </w:rPr>
        <w:t xml:space="preserve"> (forward-looking) → Equilíbrio </w:t>
      </w:r>
      <w:r>
        <w:rPr>
          <w:b/>
        </w:rPr>
        <w:t xml:space="preserve">único</w:t>
      </w:r>
      <w:r>
        <w:rPr/>
        <w:t xml:space="preserve"> (determinado)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Se número de raízes explosivas &gt; número de variáveis de salto → </w:t>
      </w:r>
      <w:r>
        <w:rPr>
          <w:b/>
        </w:rPr>
        <w:t xml:space="preserve">Indeterminância</w:t>
      </w:r>
      <w:r>
        <w:rPr>
          <w:rFonts w:eastAsia="Georgia" w:cs="Georgia" w:ascii="Georgia" w:hAnsi="Georgia"/>
        </w:rPr>
        <w:t xml:space="preserve"> (múltiplos equilíbrios)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Se número de raízes explosivas &lt; número de variáveis de salto → </w:t>
      </w:r>
      <w:r>
        <w:rPr>
          <w:b/>
        </w:rPr>
        <w:t xml:space="preserve">Sem solução</w:t>
      </w:r>
      <w:r>
        <w:rPr>
          <w:rFonts w:eastAsia="Georgia" w:cs="Georgia" w:ascii="Georgia" w:hAnsi="Georgia"/>
        </w:rPr>
        <w:t xml:space="preserve"> (equilíbrio não existe)</w:t>
      </w:r>
    </w:p>
    <w:p>
      <w:pPr>
        <w:spacing w:after="210" w:lineRule="auto"/>
      </w:pPr>
      <w:r>
        <w:rPr>
          <w:b/>
        </w:rPr>
        <w:t xml:space="preserve">Método de Blanchard-Kahn: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Reescreva sistema em forma canônica (separando estáveis e instáveis)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Conte raízes dentro vs. fora do círculo unitário</w:t>
      </w:r>
    </w:p>
    <w:p>
      <w:pPr>
        <w:numPr>
          <w:ilvl w:val="0"/>
          <w:numId w:val="20"/>
        </w:numPr>
        <w:spacing w:lineRule="auto"/>
      </w:pPr>
      <w:r>
        <w:rPr/>
        <w:t xml:space="preserve">Aplique contagem acima</w:t>
      </w:r>
    </w:p>
    <w:p>
      <w:pPr>
        <w:spacing w:after="210" w:lineRule="auto"/>
      </w:pPr>
      <w:r>
        <w:rPr>
          <w:b/>
        </w:rPr>
        <w:t xml:space="preserve">Implicação Prática:</w:t>
      </w:r>
      <w:r>
        <w:rPr/>
        <w:br w:type="textWrapping"/>
      </w:r>
      <w:r>
        <w:rPr>
          <w:rFonts w:eastAsia="Georgia" w:cs="Georgia" w:ascii="Georgia" w:hAnsi="Georgia"/>
        </w:rPr>
        <w:t xml:space="preserve">Quando a autoridade monetária </w:t>
      </w:r>
      <w:r>
        <w:rPr>
          <w:i/>
        </w:rPr>
        <w:t xml:space="preserve">não</w:t>
      </w:r>
      <w:r>
        <w:rPr>
          <w:rFonts w:eastAsia="Georgia" w:cs="Georgia" w:ascii="Georgia" w:hAnsi="Georgia"/>
        </w:rPr>
        <w:t xml:space="preserve"> segue o Princípio de Taylor (i.e.,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 baixo), o sistema torna-se indeterminado. As expectativas podem "explodir" (inflação auto-realizável) independentemente dos fundamentals.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7_condições_de_bullard_mitra_2002"/>
      <w:r>
        <w:rPr>
          <w:rFonts w:eastAsia="Georgia" w:cs="Georgia" w:ascii="Georgia" w:hAnsi="Georgia"/>
          <w:b/>
          <w:sz w:val="42"/>
        </w:rPr>
        <w:t xml:space="preserve">7. Condições de Bullard-Mitra (2002)</w:t>
      </w:r>
      <w:bookmarkEnd w:id="13"/>
    </w:p>
    <w:p>
      <w:pPr>
        <w:spacing w:after="210" w:lineRule="auto"/>
      </w:pPr>
      <w:r>
        <w:rPr>
          <w:b/>
        </w:rPr>
        <w:t xml:space="preserve">Foco Específico:</w:t>
      </w:r>
      <w:r>
        <w:rPr/>
        <w:br w:type="textWrapping"/>
      </w:r>
      <w:r>
        <w:rPr>
          <w:rFonts w:eastAsia="Georgia" w:cs="Georgia" w:ascii="Georgia" w:hAnsi="Georgia"/>
        </w:rPr>
        <w:t xml:space="preserve">Para o modelo Novo-Keynesiano com NKPC + IS + Regra de Taylor, Bullard e Mitra derivam **condições </w:t>
      </w:r>
      <w:r>
        <w:rPr>
          <w:b/>
        </w:rPr>
        <w:t xml:space="preserve">suficientes e necessárias</w:t>
      </w:r>
      <w:r>
        <w:rPr>
          <w:rFonts w:eastAsia="Georgia" w:cs="Georgia" w:ascii="Georgia" w:hAnsi="Georgia"/>
        </w:rPr>
        <w:t xml:space="preserve"> para determinância em forma fechada.</w:t>
      </w:r>
    </w:p>
    <w:p>
      <w:pPr>
        <w:spacing w:after="210" w:lineRule="auto"/>
      </w:pPr>
      <w:r>
        <w:rPr>
          <w:b/>
        </w:rPr>
        <w:t xml:space="preserve">Condição Principal (modelo puro forward-looking):</w:t>
      </w:r>
    </w:p>
    <w:p>
      <w:pPr>
        <w:spacing w:after="210" w:lineRule="auto"/>
      </w:pPr>
      <m:oMathPara>
        <m:oMath>
          <m:r>
            <m:rPr>
              <m:sty m:val="i"/>
            </m:rPr>
            <m:t>κ</m:t>
          </m:r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β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y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0</m:t>
          </m:r>
        </m:oMath>
      </m:oMathPara>
    </w:p>
    <w:p>
      <w:pPr>
        <w:spacing w:after="210" w:lineRule="auto"/>
      </w:pPr>
      <w:r>
        <w:rPr>
          <w:b/>
        </w:rPr>
        <w:t xml:space="preserve">Interpretação: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Termo </w:t>
      </w:r>
      <m:oMath>
        <m:r>
          <m:rPr>
            <m:sty m:val="i"/>
          </m:rPr>
          <m:t>κ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>
          <w:b/>
        </w:rPr>
        <w:t xml:space="preserve">:</w:t>
      </w:r>
      <w:r>
        <w:rPr>
          <w:rFonts w:eastAsia="Georgia" w:cs="Georgia" w:ascii="Georgia" w:hAnsi="Georgia"/>
        </w:rPr>
        <w:t xml:space="preserve"> Efeito via inflação</w:t>
      </w:r>
    </w:p>
    <w:p>
      <w:pPr>
        <w:numPr>
          <w:ilvl w:val="1"/>
          <w:numId w:val="21"/>
        </w:numPr>
        <w:spacing w:lineRule="auto"/>
      </w:pPr>
      <w:r>
        <w:rPr/>
        <w:t xml:space="preserve">Se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(Princípio de Taylor satisfeito), termo é positivo</w:t>
      </w:r>
    </w:p>
    <w:p>
      <w:pPr>
        <w:numPr>
          <w:ilvl w:val="1"/>
          <w:numId w:val="21"/>
        </w:numPr>
        <w:spacing w:lineRule="auto"/>
      </w:pPr>
      <w:r>
        <w:rPr/>
        <w:t xml:space="preserve">Quanto maior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, mais positivo → mais determinado o sistema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Termo </w:t>
      </w:r>
      <m:oMath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i"/>
          </m:rPr>
          <m:t>β</m:t>
        </m:r>
        <m:r>
          <m:rPr>
            <m:sty m:val="p"/>
          </m:rPr>
          <m:t>)</m:t>
        </m:r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b/>
        </w:rPr>
        <w:t xml:space="preserve">:</w:t>
      </w:r>
      <w:r>
        <w:rPr/>
        <w:t xml:space="preserve"> Efeito via produto</w:t>
      </w:r>
    </w:p>
    <w:p>
      <w:pPr>
        <w:numPr>
          <w:ilvl w:val="1"/>
          <w:numId w:val="21"/>
        </w:numPr>
        <w:spacing w:lineRule="auto"/>
      </w:pPr>
      <w:r>
        <w:rPr/>
        <w:t xml:space="preserve">Se BC reage ao hiato (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), termo é positivo</w:t>
      </w:r>
    </w:p>
    <w:p>
      <w:pPr>
        <w:numPr>
          <w:ilvl w:val="1"/>
          <w:numId w:val="21"/>
        </w:numPr>
        <w:spacing w:lineRule="auto"/>
      </w:pPr>
      <w:r>
        <w:rPr/>
        <w:t xml:space="preserve">Estabiliza ainda mais o sistema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Condição Composta: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Caso típico: </w:t>
      </w:r>
      <m:oMath>
        <m:r>
          <m:rPr>
            <m:sty m:val="i"/>
          </m:rPr>
          <m:t>κ</m:t>
        </m:r>
        <m:r>
          <m:rPr>
            <m:sty m:val="p"/>
          </m:rPr>
          <m:t>&gt;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i"/>
          </m:rPr>
          <m:t>β</m:t>
        </m:r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 (desconto positivo)</w:t>
      </w:r>
    </w:p>
    <w:p>
      <w:pPr>
        <w:numPr>
          <w:ilvl w:val="1"/>
          <w:numId w:val="21"/>
        </w:numPr>
        <w:spacing w:lineRule="auto"/>
      </w:pPr>
      <w:r>
        <w:rPr/>
        <w:t xml:space="preserve">Se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, primeiro termo é positivo, dominando → Determinância garantida (mesmo com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)</w:t>
      </w:r>
    </w:p>
    <w:p>
      <w:pPr>
        <w:numPr>
          <w:ilvl w:val="1"/>
          <w:numId w:val="21"/>
        </w:numPr>
        <w:spacing w:lineRule="auto"/>
      </w:pPr>
      <w:r>
        <w:rPr/>
        <w:t xml:space="preserve">Se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 próximo a 1 ou abaixo, segundo termo torna-se crítico → BC </w:t>
      </w:r>
      <w:r>
        <w:rPr>
          <w:b/>
        </w:rPr>
        <w:t xml:space="preserve">deve</w:t>
      </w:r>
      <w:r>
        <w:rPr/>
        <w:t xml:space="preserve"> reagir suficientemente ao hiato</w:t>
      </w:r>
    </w:p>
    <w:p>
      <w:pPr>
        <w:spacing w:after="210" w:lineRule="auto"/>
      </w:pPr>
      <w:r>
        <w:rPr>
          <w:b/>
        </w:rPr>
        <w:t xml:space="preserve">Calibração Exemplo (Brasil):</w:t>
      </w:r>
    </w:p>
    <w:p>
      <w:pPr>
        <w:numPr>
          <w:ilvl w:val="0"/>
          <w:numId w:val="22"/>
        </w:numPr>
        <w:spacing w:lineRule="auto"/>
      </w:pPr>
      <m:oMath>
        <m:r>
          <m:rPr>
            <m:sty m:val="i"/>
          </m:rPr>
          <m:t>β</m:t>
        </m:r>
        <m:r>
          <m:rPr>
            <m:sty m:val="p"/>
          </m:rPr>
          <m:t>=</m:t>
        </m:r>
        <m:r>
          <m:rPr>
            <m:sty m:val="p"/>
          </m:rPr>
          <m:t>0.99</m:t>
        </m:r>
      </m:oMath>
      <w:r>
        <w:rPr/>
        <w:t xml:space="preserve"> (quarterly) </w:t>
      </w:r>
      <m:oMath>
        <m:r>
          <m:rPr>
            <m:sty m:val="p"/>
          </m:rPr>
          <m:t>⇒</m:t>
        </m:r>
        <m:r>
          <m:rPr>
            <m:sty m:val="p"/>
          </m:rPr>
          <m:t>1</m:t>
        </m:r>
        <m:r>
          <m:rPr>
            <m:sty m:val="p"/>
          </m:rPr>
          <m:t>−</m:t>
        </m:r>
        <m:r>
          <m:rPr>
            <m:sty m:val="i"/>
          </m:rPr>
          <m:t>β</m:t>
        </m:r>
        <m:r>
          <m:rPr>
            <m:sty m:val="p"/>
          </m:rPr>
          <m:t>=</m:t>
        </m:r>
        <m:r>
          <m:rPr>
            <m:sty m:val="p"/>
          </m:rPr>
          <m:t>0.01</m:t>
        </m:r>
      </m:oMath>
    </w:p>
    <w:p>
      <w:pPr>
        <w:numPr>
          <w:ilvl w:val="0"/>
          <w:numId w:val="22"/>
        </w:numPr>
        <w:spacing w:lineRule="auto"/>
      </w:pPr>
      <m:oMath>
        <m:r>
          <m:rPr>
            <m:sty m:val="i"/>
          </m:rPr>
          <m:t>κ</m:t>
        </m:r>
        <m:r>
          <m:rPr>
            <m:sty m:val="p"/>
          </m:rPr>
          <m:t>=</m:t>
        </m:r>
        <m:r>
          <m:rPr>
            <m:sty m:val="p"/>
          </m:rPr>
          <m:t>0.04</m:t>
        </m:r>
      </m:oMath>
      <w:r>
        <w:rPr/>
        <w:t xml:space="preserve"> (slope Phillips, tipicamente baixo em grandes economias)</w:t>
      </w:r>
    </w:p>
    <w:p>
      <w:pPr>
        <w:numPr>
          <w:ilvl w:val="0"/>
          <w:numId w:val="22"/>
        </w:numPr>
        <w:spacing w:lineRule="auto"/>
      </w:pPr>
      <w:r>
        <w:rPr/>
        <w:t xml:space="preserve">Suponha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0.2</m:t>
        </m:r>
      </m:oMath>
      <w:r>
        <w:rPr/>
        <w:t xml:space="preserve"> (BC reage moderadamente ao hiato)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Então: </w:t>
      </w:r>
      <m:oMath>
        <m:r>
          <m:rPr>
            <m:sty m:val="p"/>
          </m:rPr>
          <m:t>0.04</m:t>
        </m:r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0.01</m:t>
        </m:r>
        <m:r>
          <m:rPr>
            <m:sty m:val="p"/>
          </m:rPr>
          <m:t>⋅</m:t>
        </m:r>
        <m:r>
          <m:rPr>
            <m:sty m:val="p"/>
          </m:rPr>
          <m:t>0.2</m:t>
        </m:r>
        <m:r>
          <m:rPr>
            <m:sty m:val="p"/>
          </m:rPr>
          <m:t>&gt;</m:t>
        </m:r>
        <m:r>
          <m:rPr>
            <m:sty m:val="p"/>
          </m:rPr>
          <m:t>0</m:t>
        </m:r>
      </m:oMath>
      <w:r>
        <w:rPr/>
        <w:br w:type="textWrapping"/>
      </w:r>
      <m:oMathPara>
        <m:oMathParaPr>
          <m:jc m:val="left"/>
        </m:oMathParaPr>
        <m:oMath>
          <m:r>
            <m:rPr>
              <m:sty m:val="p"/>
            </m:rPr>
            <m:t>⇒</m:t>
          </m:r>
          <m:r>
            <m:rPr>
              <m:sty m:val="p"/>
            </m:rPr>
            <m:t>0.04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0.04</m:t>
          </m:r>
          <m:r>
            <m:rPr>
              <m:sty m:val="p"/>
            </m:rPr>
            <m:t>+</m:t>
          </m:r>
          <m:r>
            <m:rPr>
              <m:sty m:val="p"/>
            </m:rPr>
            <m:t>0.002</m:t>
          </m:r>
          <m:r>
            <m:rPr>
              <m:sty m:val="p"/>
            </m:rPr>
            <m:t>&gt;</m:t>
          </m:r>
          <m:r>
            <m:rPr>
              <m:sty m:val="p"/>
            </m:rPr>
            <m:t>0</m:t>
          </m:r>
        </m:oMath>
      </m:oMathPara>
      <w:r>
        <w:rPr/>
        <w:br w:type="textWrapping"/>
      </w:r>
      <m:oMathPara>
        <m:oMathParaPr>
          <m:jc m:val="left"/>
        </m:oMathParaPr>
        <m:oMath>
          <m:r>
            <m:rPr>
              <m:sty m:val="p"/>
            </m:rPr>
            <m:t>⇒</m:t>
          </m:r>
          <m:sSub>
            <m:sSubPr/>
            <m:e>
              <m:r>
                <m:rPr>
                  <m:sty m:val="i"/>
                </m:rPr>
                <m:t>ϕ</m:t>
              </m:r>
            </m:e>
            <m:sub>
              <m:r>
                <m:rPr>
                  <m:sty m:val="i"/>
                </m:rPr>
                <m:t>π</m:t>
              </m:r>
            </m:sub>
          </m:sSub>
          <m:r>
            <m:rPr>
              <m:sty m:val="p"/>
            </m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0.04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0.002</m:t>
              </m:r>
            </m:num>
            <m:den>
              <m:r>
                <m:rPr>
                  <m:sty m:val="p"/>
                </m:rPr>
                <m:t>0.04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0.038</m:t>
              </m:r>
            </m:num>
            <m:den>
              <m:r>
                <m:rPr>
                  <m:sty m:val="p"/>
                </m:rPr>
                <m:t>0.04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0.95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Conclusão: Mesmo com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1</m:t>
        </m:r>
      </m:oMath>
      <w:r>
        <w:rPr/>
        <w:t xml:space="preserve">, o sistema pode ser determinado se o BC reage ao hiato. </w:t>
      </w:r>
      <w:r>
        <w:rPr>
          <w:b/>
        </w:rPr>
        <w:t xml:space="preserve">Mas</w:t>
      </w:r>
      <w:r>
        <w:rPr/>
        <w:t xml:space="preserve"> geralmente,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é mais robusto.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8_hiato_do_produto"/>
      <w:r>
        <w:rPr>
          <w:b/>
          <w:sz w:val="42"/>
        </w:rPr>
        <w:t xml:space="preserve">8. Hiato do Produto</w:t>
      </w:r>
      <w:bookmarkEnd w:id="14"/>
    </w:p>
    <w:p>
      <w:pPr>
        <w:spacing w:after="210" w:lineRule="auto"/>
      </w:pPr>
      <w:r>
        <w:rPr>
          <w:b/>
        </w:rPr>
        <w:t xml:space="preserve">Definição:</w:t>
      </w:r>
    </w:p>
    <w:p>
      <w:pPr>
        <w:spacing w:after="210" w:lineRule="auto"/>
      </w:pPr>
      <m:oMathPara>
        <m:oMath>
          <m:sSub>
            <m:sSubPr/>
            <m:e>
              <m:acc>
                <m:accPr>
                  <m:chr m:val="˜"/>
                </m:accPr>
                <m:e>
                  <m:r>
                    <m:rPr>
                      <m:sty m:val="i"/>
                    </m:rPr>
                    <m:t>y</m:t>
                  </m:r>
                </m:e>
              </m:acc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t</m:t>
              </m:r>
            </m:sub>
            <m:sup>
              <m:r>
                <m:rPr>
                  <m:sty m:val="p"/>
                </m:rPr>
                <m:t>∗</m:t>
              </m:r>
            </m:sup>
          </m:sSubSup>
        </m:oMath>
      </m:oMathPara>
    </w:p>
    <w:p>
      <w:pPr>
        <w:spacing w:after="210" w:lineRule="auto"/>
      </w:pPr>
      <w:r>
        <w:rPr/>
        <w:t xml:space="preserve">onde </w:t>
      </w:r>
      <m:oMath>
        <m:sSubSup>
          <m:sSubSup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rPr>
          <w:rFonts w:eastAsia="Georgia" w:cs="Georgia" w:ascii="Georgia" w:hAnsi="Georgia"/>
        </w:rPr>
        <w:t xml:space="preserve"> é o PIB potencial (ou "natural"), nível de produto que seria alcançado com preços e salários perfeitamente flexíveis (sem fricções).</w:t>
      </w:r>
    </w:p>
    <w:p>
      <w:pPr>
        <w:spacing w:after="210" w:lineRule="auto"/>
      </w:pPr>
      <w:r>
        <w:rPr>
          <w:b/>
        </w:rPr>
        <w:t xml:space="preserve">Problema:</w:t>
      </w:r>
      <w:r>
        <w:rPr/>
        <w:t xml:space="preserve"> </w:t>
      </w:r>
      <m:oMath>
        <m:sSubSup>
          <m:sSubSup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rPr>
          <w:rFonts w:eastAsia="Georgia" w:cs="Georgia" w:ascii="Georgia" w:hAnsi="Georgia"/>
        </w:rPr>
        <w:t xml:space="preserve"> não é observável — deve ser estimado.</w:t>
      </w:r>
    </w:p>
    <w:p>
      <w:pPr>
        <w:spacing w:after="210" w:lineRule="auto"/>
      </w:pPr>
      <w:r>
        <w:rPr>
          <w:b/>
        </w:rPr>
        <w:t xml:space="preserve">Métodos de Estimação (para seu artigo, recomendo):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Filtro Hodrick-Prescott (HP):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Clássico, mas viés em final da amostra (</w:t>
      </w:r>
      <w:r>
        <w:rPr>
          <w:i/>
        </w:rPr>
        <w:t xml:space="preserve">end-point bias</w:t>
      </w:r>
      <w:r>
        <w:rPr/>
        <w:t xml:space="preserve">)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Parâmetro </w:t>
      </w:r>
      <m:oMath>
        <m:r>
          <m:rPr>
            <m:sty m:val="i"/>
          </m:rPr>
          <m:t>λ</m:t>
        </m:r>
        <m:r>
          <m:rPr>
            <m:sty m:val="p"/>
          </m:rPr>
          <m:t>=</m:t>
        </m:r>
        <m:r>
          <m:rPr>
            <m:sty m:val="p"/>
          </m:rPr>
          <m:t>1600</m:t>
        </m:r>
      </m:oMath>
      <w:r>
        <w:rPr>
          <w:rFonts w:eastAsia="Georgia" w:cs="Georgia" w:ascii="Georgia" w:hAnsi="Georgia"/>
        </w:rPr>
        <w:t xml:space="preserve"> (trimestral padrão)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Rápido em implementar, fácil de comparar com literatura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Filtro Hamilton (2018):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Menos viés de final de amostra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Usa regressão com defasagens: </w:t>
      </w:r>
      <m:oMath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α</m:t>
        </m:r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δ</m:t>
            </m:r>
          </m:e>
          <m:sub>
            <m:r>
              <m:rPr>
                <m:sty m:val="p"/>
              </m:rPr>
              <m:t>1</m:t>
            </m:r>
          </m:sub>
        </m:sSub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δ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δ</m:t>
            </m:r>
          </m:e>
          <m:sub>
            <m:r>
              <m:rPr>
                <m:sty m:val="p"/>
              </m:rPr>
              <m:t>3</m:t>
            </m:r>
          </m:sub>
        </m:sSub>
        <m:sSub>
          <m:sSubPr/>
          <m:e>
            <m:r>
              <m:rPr>
                <m:sty m:val="i"/>
              </m:rPr>
              <m:t>y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t</m:t>
            </m:r>
          </m:sub>
        </m:sSub>
      </m:oMath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Resíduo </w:t>
      </w:r>
      <m:oMath>
        <m:sSub>
          <m:sSubPr/>
          <m:e>
            <m:r>
              <m:rPr>
                <m:sty m:val="i"/>
              </m:rPr>
              <m:t>u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≈</m:t>
        </m:r>
        <m:sSub>
          <m:sSubPr/>
          <m:e>
            <m:acc>
              <m:accPr>
                <m:chr m:val="˜"/>
              </m:accPr>
              <m:e>
                <m:r>
                  <m:rPr>
                    <m:sty m:val="i"/>
                  </m:rPr>
                  <m:t>y</m:t>
                </m:r>
              </m:e>
            </m:acc>
          </m:e>
          <m:sub>
            <m:r>
              <m:rPr>
                <m:sty m:val="i"/>
              </m:rPr>
              <m:t>t</m:t>
            </m:r>
          </m:sub>
        </m:sSub>
      </m:oMath>
    </w:p>
    <w:p>
      <w:pPr>
        <w:numPr>
          <w:ilvl w:val="1"/>
          <w:numId w:val="23"/>
        </w:numPr>
        <w:spacing w:lineRule="auto"/>
      </w:pPr>
      <w:r>
        <w:rPr/>
        <w:t xml:space="preserve">Mais moderno; seria "smart" para PhD</w:t>
      </w:r>
    </w:p>
    <w:p>
      <w:pPr>
        <w:numPr>
          <w:ilvl w:val="0"/>
          <w:numId w:val="23"/>
        </w:numPr>
        <w:spacing w:after="210" w:lineRule="auto"/>
      </w:pPr>
      <w:r>
        <w:rPr>
          <w:b/>
        </w:rPr>
        <w:t xml:space="preserve">Unobserved Components Model (UCM) com Kalman Filter:</w:t>
      </w:r>
    </w:p>
    <w:p>
      <w:pPr>
        <w:numPr>
          <w:ilvl w:val="1"/>
          <w:numId w:val="23"/>
        </w:numPr>
        <w:spacing w:lineRule="auto"/>
      </w:pPr>
      <w:r>
        <w:rPr/>
        <w:t xml:space="preserve">Estrutural: modela potencial como trend + ciclo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Mais sofisticado; requer especificação prévia</w:t>
      </w:r>
    </w:p>
    <w:p>
      <w:pPr>
        <w:numPr>
          <w:ilvl w:val="1"/>
          <w:numId w:val="23"/>
        </w:numPr>
        <w:spacing w:lineRule="auto"/>
      </w:pPr>
      <w:r>
        <w:rPr/>
        <w:t xml:space="preserve">Dynare/MATLAB implementa</w:t>
      </w:r>
    </w:p>
    <w:p>
      <w:pPr>
        <w:spacing w:after="210" w:lineRule="auto"/>
      </w:pPr>
      <w:r>
        <w:rPr>
          <w:b/>
        </w:rPr>
        <w:t xml:space="preserve">Recomendação:</w:t>
      </w:r>
      <w:r>
        <w:rPr>
          <w:rFonts w:eastAsia="Georgia" w:cs="Georgia" w:ascii="Georgia" w:hAnsi="Georgia"/>
        </w:rPr>
        <w:t xml:space="preserve"> Comece com HP (padrão em literatura brasileira) e rode robustez com Hamilton. Se diferenças forem pequenas, use HP. Se grandes, discuta qual é mais apropriado.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9_expectativas_de_inflação_e_focus"/>
      <w:r>
        <w:rPr>
          <w:rFonts w:eastAsia="Georgia" w:cs="Georgia" w:ascii="Georgia" w:hAnsi="Georgia"/>
          <w:b/>
          <w:sz w:val="42"/>
        </w:rPr>
        <w:t xml:space="preserve">9. Expectativas de Inflação e Focus</w:t>
      </w:r>
      <w:bookmarkEnd w:id="15"/>
    </w:p>
    <w:p>
      <w:pPr>
        <w:spacing w:after="210" w:lineRule="auto"/>
      </w:pPr>
      <w:r>
        <w:rPr>
          <w:b/>
        </w:rPr>
        <w:t xml:space="preserve">Fonte:</w:t>
      </w:r>
      <w:r>
        <w:rPr/>
        <w:t xml:space="preserve"> Banco Central do Brasil publica diariamente o </w:t>
      </w:r>
      <w:r>
        <w:rPr>
          <w:b/>
        </w:rPr>
        <w:t xml:space="preserve">Relatório de Expectativas de Mercado</w:t>
      </w:r>
      <w:r>
        <w:rPr>
          <w:rFonts w:eastAsia="Georgia" w:cs="Georgia" w:ascii="Georgia" w:hAnsi="Georgia"/>
        </w:rPr>
        <w:t xml:space="preserve"> (data: cada dia útil).</w:t>
      </w:r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Analistas do mercado financeiro (gestores, bancos de investimento) reportam suas previsões para: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Inflação (IPCA) em 12 meses</w:t>
      </w:r>
    </w:p>
    <w:p>
      <w:pPr>
        <w:numPr>
          <w:ilvl w:val="0"/>
          <w:numId w:val="24"/>
        </w:numPr>
        <w:spacing w:lineRule="auto"/>
      </w:pPr>
      <w:r>
        <w:rPr/>
        <w:t xml:space="preserve">IPCA para fim de cada ano</w:t>
      </w:r>
    </w:p>
    <w:p>
      <w:pPr>
        <w:numPr>
          <w:ilvl w:val="0"/>
          <w:numId w:val="24"/>
        </w:numPr>
        <w:spacing w:lineRule="auto"/>
      </w:pPr>
      <w:r>
        <w:rPr/>
        <w:t xml:space="preserve">Taxa Selic esperada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Câmbio, crescimento, etc.</w:t>
      </w:r>
    </w:p>
    <w:p>
      <w:pPr>
        <w:spacing w:after="210" w:lineRule="auto"/>
      </w:pPr>
      <w:r>
        <w:rPr>
          <w:b/>
        </w:rPr>
        <w:t xml:space="preserve">Uso para seu artigo: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Para estimação </w:t>
      </w:r>
      <w:r>
        <w:rPr>
          <w:b/>
        </w:rPr>
        <w:t xml:space="preserve">forward-looking</w:t>
      </w:r>
      <w:r>
        <w:rPr/>
        <w:t xml:space="preserve"> da regra de Taylor, use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t</m:t>
            </m:r>
          </m:sub>
        </m:sSub>
        <m:r>
          <m:rPr>
            <m:sty m:val="p"/>
          </m:rPr>
          <m:t>[</m:t>
        </m:r>
        <m:sSub>
          <m:sSubPr/>
          <m:e>
            <m:r>
              <m:rPr>
                <m:sty m:val="i"/>
              </m:rPr>
              <m:t>π</m:t>
            </m:r>
          </m:e>
          <m:sub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h</m:t>
            </m:r>
          </m:sub>
        </m:sSub>
        <m:r>
          <m:rPr>
            <m:sty m:val="p"/>
          </m:rPr>
          <m:t>]</m:t>
        </m:r>
      </m:oMath>
      <w:r>
        <w:rPr>
          <w:rFonts w:eastAsia="Georgia" w:cs="Georgia" w:ascii="Georgia" w:hAnsi="Georgia"/>
        </w:rPr>
        <w:t xml:space="preserve"> = previsão Focus</w:t>
      </w:r>
    </w:p>
    <w:p>
      <w:pPr>
        <w:numPr>
          <w:ilvl w:val="0"/>
          <w:numId w:val="25"/>
        </w:numPr>
        <w:spacing w:lineRule="auto"/>
      </w:pPr>
      <w:r>
        <w:rPr/>
        <w:t xml:space="preserve">Maioria dos trabalhos usa </w:t>
      </w:r>
      <w:r>
        <w:rPr>
          <w:b/>
        </w:rPr>
        <w:t xml:space="preserve">Focus 12-meses</w:t>
      </w:r>
      <w:r>
        <w:rPr>
          <w:rFonts w:eastAsia="Georgia" w:cs="Georgia" w:ascii="Georgia" w:hAnsi="Georgia"/>
        </w:rPr>
        <w:t xml:space="preserve"> (expectativa de inflação um ano à frente)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Base de dados disponível em: </w:t>
      </w:r>
      <w:hyperlink r:id="rId5">
        <w:r>
          <w:rPr>
            <w:color w:val="4472C4"/>
          </w:rPr>
          <w:t xml:space="preserve">https://www.bcb.gov.br</w:t>
        </w:r>
      </w:hyperlink>
      <w:r>
        <w:rPr>
          <w:rFonts w:eastAsia="Georgia" w:cs="Georgia" w:ascii="Georgia" w:hAnsi="Georgia"/>
        </w:rPr>
        <w:t xml:space="preserve"> (DownloadDados → Expectativas de Mercado)</w:t>
      </w:r>
    </w:p>
    <w:p>
      <w:pPr>
        <w:spacing w:after="210" w:lineRule="auto"/>
      </w:pPr>
      <w:r>
        <w:rPr>
          <w:b/>
        </w:rPr>
        <w:t xml:space="preserve">Vantagens: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Reflecte comportamento real de formuladores de política ("Market participants know what policy makers think")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Endógena à credibilidade: se BCB perde credibilidade, expectativas Focus subem</w:t>
      </w:r>
    </w:p>
    <w:p>
      <w:pPr>
        <w:spacing w:after="210" w:lineRule="auto"/>
      </w:pPr>
      <w:r>
        <w:rPr>
          <w:b/>
        </w:rPr>
        <w:t xml:space="preserve">Limitações: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Surveys podem não refletir expectativas racionais perfeitas (problema de heterogeneidade)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Descontinuidades: durante crises, analistas discordam muito (desvios-padrão altos)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10_testes_de_robustez_recomend_da259e"/>
      <w:r>
        <w:rPr>
          <w:b/>
          <w:sz w:val="42"/>
        </w:rPr>
        <w:t xml:space="preserve">10. Testes de Robustez Recomendados para seu Artigo</w:t>
      </w:r>
      <w:bookmarkEnd w:id="16"/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Teste J de Hansen (GMM):</w:t>
      </w:r>
      <w:r>
        <w:rPr/>
        <w:t xml:space="preserve"> P-value deve ser </w:t>
      </w:r>
      <m:oMath>
        <m:r>
          <m:rPr>
            <m:sty m:val="p"/>
          </m:rPr>
          <m:t>&gt;</m:t>
        </m:r>
        <m:r>
          <m:rPr>
            <m:sty m:val="p"/>
          </m:rPr>
          <m:t>0.10</m:t>
        </m:r>
      </m:oMath>
      <w:r>
        <w:rPr>
          <w:rFonts w:eastAsia="Georgia" w:cs="Georgia" w:ascii="Georgia" w:hAnsi="Georgia"/>
        </w:rPr>
        <w:t xml:space="preserve"> para validação de instrumentos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Teste de Ljung-Box (correlação serial):</w:t>
      </w:r>
      <w:r>
        <w:rPr>
          <w:rFonts w:eastAsia="Georgia" w:cs="Georgia" w:ascii="Georgia" w:hAnsi="Georgia"/>
        </w:rPr>
        <w:t xml:space="preserve"> Resíduos não devem ser correlacionados (evidência de má especificação)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Teste de Heterocedasticidade (Breusch-Pagan):</w:t>
      </w:r>
      <w:r>
        <w:rPr>
          <w:rFonts w:eastAsia="Georgia" w:cs="Georgia" w:ascii="Georgia" w:hAnsi="Georgia"/>
        </w:rPr>
        <w:t xml:space="preserve"> Erros devem ter variância constante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Teste de Bai-Perron (quebras estruturais):</w:t>
      </w:r>
      <w:r>
        <w:rPr/>
        <w:t xml:space="preserve"> Identifique datas onde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/>
        <w:t xml:space="preserve"> mudou significativamente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Função de Resposta ao Impulso (IRF) em Dynare:</w:t>
      </w:r>
      <w:r>
        <w:rPr/>
        <w:t xml:space="preserve"> Simule o modelo NK sob diferentes valores de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>
          <w:rFonts w:eastAsia="Georgia" w:cs="Georgia" w:ascii="Georgia" w:hAnsi="Georgia"/>
        </w:rPr>
        <w:t xml:space="preserve">, mostrando que determinância requer 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</m:oMath>
      <w:r>
        <w:rPr/>
        <w:t xml:space="preserve"> acima de certo threshold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11_implicações_para_política_m_65c9a8"/>
      <w:r>
        <w:rPr>
          <w:rFonts w:eastAsia="Georgia" w:cs="Georgia" w:ascii="Georgia" w:hAnsi="Georgia"/>
          <w:b/>
          <w:sz w:val="42"/>
        </w:rPr>
        <w:t xml:space="preserve">11. Implicações para Política Monetária Brasileira</w:t>
      </w:r>
      <w:bookmarkEnd w:id="17"/>
    </w:p>
    <w:p>
      <w:pPr>
        <w:spacing w:after="210" w:lineRule="auto"/>
      </w:pPr>
      <w:r>
        <w:rPr>
          <w:b/>
        </w:rPr>
        <w:t xml:space="preserve">Período 1999-2024: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1999-2003:</w:t>
      </w:r>
      <w:r>
        <w:rPr>
          <w:rFonts w:eastAsia="Georgia" w:cs="Georgia" w:ascii="Georgia" w:hAnsi="Georgia"/>
        </w:rPr>
        <w:t xml:space="preserve"> Consolidação do regime; BCB demonstra força nas crises (Fraga)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2003-2010:</w:t>
      </w:r>
      <w:r>
        <w:rPr>
          <w:rFonts w:eastAsia="Georgia" w:cs="Georgia" w:ascii="Georgia" w:hAnsi="Georgia"/>
        </w:rPr>
        <w:t xml:space="preserve"> Regime maduro; inflação e expectativas bem ancoradas (Meirelles)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2011-2016:</w:t>
      </w:r>
      <w:r>
        <w:rPr>
          <w:rFonts w:eastAsia="Georgia" w:cs="Georgia" w:ascii="Georgia" w:hAnsi="Georgia"/>
        </w:rPr>
        <w:t xml:space="preserve"> Tensões; resposta insuficiente? (Tombini); perda de credibilidade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2017-2019:</w:t>
      </w:r>
      <w:r>
        <w:rPr>
          <w:rFonts w:eastAsia="Georgia" w:cs="Georgia" w:ascii="Georgia" w:hAnsi="Georgia"/>
        </w:rPr>
        <w:t xml:space="preserve"> Recuperação; reconvergência (Goldfajn)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2020-2024:</w:t>
      </w:r>
      <w:r>
        <w:rPr>
          <w:rFonts w:eastAsia="Georgia" w:cs="Georgia" w:ascii="Georgia" w:hAnsi="Georgia"/>
        </w:rPr>
        <w:t xml:space="preserve"> Pandemia, recuperação, inflação alta, aumento de juros agressivo (Campos Neto)</w:t>
      </w:r>
    </w:p>
    <w:p>
      <w:pPr>
        <w:spacing w:after="210" w:lineRule="auto"/>
      </w:pPr>
      <w:r>
        <w:rPr>
          <w:b/>
        </w:rPr>
        <w:t xml:space="preserve">Contribuição do seu artigo:</w:t>
      </w:r>
      <w:r>
        <w:rPr/>
        <w:br w:type="textWrapping"/>
      </w:r>
      <w:r>
        <w:rPr>
          <w:rFonts w:eastAsia="Georgia" w:cs="Georgia" w:ascii="Georgia" w:hAnsi="Georgia"/>
        </w:rPr>
        <w:t xml:space="preserve">Conectar os parâmetros estimados (</w:t>
      </w:r>
      <m:oMath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π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ϕ</m:t>
            </m:r>
          </m:e>
          <m:sub>
            <m:r>
              <m:rPr>
                <m:sty m:val="i"/>
              </m:rPr>
              <m:t>y</m:t>
            </m:r>
          </m:sub>
        </m:sSub>
      </m:oMath>
      <w:r>
        <w:rPr>
          <w:rFonts w:eastAsia="Georgia" w:cs="Georgia" w:ascii="Georgia" w:hAnsi="Georgia"/>
        </w:rPr>
        <w:t xml:space="preserve">) com os eventos econômicos brasileiros, mostrando que o Princípio de Taylor não é apenas teoria: é o "coração" da estabilidade do regime.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referências_essenciais"/>
      <w:r>
        <w:rPr>
          <w:rFonts w:eastAsia="Georgia" w:cs="Georgia" w:ascii="Georgia" w:hAnsi="Georgia"/>
          <w:b/>
          <w:sz w:val="42"/>
        </w:rPr>
        <w:t xml:space="preserve">Referências Essenciais</w:t>
      </w:r>
      <w:bookmarkEnd w:id="18"/>
    </w:p>
    <w:p>
      <w:pPr>
        <w:spacing w:after="210" w:lineRule="auto"/>
      </w:pPr>
      <w:r>
        <w:rPr/>
        <w:t xml:space="preserve">[1] Blanchard, O., &amp; Kahn, C. M. (1980). The solution of linear difference models under rational expectations. </w:t>
      </w:r>
      <w:r>
        <w:rPr>
          <w:i/>
        </w:rPr>
        <w:t xml:space="preserve">Econometrica</w:t>
      </w:r>
      <w:r>
        <w:rPr/>
        <w:t xml:space="preserve">, 48(5), 1305-1311.</w:t>
      </w:r>
    </w:p>
    <w:p>
      <w:pPr>
        <w:spacing w:after="210" w:lineRule="auto"/>
      </w:pPr>
      <w:r>
        <w:rPr/>
        <w:t xml:space="preserve">[2] Bullard, J., &amp; Mitra, K. (2002). Learning about monetary policy rules. </w:t>
      </w:r>
      <w:r>
        <w:rPr>
          <w:i/>
        </w:rPr>
        <w:t xml:space="preserve">Journal of Monetary Economics</w:t>
      </w:r>
      <w:r>
        <w:rPr/>
        <w:t xml:space="preserve">, 49(6), 1105-1129.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Clarida, R., Galí, J., &amp; Gertler, M. (2000). Monetary policy rules and macroeconomic stability: Evidence and some theory. </w:t>
      </w:r>
      <w:r>
        <w:rPr>
          <w:i/>
        </w:rPr>
        <w:t xml:space="preserve">Quarterly Journal of Economics</w:t>
      </w:r>
      <w:r>
        <w:rPr/>
        <w:t xml:space="preserve">, 115(1), 147-180.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[4] Galí, J. (2015). </w:t>
      </w:r>
      <w:r>
        <w:rPr>
          <w:i/>
        </w:rPr>
        <w:t xml:space="preserve">Monetary Policy, Inflation, and the Business Cycle: An Introduction to the New Keynesian Framework</w:t>
      </w:r>
      <w:r>
        <w:rPr/>
        <w:t xml:space="preserve"> (2nd ed.). Princeton University Press.</w:t>
      </w:r>
    </w:p>
    <w:p>
      <w:pPr>
        <w:spacing w:after="210" w:lineRule="auto"/>
      </w:pPr>
      <w:r>
        <w:rPr/>
        <w:t xml:space="preserve">[5] Minella, A., de Freitas, P. S., Goldfajn, I., &amp; Muinhos, M. K. (2003). Inflation targeting in Brazil: Constructing credibility under exchange rate volatility. </w:t>
      </w:r>
      <w:r>
        <w:rPr>
          <w:i/>
        </w:rPr>
        <w:t xml:space="preserve">Journal of International Money and Finance</w:t>
      </w:r>
      <w:r>
        <w:rPr/>
        <w:t xml:space="preserve">, 22(7), 1015-1040.</w:t>
      </w:r>
    </w:p>
    <w:p>
      <w:pPr>
        <w:spacing w:after="210" w:lineRule="auto"/>
      </w:pPr>
      <w:r>
        <w:rPr/>
        <w:t xml:space="preserve">[6] Palma, A. A. (2011). Preferences of the Central Bank of Brazil under the inflation targeting regime. </w:t>
      </w:r>
      <w:r>
        <w:rPr>
          <w:i/>
        </w:rPr>
        <w:t xml:space="preserve">Revista Brasileira de Economia</w:t>
      </w:r>
      <w:r>
        <w:rPr/>
        <w:t xml:space="preserve">, 65(4), 363-379.</w:t>
      </w:r>
    </w:p>
    <w:p>
      <w:pPr>
        <w:spacing w:after="210" w:lineRule="auto"/>
      </w:pPr>
      <w:r>
        <w:rPr/>
        <w:t xml:space="preserve">[7] Taylor, J. B. (1993). Discretion versus policy rules in practice. </w:t>
      </w:r>
      <w:r>
        <w:rPr>
          <w:i/>
        </w:rPr>
        <w:t xml:space="preserve">Carnegie-Rochester Conference Series on Public Policy</w:t>
      </w:r>
      <w:r>
        <w:rPr/>
        <w:t xml:space="preserve">, 39, 195-214.</w:t>
      </w:r>
    </w:p>
    <w:p>
      <w:pPr>
        <w:spacing w:after="210" w:lineRule="auto"/>
      </w:pPr>
      <w:r>
        <w:rPr/>
        <w:t xml:space="preserve">[8] Woodford, M. (2003). </w:t>
      </w:r>
      <w:r>
        <w:rPr>
          <w:i/>
        </w:rPr>
        <w:t xml:space="preserve">Interest and Prices: Foundations of a Theory of Monetary Policy</w:t>
      </w:r>
      <w:r>
        <w:rPr/>
        <w:t xml:space="preserve">. Princeton University Press.</w:t>
      </w:r>
    </w:p>
    <w:p>
      <w:pPr>
        <w:spacing w:after="210" w:lineRule="auto"/>
      </w:pPr>
      <w:r>
        <w:rPr/>
        <w:t xml:space="preserve">[9] Hamilton, J. D. (2018). Why you should never use the Hodrick-Prescott filter. </w:t>
      </w:r>
      <w:r>
        <w:rPr>
          <w:i/>
        </w:rPr>
        <w:t xml:space="preserve">Review of Economics and Statistics</w:t>
      </w:r>
      <w:r>
        <w:rPr/>
        <w:t xml:space="preserve">, 100(5), 831-843.</w:t>
      </w:r>
    </w:p>
    <w:p>
      <w:pPr>
        <w:spacing w:after="210" w:lineRule="auto"/>
      </w:pPr>
      <w:r>
        <w:rPr/>
        <w:t xml:space="preserve">[10] Cochrane, J. H. (2007). Identification with Taylor rules. </w:t>
      </w:r>
      <w:r>
        <w:rPr>
          <w:i/>
        </w:rPr>
        <w:t xml:space="preserve">NBER Working Paper</w:t>
      </w:r>
      <w:r>
        <w:rPr/>
        <w:t xml:space="preserve"> No. 13409.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bcb.gov.b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2025-12-02T19:57:50.268Z</dcterms:created>
  <dcterms:modified xsi:type="dcterms:W3CDTF">2025-12-02T19:57:50.268Z</dcterms:modified>
</cp:coreProperties>
</file>