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FONTES DADOS ARTIGO MACRO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📌 </w:t>
      </w:r>
      <w:r>
        <w:rPr>
          <w:rStyle w:val="Strong"/>
          <w:b/>
          <w:bCs/>
        </w:rPr>
        <w:t>1. Lista completa de variáveis necessárias</w:t>
      </w:r>
    </w:p>
    <w:p>
      <w:pPr>
        <w:pStyle w:val="BodyText"/>
        <w:rPr/>
      </w:pPr>
      <w:r>
        <w:rPr/>
        <w:t>Para estimar regras de Taylor e testar determinância em um arcabouço NK, você precisará de:</w:t>
      </w:r>
    </w:p>
    <w:p>
      <w:pPr>
        <w:pStyle w:val="Heading3"/>
        <w:rPr/>
      </w:pPr>
      <w:r>
        <w:rPr>
          <w:rStyle w:val="Strong"/>
          <w:b/>
          <w:bCs/>
        </w:rPr>
        <w:t xml:space="preserve">(A) </w:t>
      </w:r>
      <w:r>
        <w:rPr>
          <w:rStyle w:val="Strong"/>
          <w:b/>
          <w:bCs/>
          <w:shd w:fill="FFFF00" w:val="clear"/>
        </w:rPr>
        <w:t>Taxa básica de juros — Selic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Símbolo no artigo:</w:t>
      </w:r>
      <w:r>
        <w:rPr/>
        <w:t xml:space="preserve"> (</w:t>
      </w:r>
      <w:r>
        <w:rPr>
          <w:shd w:fill="FFFF00" w:val="clear"/>
        </w:rPr>
        <w:t>i_t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Periodicidade:</w:t>
      </w:r>
      <w:r>
        <w:rPr/>
        <w:t xml:space="preserve"> mensal (ou transformar para trimestral)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Uso:</w:t>
      </w:r>
      <w:r>
        <w:rPr/>
        <w:t xml:space="preserve"> variável dependente na regra de Taylor.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Fonte:</w:t>
      </w:r>
      <w:r>
        <w:rPr/>
        <w:t xml:space="preserve"> Banco Central do Brasil – SGS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Séries recomendadas: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  <w:color w:val="C9211E"/>
        </w:rPr>
        <w:t>4390</w:t>
      </w:r>
      <w:r>
        <w:rPr/>
        <w:t xml:space="preserve"> — "</w:t>
      </w:r>
      <w:r>
        <w:rPr>
          <w:color w:val="C9211E"/>
        </w:rPr>
        <w:t>Meta</w:t>
      </w:r>
      <w:r>
        <w:rPr/>
        <w:t xml:space="preserve"> da taxa Selic" (mensal)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  <w:color w:val="2A6099"/>
        </w:rPr>
        <w:t>4189</w:t>
      </w:r>
      <w:r>
        <w:rPr/>
        <w:t xml:space="preserve"> — "</w:t>
      </w:r>
      <w:r>
        <w:rPr>
          <w:color w:val="2A6099"/>
        </w:rPr>
        <w:t>Taxa</w:t>
      </w:r>
      <w:r>
        <w:rPr/>
        <w:t xml:space="preserve"> Selic efetiva" (média diária anualizada)</w:t>
      </w:r>
    </w:p>
    <w:p>
      <w:pPr>
        <w:pStyle w:val="BodyText"/>
        <w:rPr/>
      </w:pPr>
      <w:r>
        <w:rPr>
          <w:rStyle w:val="Strong"/>
        </w:rPr>
        <w:t>Link:</w:t>
      </w:r>
      <w:r>
        <w:rPr/>
        <w:br/>
      </w:r>
      <w:hyperlink r:id="rId2">
        <w:r>
          <w:rPr>
            <w:rStyle w:val="Hyperlink"/>
          </w:rPr>
          <w:t>https://dadosabertos.bcb.gov.br/organization/bcdata</w:t>
        </w:r>
      </w:hyperlink>
    </w:p>
    <w:p>
      <w:pPr>
        <w:pStyle w:val="BodyText"/>
        <w:rPr/>
      </w:pPr>
      <w:r>
        <w:rPr/>
        <w:t>(Use a API SGS ou baixe como CSV pelo site do Bacen.)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(B) </w:t>
      </w:r>
      <w:r>
        <w:rPr>
          <w:rStyle w:val="Strong"/>
          <w:b/>
          <w:bCs/>
          <w:shd w:fill="FFFF00" w:val="clear"/>
        </w:rPr>
        <w:t>Inflação</w:t>
      </w:r>
      <w:r>
        <w:rPr>
          <w:rStyle w:val="Strong"/>
          <w:b/>
          <w:bCs/>
        </w:rPr>
        <w:t xml:space="preserve"> — IPCA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Símbolo:</w:t>
      </w:r>
      <w:r>
        <w:rPr/>
        <w:t xml:space="preserve"> (</w:t>
      </w:r>
      <w:r>
        <w:rPr>
          <w:shd w:fill="FFFF00" w:val="clear"/>
        </w:rPr>
        <w:t>\pi_t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Periodicidade:</w:t>
      </w:r>
      <w:r>
        <w:rPr/>
        <w:t xml:space="preserve"> mensal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Uso:</w:t>
      </w:r>
      <w:r>
        <w:rPr/>
        <w:t xml:space="preserve"> componente principal da regra de Taylor.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Fonte:</w:t>
      </w:r>
      <w:r>
        <w:rPr/>
        <w:t xml:space="preserve"> IBGE – Sistema SIDRA</w:t>
      </w:r>
    </w:p>
    <w:p>
      <w:pPr>
        <w:pStyle w:val="BodyText"/>
        <w:rPr/>
      </w:pPr>
      <w:r>
        <w:rPr>
          <w:rStyle w:val="Strong"/>
        </w:rPr>
        <w:t>Séries recomendadas: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IPCA variação mensal (%):</w:t>
      </w:r>
      <w:r>
        <w:rPr/>
        <w:br/>
      </w:r>
      <w:hyperlink r:id="rId3">
        <w:r>
          <w:rPr>
            <w:rStyle w:val="Hyperlink"/>
            <w:b/>
            <w:bCs/>
          </w:rPr>
          <w:t>https://sidra.ibge.gov.br/tabela/1737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Para deflacionar séries:</w:t>
      </w:r>
      <w:r>
        <w:rPr/>
        <w:br/>
      </w:r>
      <w:hyperlink r:id="rId4">
        <w:r>
          <w:rPr>
            <w:rStyle w:val="Hyperlink"/>
            <w:b/>
            <w:bCs/>
          </w:rPr>
          <w:t>https://sidra.ibge.gov.br/tabela/1736</w:t>
        </w:r>
      </w:hyperlink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(C) </w:t>
      </w:r>
      <w:r>
        <w:rPr>
          <w:rStyle w:val="Strong"/>
          <w:b/>
          <w:bCs/>
          <w:shd w:fill="FFFF00" w:val="clear"/>
        </w:rPr>
        <w:t>Expectativas de inflação</w:t>
      </w:r>
      <w:r>
        <w:rPr>
          <w:rStyle w:val="Strong"/>
          <w:b/>
          <w:bCs/>
        </w:rPr>
        <w:t xml:space="preserve"> — Focus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Símbolo:</w:t>
      </w:r>
      <w:r>
        <w:rPr/>
        <w:t xml:space="preserve"> (</w:t>
      </w:r>
      <w:r>
        <w:rPr>
          <w:shd w:fill="FFFF00" w:val="clear"/>
        </w:rPr>
        <w:t>E_t\pi_{t+1}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Periodicidade:</w:t>
      </w:r>
      <w:r>
        <w:rPr/>
        <w:t xml:space="preserve"> diária → você irá consolidar para </w:t>
      </w:r>
      <w:r>
        <w:rPr>
          <w:rStyle w:val="Strong"/>
        </w:rPr>
        <w:t>mensal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Uso:</w:t>
      </w:r>
      <w:r>
        <w:rPr/>
        <w:t xml:space="preserve"> essencial para a </w:t>
      </w:r>
      <w:r>
        <w:rPr>
          <w:rStyle w:val="Strong"/>
        </w:rPr>
        <w:t>regra forward-looking (Clarida–Galí–Gertler)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Fonte:</w:t>
      </w:r>
      <w:r>
        <w:rPr/>
        <w:t xml:space="preserve"> Banco Central – Sistema Focus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"Expectativa de IPCA para 12 meses à frente"</w:t>
      </w:r>
    </w:p>
    <w:p>
      <w:pPr>
        <w:pStyle w:val="BodyText"/>
        <w:rPr/>
      </w:pPr>
      <w:r>
        <w:rPr>
          <w:rStyle w:val="Strong"/>
        </w:rPr>
        <w:t>API oficial (JSON):</w:t>
      </w:r>
      <w:r>
        <w:rPr/>
        <w:br/>
      </w:r>
      <w:hyperlink r:id="rId5">
        <w:r>
          <w:rPr>
            <w:rStyle w:val="Hyperlink"/>
          </w:rPr>
          <w:t>https://dadosabertos.bcb.gov.br/dataset/expectativas</w:t>
        </w:r>
      </w:hyperlink>
      <w:r>
        <w:rPr/>
        <w:br/>
        <w:t>(Procure por: "Expectativas de inflação – IPCA 12 meses")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(D) Produto Interno Bruto – </w:t>
      </w:r>
      <w:r>
        <w:rPr>
          <w:rStyle w:val="Strong"/>
          <w:b/>
          <w:bCs/>
          <w:shd w:fill="FFFF00" w:val="clear"/>
        </w:rPr>
        <w:t>PIB</w:t>
      </w:r>
      <w:r>
        <w:rPr>
          <w:rStyle w:val="Strong"/>
          <w:b/>
          <w:bCs/>
        </w:rPr>
        <w:t xml:space="preserve"> real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Símbolo:</w:t>
      </w:r>
      <w:r>
        <w:rPr/>
        <w:t xml:space="preserve"> (</w:t>
      </w:r>
      <w:r>
        <w:rPr>
          <w:shd w:fill="FFFF00" w:val="clear"/>
        </w:rPr>
        <w:t>y_t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Periodicidade:</w:t>
      </w:r>
      <w:r>
        <w:rPr/>
        <w:t xml:space="preserve"> </w:t>
      </w:r>
      <w:r>
        <w:rPr>
          <w:rStyle w:val="Strong"/>
        </w:rPr>
        <w:t>trimestral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Uso:</w:t>
      </w:r>
      <w:r>
        <w:rPr/>
        <w:t xml:space="preserve"> cálculo do hiato do produto.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Fonte:</w:t>
      </w:r>
      <w:r>
        <w:rPr/>
        <w:t xml:space="preserve"> IBGE – Contas Nacionais Trimestrais</w:t>
        <w:br/>
      </w:r>
      <w:r>
        <w:rPr>
          <w:rStyle w:val="Strong"/>
        </w:rPr>
        <w:t>Link:</w:t>
      </w:r>
      <w:r>
        <w:rPr/>
        <w:br/>
      </w:r>
      <w:hyperlink r:id="rId6">
        <w:r>
          <w:rPr>
            <w:rStyle w:val="Hyperlink"/>
          </w:rPr>
          <w:t>https://sidra.ibge.gov.br/tabela/1620</w:t>
        </w:r>
      </w:hyperlink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(E) </w:t>
      </w:r>
      <w:r>
        <w:rPr>
          <w:rStyle w:val="Strong"/>
          <w:b/>
          <w:bCs/>
          <w:shd w:fill="FFFF00" w:val="clear"/>
        </w:rPr>
        <w:t>Hiato do produto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Símbolo:</w:t>
      </w:r>
      <w:r>
        <w:rPr/>
        <w:t xml:space="preserve"> (</w:t>
      </w:r>
      <w:r>
        <w:rPr>
          <w:shd w:fill="FFFF00" w:val="clear"/>
        </w:rPr>
        <w:t>\tilde{y}_t = y_t - y_t^n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Pode ser obtido de 3 formas:</w:t>
      </w:r>
    </w:p>
    <w:p>
      <w:pPr>
        <w:pStyle w:val="Heading4"/>
        <w:rPr/>
      </w:pPr>
      <w:r>
        <w:rPr>
          <w:rStyle w:val="Strong"/>
          <w:b/>
          <w:bCs/>
          <w:shd w:fill="FFFF00" w:val="clear"/>
        </w:rPr>
        <w:t xml:space="preserve">(E1) </w:t>
      </w:r>
      <w:r>
        <w:rPr>
          <w:rStyle w:val="Strong"/>
          <w:b/>
          <w:bCs/>
          <w:color w:val="2A6099"/>
          <w:shd w:fill="FFFF00" w:val="clear"/>
        </w:rPr>
        <w:t>Série pronta (recomendado)</w:t>
      </w:r>
    </w:p>
    <w:p>
      <w:pPr>
        <w:pStyle w:val="BodyText"/>
        <w:rPr/>
      </w:pPr>
      <w:r>
        <w:rPr/>
        <w:t>Banco Central do Brasil publica séries prontas de hiato estimado.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3904 – Hiato do produto (modelo de referência BCB)</w:t>
      </w:r>
      <w:r>
        <w:rPr/>
        <w:br/>
      </w:r>
      <w:r>
        <w:rPr>
          <w:rStyle w:val="Strong"/>
        </w:rPr>
        <w:t>Link:</w:t>
      </w:r>
      <w:r>
        <w:rPr/>
        <w:br/>
      </w:r>
      <w:hyperlink r:id="rId7">
        <w:r>
          <w:rPr>
            <w:rStyle w:val="Hyperlink"/>
          </w:rPr>
          <w:t>https://dadosabertos.bcb.gov.br/dataset/hiato-de-produtividade</w:t>
        </w:r>
      </w:hyperlink>
    </w:p>
    <w:p>
      <w:pPr>
        <w:pStyle w:val="BodyText"/>
        <w:rPr/>
      </w:pPr>
      <w:r>
        <w:rPr/>
        <w:t xml:space="preserve">Periodicidade: </w:t>
      </w:r>
      <w:r>
        <w:rPr>
          <w:rStyle w:val="Strong"/>
        </w:rPr>
        <w:t>trimestral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(F) </w:t>
      </w:r>
      <w:r>
        <w:rPr>
          <w:rStyle w:val="Strong"/>
          <w:b/>
          <w:bCs/>
          <w:shd w:fill="FFFF00" w:val="clear"/>
        </w:rPr>
        <w:t>Taxa de juros natural</w:t>
      </w:r>
      <w:r>
        <w:rPr>
          <w:rStyle w:val="Strong"/>
          <w:b/>
          <w:bCs/>
        </w:rPr>
        <w:t xml:space="preserve"> — ( </w:t>
      </w:r>
      <w:r>
        <w:rPr>
          <w:rStyle w:val="Strong"/>
          <w:b/>
          <w:bCs/>
          <w:shd w:fill="FFFF00" w:val="clear"/>
        </w:rPr>
        <w:t xml:space="preserve">r_t^n </w:t>
      </w:r>
      <w:r>
        <w:rPr>
          <w:rStyle w:val="Strong"/>
          <w:b/>
          <w:bCs/>
        </w:rPr>
        <w:t>) (opcional)</w:t>
      </w:r>
    </w:p>
    <w:p>
      <w:pPr>
        <w:pStyle w:val="BodyText"/>
        <w:rPr/>
      </w:pPr>
      <w:r>
        <w:rPr/>
        <w:t>A regra IS dinâmica usa (r_t^n).</w:t>
        <w:br/>
        <w:t>Você tem três opções:</w:t>
      </w:r>
    </w:p>
    <w:p>
      <w:pPr>
        <w:pStyle w:val="Heading4"/>
        <w:rPr/>
      </w:pPr>
      <w:r>
        <w:rPr>
          <w:rStyle w:val="Strong"/>
          <w:b/>
          <w:bCs/>
        </w:rPr>
        <w:t>(F1) Usar série estimada pelo Bacen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Série 13758 – “Taxa de juros natural estimada”</w:t>
      </w:r>
      <w:r>
        <w:rPr/>
        <w:br/>
        <w:t xml:space="preserve">Periodicidade: </w:t>
      </w:r>
      <w:r>
        <w:rPr>
          <w:rStyle w:val="Strong"/>
        </w:rPr>
        <w:t>trimestral</w:t>
      </w:r>
      <w:r>
        <w:rPr/>
        <w:br/>
        <w:t>Link:</w:t>
        <w:br/>
      </w:r>
      <w:hyperlink r:id="rId8">
        <w:r>
          <w:rPr>
            <w:rStyle w:val="Hyperlink"/>
          </w:rPr>
          <w:t>https://dadosabertos.bcb.gov.br/</w:t>
        </w:r>
      </w:hyperlink>
    </w:p>
    <w:p>
      <w:pPr>
        <w:pStyle w:val="Heading4"/>
        <w:rPr/>
      </w:pPr>
      <w:r>
        <w:rPr>
          <w:rStyle w:val="Strong"/>
          <w:b/>
          <w:bCs/>
        </w:rPr>
        <w:t>(F2) Usar série estimada pelo FMI (Laubach–Williams adaptado)</w:t>
      </w:r>
    </w:p>
    <w:p>
      <w:pPr>
        <w:pStyle w:val="BodyText"/>
        <w:rPr/>
      </w:pPr>
      <w:r>
        <w:rPr/>
        <w:t>Disponível em alguns papers sobre Brasil.</w:t>
      </w:r>
    </w:p>
    <w:p>
      <w:pPr>
        <w:pStyle w:val="Heading4"/>
        <w:rPr/>
      </w:pPr>
      <w:r>
        <w:rPr>
          <w:rStyle w:val="Strong"/>
          <w:b/>
          <w:bCs/>
        </w:rPr>
        <w:t>(F3) Tratar (r_t^n) como constante</w:t>
      </w:r>
    </w:p>
    <w:p>
      <w:pPr>
        <w:pStyle w:val="BodyText"/>
        <w:rPr/>
      </w:pPr>
      <w:r>
        <w:rPr/>
        <w:t>Comum na literatura, especialmente se você focar apenas na regra de Taylor e não estimar IS.</w:t>
      </w:r>
    </w:p>
    <w:p>
      <w:pPr>
        <w:pStyle w:val="Linhahorizontal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(G) Outras séries úteis</w:t>
      </w:r>
    </w:p>
    <w:p>
      <w:pPr>
        <w:pStyle w:val="BodyText"/>
        <w:rPr/>
      </w:pPr>
      <w:r>
        <w:rPr/>
        <w:t>Opcional, mas ajudam em robustness checks: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IBC-Br (proxy mensal de PIB)</w:t>
      </w:r>
      <w:r>
        <w:rPr/>
        <w:br/>
        <w:t xml:space="preserve">Série SGS: </w:t>
      </w:r>
      <w:r>
        <w:rPr>
          <w:rStyle w:val="Strong"/>
        </w:rPr>
        <w:t>24363</w:t>
      </w:r>
      <w:r>
        <w:rPr/>
        <w:br/>
      </w:r>
      <w:hyperlink r:id="rId9">
        <w:r>
          <w:rPr>
            <w:rStyle w:val="Hyperlink"/>
          </w:rPr>
          <w:t>https://dadosabertos.bcb.gov.br/dataset/24363</w:t>
        </w:r>
      </w:hyperlink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Expectativas Focus para Selic</w:t>
      </w:r>
      <w:r>
        <w:rPr/>
        <w:br/>
        <w:t>(para regra forward-looking alternativa)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Desvios da meta de inflação</w:t>
      </w:r>
      <w:r>
        <w:rPr/>
        <w:br/>
        <w:t>Meta e banda (anual):</w:t>
        <w:br/>
      </w:r>
      <w:hyperlink r:id="rId10">
        <w:r>
          <w:rPr>
            <w:rStyle w:val="Hyperlink"/>
          </w:rPr>
          <w:t>https://www.bcb.gov.br/controleinflacao/historicotaxasjuros</w:t>
        </w:r>
      </w:hyperlink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📌 </w:t>
      </w:r>
      <w:r>
        <w:rPr>
          <w:rStyle w:val="Strong"/>
          <w:b/>
          <w:bCs/>
        </w:rPr>
        <w:t>2. Qual periodicidade devo usar?</w:t>
      </w:r>
    </w:p>
    <w:p>
      <w:pPr>
        <w:pStyle w:val="BodyText"/>
        <w:rPr/>
      </w:pPr>
      <w:r>
        <w:rPr/>
        <w:t xml:space="preserve">Depende da sua </w:t>
      </w:r>
      <w:r>
        <w:rPr>
          <w:rStyle w:val="Strong"/>
        </w:rPr>
        <w:t>estratégia econométrica</w:t>
      </w:r>
      <w:r>
        <w:rPr/>
        <w:t>: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"/>
          <w:b/>
          <w:bCs/>
        </w:rPr>
        <w:t>Opção A — Mensal (a mais comum para Taylor no Brasil)</w:t>
      </w:r>
    </w:p>
    <w:p>
      <w:pPr>
        <w:pStyle w:val="BodyText"/>
        <w:rPr/>
      </w:pPr>
      <w:r>
        <w:rPr>
          <w:rStyle w:val="Strong"/>
        </w:rPr>
        <w:t>Vantagens: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Mais observações → regressões mais robustas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Selic e IPCA já são mensais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Expectativas Focus podem ser consolidadas por mês</w:t>
      </w:r>
    </w:p>
    <w:p>
      <w:pPr>
        <w:pStyle w:val="BodyText"/>
        <w:rPr/>
      </w:pPr>
      <w:r>
        <w:rPr>
          <w:rStyle w:val="Strong"/>
        </w:rPr>
        <w:t>Desvantagens: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Hiato do produto precisa ser convertido (interpolação) ou substituído por IBC-Br.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"/>
          <w:b/>
          <w:bCs/>
        </w:rPr>
        <w:t>Opção B — Trimestral (a mais elegante para NK puro)</w:t>
      </w:r>
    </w:p>
    <w:p>
      <w:pPr>
        <w:pStyle w:val="BodyText"/>
        <w:rPr/>
      </w:pPr>
      <w:r>
        <w:rPr>
          <w:rStyle w:val="Strong"/>
        </w:rPr>
        <w:t>Vantagens: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PIB e hiato são naturalmente trimestrais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Coerente com literatura NK formal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Evita interpolação</w:t>
      </w:r>
    </w:p>
    <w:p>
      <w:pPr>
        <w:pStyle w:val="BodyText"/>
        <w:rPr/>
      </w:pPr>
      <w:r>
        <w:rPr>
          <w:rStyle w:val="Strong"/>
        </w:rPr>
        <w:t>Desvantagens: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Menos observações (1999–2024 → 100 pontos aprox.)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Requer trimestralização da Selic e do IPCA</w:t>
      </w:r>
    </w:p>
    <w:p>
      <w:pPr>
        <w:pStyle w:val="Linhahorizontal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"/>
          <w:b/>
          <w:bCs/>
        </w:rPr>
        <w:t>Minha recomendação para o seu artigo</w:t>
      </w:r>
    </w:p>
    <w:p>
      <w:pPr>
        <w:pStyle w:val="BodyText"/>
        <w:rPr/>
      </w:pPr>
      <w:r>
        <w:rPr/>
        <w:t>Use:</w:t>
      </w:r>
    </w:p>
    <w:p>
      <w:pPr>
        <w:pStyle w:val="Heading3"/>
        <w:rPr/>
      </w:pPr>
      <w:r>
        <w:rPr>
          <w:rStyle w:val="Strong"/>
          <w:b/>
          <w:bCs/>
        </w:rPr>
        <w:t>Periodicidade trimestral</w:t>
      </w:r>
    </w:p>
    <w:p>
      <w:pPr>
        <w:pStyle w:val="BodyText"/>
        <w:rPr/>
      </w:pPr>
      <w:r>
        <w:rPr/>
        <w:t xml:space="preserve">→ </w:t>
      </w:r>
      <w:r>
        <w:rPr/>
        <w:t>mais elegante, mais simples, mais coerente com NK e com Determinância.</w:t>
        <w:br/>
        <w:t>→ exatamente o padrão de Blanchard-Kahn, Bullard-Mitra, CGG.</w:t>
      </w:r>
    </w:p>
    <w:p>
      <w:pPr>
        <w:pStyle w:val="BodyText"/>
        <w:rPr/>
      </w:pPr>
      <w:r>
        <w:rPr>
          <w:rStyle w:val="Strong"/>
        </w:rPr>
        <w:t>Como fazer: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Selic → transforme em trimestral (média móvel do trimestre)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IPCA → transforme em trimestre contra trimestre anterior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PIB → já é trimestral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Hiato → já é trimestral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Expectativas Focus → média trimestral das previsões 12 meses à frente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📌 </w:t>
      </w:r>
      <w:r>
        <w:rPr>
          <w:rStyle w:val="Strong"/>
          <w:b/>
          <w:bCs/>
        </w:rPr>
        <w:t>3. Onde baixar cada dado (links diretos)</w:t>
      </w:r>
    </w:p>
    <w:p>
      <w:pPr>
        <w:pStyle w:val="Heading3"/>
        <w:rPr/>
      </w:pPr>
      <w:r>
        <w:rPr>
          <w:rStyle w:val="Strong"/>
          <w:b/>
          <w:bCs/>
        </w:rPr>
        <w:t>Banco Central – SGS (API + download CSV)</w:t>
      </w:r>
    </w:p>
    <w:p>
      <w:pPr>
        <w:pStyle w:val="BodyText"/>
        <w:rPr/>
      </w:pPr>
      <w:hyperlink r:id="rId11">
        <w:r>
          <w:rPr>
            <w:rStyle w:val="Hyperlink"/>
          </w:rPr>
          <w:t>https://dadosabertos.bcb.gov.br/organization/bcdata</w:t>
        </w:r>
      </w:hyperlink>
    </w:p>
    <w:p>
      <w:pPr>
        <w:pStyle w:val="Heading3"/>
        <w:rPr/>
      </w:pPr>
      <w:r>
        <w:rPr>
          <w:rStyle w:val="Strong"/>
          <w:b/>
          <w:bCs/>
        </w:rPr>
        <w:t>IPCA – IBGE SIDRA</w:t>
      </w:r>
    </w:p>
    <w:p>
      <w:pPr>
        <w:pStyle w:val="BodyText"/>
        <w:rPr/>
      </w:pPr>
      <w:hyperlink r:id="rId12">
        <w:r>
          <w:rPr>
            <w:rStyle w:val="Hyperlink"/>
          </w:rPr>
          <w:t>https://sidra.ibge.gov.br/tabela/1737</w:t>
        </w:r>
      </w:hyperlink>
    </w:p>
    <w:p>
      <w:pPr>
        <w:pStyle w:val="Heading3"/>
        <w:rPr/>
      </w:pPr>
      <w:r>
        <w:rPr>
          <w:rStyle w:val="Strong"/>
          <w:b/>
          <w:bCs/>
        </w:rPr>
        <w:t>PIB Trimestral – IBGE SIDRA</w:t>
      </w:r>
    </w:p>
    <w:p>
      <w:pPr>
        <w:pStyle w:val="BodyText"/>
        <w:rPr/>
      </w:pPr>
      <w:hyperlink r:id="rId13">
        <w:r>
          <w:rPr>
            <w:rStyle w:val="Hyperlink"/>
          </w:rPr>
          <w:t>https://sidra.ibge.gov.br/tabela/1620</w:t>
        </w:r>
      </w:hyperlink>
    </w:p>
    <w:p>
      <w:pPr>
        <w:pStyle w:val="Heading3"/>
        <w:rPr/>
      </w:pPr>
      <w:r>
        <w:rPr>
          <w:rStyle w:val="Strong"/>
          <w:b/>
          <w:bCs/>
        </w:rPr>
        <w:t>Expectativas Focus – API oficial</w:t>
      </w:r>
    </w:p>
    <w:p>
      <w:pPr>
        <w:pStyle w:val="BodyText"/>
        <w:rPr/>
      </w:pPr>
      <w:hyperlink r:id="rId14">
        <w:r>
          <w:rPr>
            <w:rStyle w:val="Hyperlink"/>
          </w:rPr>
          <w:t>https://dadosabertos.bcb.gov.br/dataset/expectativas</w:t>
        </w:r>
      </w:hyperlink>
    </w:p>
    <w:p>
      <w:pPr>
        <w:pStyle w:val="Heading3"/>
        <w:rPr/>
      </w:pPr>
      <w:r>
        <w:rPr>
          <w:rStyle w:val="Strong"/>
          <w:b/>
          <w:bCs/>
        </w:rPr>
        <w:t>Hiato do produto – BCB</w:t>
      </w:r>
    </w:p>
    <w:p>
      <w:pPr>
        <w:pStyle w:val="BodyText"/>
        <w:rPr/>
      </w:pPr>
      <w:hyperlink r:id="rId15">
        <w:r>
          <w:rPr>
            <w:rStyle w:val="Hyperlink"/>
          </w:rPr>
          <w:t>https://dadosabertos.bcb.gov.br/dataset/hiato-de-produtividade</w:t>
        </w:r>
      </w:hyperlink>
    </w:p>
    <w:p>
      <w:pPr>
        <w:pStyle w:val="Heading3"/>
        <w:rPr/>
      </w:pPr>
      <w:r>
        <w:rPr>
          <w:rStyle w:val="Strong"/>
          <w:b/>
          <w:bCs/>
        </w:rPr>
        <w:t>IBC-Br (opcional)</w:t>
      </w:r>
    </w:p>
    <w:p>
      <w:pPr>
        <w:pStyle w:val="BodyText"/>
        <w:rPr/>
      </w:pPr>
      <w:hyperlink r:id="rId16">
        <w:r>
          <w:rPr>
            <w:rStyle w:val="Hyperlink"/>
          </w:rPr>
          <w:t>https://dadosabertos.bcb.gov.br/dataset/24363</w:t>
        </w:r>
      </w:hyperlink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📌 </w:t>
      </w:r>
      <w:r>
        <w:rPr>
          <w:rStyle w:val="Strong"/>
          <w:b/>
          <w:bCs/>
        </w:rPr>
        <w:t>4. Resumo final (features + periodicidade)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09"/>
        <w:gridCol w:w="1433"/>
        <w:gridCol w:w="3796"/>
        <w:gridCol w:w="1699"/>
      </w:tblGrid>
      <w:tr>
        <w:trPr>
          <w:tblHeader w:val="true"/>
        </w:trPr>
        <w:tc>
          <w:tcPr>
            <w:tcW w:w="2709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Variável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Símbolo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Periodicidade sugerida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Fonte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Selic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( i_t 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Trimestral (média)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BCB/SGS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Inflação (IPCA)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( \pi_t 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Trimestral (var. trimestral)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IBGE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Expectativas de inflação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(E_t\pi_{t+1})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Trimestral (média trimestral das previsões)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Focus/BCB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PIB real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(y_t)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Trimestral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IBGE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Hiato do produto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(\tilde{y}_t)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Trimestral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BCB ou derivado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Juros natural (opcional)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(r_t^n)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Trimestral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BCB</w:t>
            </w:r>
          </w:p>
        </w:tc>
      </w:tr>
      <w:tr>
        <w:trPr/>
        <w:tc>
          <w:tcPr>
            <w:tcW w:w="270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Proxy de atividade (opcional)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IBC-Br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Mensal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BCB</w:t>
            </w:r>
          </w:p>
        </w:tc>
      </w:tr>
    </w:tbl>
    <w:p>
      <w:pPr>
        <w:pStyle w:val="Linhahorizontal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adosabertos.bcb.gov.br/organization/bcdata" TargetMode="External"/><Relationship Id="rId3" Type="http://schemas.openxmlformats.org/officeDocument/2006/relationships/hyperlink" Target="https://sidra.ibge.gov.br/tabela/1737" TargetMode="External"/><Relationship Id="rId4" Type="http://schemas.openxmlformats.org/officeDocument/2006/relationships/hyperlink" Target="https://sidra.ibge.gov.br/tabela/1736" TargetMode="External"/><Relationship Id="rId5" Type="http://schemas.openxmlformats.org/officeDocument/2006/relationships/hyperlink" Target="https://dadosabertos.bcb.gov.br/dataset/expectativas" TargetMode="External"/><Relationship Id="rId6" Type="http://schemas.openxmlformats.org/officeDocument/2006/relationships/hyperlink" Target="https://sidra.ibge.gov.br/tabela/1620" TargetMode="External"/><Relationship Id="rId7" Type="http://schemas.openxmlformats.org/officeDocument/2006/relationships/hyperlink" Target="https://dadosabertos.bcb.gov.br/dataset/hiato-de-produtividade" TargetMode="External"/><Relationship Id="rId8" Type="http://schemas.openxmlformats.org/officeDocument/2006/relationships/hyperlink" Target="https://dadosabertos.bcb.gov.br/" TargetMode="External"/><Relationship Id="rId9" Type="http://schemas.openxmlformats.org/officeDocument/2006/relationships/hyperlink" Target="https://dadosabertos.bcb.gov.br/dataset/24363" TargetMode="External"/><Relationship Id="rId10" Type="http://schemas.openxmlformats.org/officeDocument/2006/relationships/hyperlink" Target="https://www.bcb.gov.br/controleinflacao/historicotaxasjuros" TargetMode="External"/><Relationship Id="rId11" Type="http://schemas.openxmlformats.org/officeDocument/2006/relationships/hyperlink" Target="https://dadosabertos.bcb.gov.br/organization/bcdata" TargetMode="External"/><Relationship Id="rId12" Type="http://schemas.openxmlformats.org/officeDocument/2006/relationships/hyperlink" Target="https://sidra.ibge.gov.br/tabela/1737" TargetMode="External"/><Relationship Id="rId13" Type="http://schemas.openxmlformats.org/officeDocument/2006/relationships/hyperlink" Target="https://sidra.ibge.gov.br/tabela/1620" TargetMode="External"/><Relationship Id="rId14" Type="http://schemas.openxmlformats.org/officeDocument/2006/relationships/hyperlink" Target="https://dadosabertos.bcb.gov.br/dataset/expectativas" TargetMode="External"/><Relationship Id="rId15" Type="http://schemas.openxmlformats.org/officeDocument/2006/relationships/hyperlink" Target="https://dadosabertos.bcb.gov.br/dataset/hiato-de-produtividade" TargetMode="External"/><Relationship Id="rId16" Type="http://schemas.openxmlformats.org/officeDocument/2006/relationships/hyperlink" Target="https://dadosabertos.bcb.gov.br/dataset/24363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6</Pages>
  <Words>645</Words>
  <Characters>4077</Characters>
  <CharactersWithSpaces>4570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2025-11-29T21:19:05Z</dcterms:created>
  <dc:creator/>
  <dc:description/>
  <dc:language>pt-BR</dc:language>
  <cp:lastModifiedBy/>
  <dcterms:modified xsi:type="dcterms:W3CDTF">2025-11-29T23:35:59Z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