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IDEIAS MODELOS ECONOMÉTRICOS  E MATEMÁTICOS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Refinamentos Críticos na Teoria (Seção 3)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 Armadilha da Indeterminância:</w:t>
      </w:r>
      <w:r>
        <w:rPr/>
        <w:t xml:space="preserve"> Em Macro II, a discussão sobre determinância não é apenas se $\phi_\pi &gt; 1$. Você deve mencionar explicitamente a </w:t>
      </w:r>
      <w:r>
        <w:rPr>
          <w:rStyle w:val="Strong"/>
        </w:rPr>
        <w:t>Região de Indeterminância</w:t>
      </w:r>
      <w:r>
        <w:rPr/>
        <w:t xml:space="preserve"> e o risco de </w:t>
      </w:r>
      <w:r>
        <w:rPr>
          <w:rStyle w:val="Emphasis"/>
        </w:rPr>
        <w:t>sunspot equilibria</w:t>
      </w:r>
      <w:r>
        <w:rPr/>
        <w:t xml:space="preserve"> (equilíbrios de mancha solar). Se o BC não satisfaz o Princípio de Taylor, a economia fica à deriva das expectativas auto-realizáveis.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Emphasis"/>
        </w:rPr>
        <w:t>Dica:</w:t>
      </w:r>
      <w:r>
        <w:rPr/>
        <w:t xml:space="preserve"> Cite </w:t>
      </w:r>
      <w:r>
        <w:rPr>
          <w:rStyle w:val="Strong"/>
        </w:rPr>
        <w:t>Cochrane (2011)</w:t>
      </w:r>
      <w:r>
        <w:rPr/>
        <w:t xml:space="preserve"> ou a crítica Neo-Fisheriana se quiser mostrar erudição sobre os limites do Princípio de Taylor, ou mantenha-se no clássico </w:t>
      </w:r>
      <w:r>
        <w:rPr>
          <w:rStyle w:val="Strong"/>
        </w:rPr>
        <w:t>Woodford (2003)</w:t>
      </w:r>
      <w:r>
        <w:rPr/>
        <w:t xml:space="preserve"> para segurança.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Suavização da Taxa de Juros ($\rho$ vs $\theta$):</w:t>
      </w:r>
      <w:r>
        <w:rPr/>
        <w:t xml:space="preserve"> Na regra híbrida, a distinção entre persistência da política (o BC move os juros devagar) e persistência dos choques (o erro $\varepsilon_t$ é serialmente correlacionado) é crucial.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Emphasis"/>
        </w:rPr>
        <w:t>Sugestão:</w:t>
      </w:r>
      <w:r>
        <w:rPr/>
        <w:t xml:space="preserve"> Use a especificação onde o erro segue um AR(1). Se você não separar isso, pode superestimar o grau de inércia do BCB.</w:t>
      </w:r>
    </w:p>
    <w:p>
      <w:pPr>
        <w:pStyle w:val="Heading2"/>
        <w:bidi w:val="0"/>
        <w:jc w:val="start"/>
        <w:rPr/>
      </w:pPr>
      <w:r>
        <w:rPr/>
        <w:t>2. Sofisticação na Metodologia (Seção 5)</w:t>
      </w:r>
    </w:p>
    <w:p>
      <w:pPr>
        <w:pStyle w:val="BodyText"/>
        <w:bidi w:val="0"/>
        <w:jc w:val="start"/>
        <w:rPr/>
      </w:pPr>
      <w:r>
        <w:rPr/>
        <w:t xml:space="preserve">O GMM é o padrão para regras </w:t>
      </w:r>
      <w:r>
        <w:rPr>
          <w:rStyle w:val="Emphasis"/>
        </w:rPr>
        <w:t>forward-looking</w:t>
      </w:r>
      <w:r>
        <w:rPr/>
        <w:t>, mas tem armadilhas (instrumentos fracos).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Identificação:</w:t>
      </w:r>
      <w:r>
        <w:rPr/>
        <w:t xml:space="preserve"> Ao usar GMM para estimar $i_t = \rho + \phi_\pi E_t\pi_{t+1} + \dots$, você precisará de instrumentos. O padrão é usar defasagens de $\pi$ e $y$.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Teste de Sobreidentificação:</w:t>
      </w:r>
      <w:r>
        <w:rPr/>
        <w:t xml:space="preserve"> Não esqueça do Teste J de Hansen. Se ele falhar, sua especificação da regra está errada (provavelmente variáveis omitidas ou instrumentos inválidos).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Small Sample Bias:</w:t>
      </w:r>
      <w:r>
        <w:rPr/>
        <w:t xml:space="preserve"> Como você vai quebrar a amostra por presidentes do BC (amostras pequenas de ~40-60 observações), o GMM pode ser instável. Considere rodar também um </w:t>
      </w:r>
      <w:r>
        <w:rPr>
          <w:rStyle w:val="Strong"/>
        </w:rPr>
        <w:t>OLS com expectativas do Focus diretamente</w:t>
      </w:r>
      <w:r>
        <w:rPr/>
        <w:t xml:space="preserve"> (substituindo $E_t\pi_{t+1}$ pelos dados do Focus em vez de instrumentar a inflação futura). Isso é muito bem aceito em papers sobre o Brasil .</w:t>
      </w:r>
    </w:p>
    <w:p>
      <w:pPr>
        <w:pStyle w:val="Heading2"/>
        <w:bidi w:val="0"/>
        <w:jc w:val="start"/>
        <w:rPr/>
      </w:pPr>
      <w:r>
        <w:rPr/>
        <w:t>3. A "Pimenta" do Doutorado: Quebras e Regimes</w:t>
      </w:r>
    </w:p>
    <w:p>
      <w:pPr>
        <w:pStyle w:val="BodyText"/>
        <w:bidi w:val="0"/>
        <w:jc w:val="start"/>
        <w:rPr/>
      </w:pPr>
      <w:r>
        <w:rPr/>
        <w:t>A seção de resultados por regimes é onde seu paper vai brilhar.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 Período Tombini (2011-2016):</w:t>
      </w:r>
      <w:r>
        <w:rPr/>
        <w:t xml:space="preserve"> A literatura sugere que houve uma redução na sensibilidade à inflação ($\phi_\pi$ caiu, talvez para perto ou abaixo de 1). Se você encontrar isso empiricamente e conectar com a </w:t>
      </w:r>
      <w:r>
        <w:rPr>
          <w:rStyle w:val="Emphasis"/>
        </w:rPr>
        <w:t>recessão de 2015-2016</w:t>
      </w:r>
      <w:r>
        <w:rPr/>
        <w:t xml:space="preserve"> e a perda de âncora das expectativas, terá uma narrativa poderosa baseada em dados 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 Período Campos Neto (2019-2024):</w:t>
      </w:r>
      <w:r>
        <w:rPr/>
        <w:t xml:space="preserve"> É uma contribuição nova. Pegar o choque da pandemia e a alta de juros recente. Testar se a reação foi "forte o suficiente" estatisticamente é um resultado quente.</w:t>
      </w:r>
    </w:p>
    <w:p>
      <w:pPr>
        <w:pStyle w:val="Heading2"/>
        <w:bidi w:val="0"/>
        <w:jc w:val="start"/>
        <w:rPr/>
      </w:pPr>
      <w:r>
        <w:rPr/>
        <w:t>4. Sugestões de Código (Python/R)</w:t>
      </w:r>
    </w:p>
    <w:p>
      <w:pPr>
        <w:pStyle w:val="BodyText"/>
        <w:bidi w:val="0"/>
        <w:jc w:val="start"/>
        <w:rPr/>
      </w:pPr>
      <w:r>
        <w:rPr/>
        <w:t>Como você programa, evite "caixas pretas".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Para o </w:t>
      </w:r>
      <w:r>
        <w:rPr>
          <w:rStyle w:val="Strong"/>
        </w:rPr>
        <w:t>Hiato do Produto</w:t>
      </w:r>
      <w:r>
        <w:rPr/>
        <w:t>: Não use apenas o filtro HP (Hodrick-Prescott), pois ele tem problemas graves de viés de fim de amostra (</w:t>
      </w:r>
      <w:r>
        <w:rPr>
          <w:rStyle w:val="Emphasis"/>
        </w:rPr>
        <w:t>end-point bias</w:t>
      </w:r>
      <w:r>
        <w:rPr/>
        <w:t xml:space="preserve">). Para um PhD, considere usar o </w:t>
      </w:r>
      <w:r>
        <w:rPr>
          <w:rStyle w:val="Strong"/>
        </w:rPr>
        <w:t>Filtro Hamilton (2018)</w:t>
      </w:r>
      <w:r>
        <w:rPr/>
        <w:t xml:space="preserve"> ou extrair o hiato de uma estimativa de </w:t>
      </w:r>
      <w:r>
        <w:rPr>
          <w:rStyle w:val="Emphasis"/>
        </w:rPr>
        <w:t>Unobserved Components Model</w:t>
      </w:r>
      <w:r>
        <w:rPr/>
        <w:t xml:space="preserve"> (UCM). Isso mostra sofisticação técnica.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Bibliotecas:</w:t>
      </w:r>
      <w:r>
        <w:rPr/>
        <w:t xml:space="preserve"> Em Python, </w:t>
      </w:r>
      <w:r>
        <w:rPr>
          <w:rStyle w:val="Cdigo-fonte"/>
        </w:rPr>
        <w:t>statsmodels</w:t>
      </w:r>
      <w:r>
        <w:rPr/>
        <w:t xml:space="preserve"> resolve o GMM e o filtro HP/Hamilton. Para o Dynare, você terá que usar o Octave ou Matlab, mas pode chamar via Python se quiser manter o fluxo de dados unificado.</w:t>
      </w:r>
    </w:p>
    <w:p>
      <w:pPr>
        <w:pStyle w:val="Heading2"/>
        <w:bidi w:val="0"/>
        <w:jc w:val="start"/>
        <w:rPr/>
      </w:pPr>
      <w:r>
        <w:rPr/>
        <w:t>Checklist de "Sanidade" para a Entrega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Estacionariedade:</w:t>
      </w:r>
      <w:r>
        <w:rPr/>
        <w:t xml:space="preserve"> Teste a raiz unitária de todas as séries. Juros e Inflação no Brasil costumam dar dor de cabeça. Se não forem estacionárias, a teoria assintótica do GMM muda.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Exogeneidade:</w:t>
      </w:r>
      <w:r>
        <w:rPr/>
        <w:t xml:space="preserve"> Discuta se o hiato é contemporâneo ou defasado na regra de Taylor. O BC vê o PIB hoje ou o PIB de ontem? O Focus vê o PIB hoje. Essa sutileza ganha pontos com o professor.</w:t>
      </w:r>
    </w:p>
    <w:p>
      <w:pPr>
        <w:pStyle w:val="BodyText"/>
        <w:bidi w:val="0"/>
        <w:jc w:val="start"/>
        <w:rPr/>
      </w:pPr>
      <w:r>
        <w:rPr/>
        <w:t xml:space="preserve">Essa estrutura está muito sólida. Se você executar bem a econometria (especialmente os testes de robustez e diagnósticos de resíduos), é um trabalho com potencial para nota máxima e conversão em </w:t>
      </w:r>
      <w:r>
        <w:rPr>
          <w:rStyle w:val="Emphasis"/>
        </w:rPr>
        <w:t>working paper</w:t>
      </w:r>
      <w:r>
        <w:rPr/>
        <w:t>. Boa sorte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598</Words>
  <Characters>3052</Characters>
  <CharactersWithSpaces>3615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2025-11-30T00:05:20Z</dcterms:created>
  <dc:creator/>
  <dc:description/>
  <dc:language>pt-BR</dc:language>
  <cp:lastModifiedBy/>
  <dcterms:modified xsi:type="dcterms:W3CDTF">2025-12-02T19:13:06Z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