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 w:before="240" w:after="120"/>
        <w:rPr/>
      </w:pPr>
      <w:bookmarkStart w:id="0" w:name="conceitos_chave_artigo_macroeconomia_ii"/>
      <w:r>
        <w:rPr>
          <w:rFonts w:eastAsia="Georgia" w:cs="Georgia"/>
          <w:b/>
          <w:sz w:val="56"/>
        </w:rPr>
        <w:t>Conceitos-Chave – Artigo Macroeconomia II</w:t>
      </w:r>
      <w:bookmarkEnd w:id="0"/>
    </w:p>
    <w:p>
      <w:pPr>
        <w:pStyle w:val="Normal"/>
        <w:spacing w:lineRule="auto" w:line="271" w:before="240" w:after="120"/>
        <w:rPr/>
      </w:pPr>
      <w:bookmarkStart w:id="1" w:name="regras_de_política_monetária_e_de_ffc7c7"/>
      <w:r>
        <w:rPr>
          <w:rFonts w:eastAsia="Georgia" w:cs="Georgia"/>
          <w:b/>
          <w:sz w:val="42"/>
        </w:rPr>
        <w:t>Regras de Política Monetária e Determinância</w:t>
      </w:r>
      <w:bookmarkEnd w:id="1"/>
    </w:p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/>
      </w:pPr>
      <w:bookmarkStart w:id="2" w:name="bm_1_regime_de_metas_de_inflação"/>
      <w:r>
        <w:rPr>
          <w:rFonts w:eastAsia="Georgia" w:cs="Georgia"/>
          <w:b/>
          <w:sz w:val="42"/>
        </w:rPr>
        <w:t>1. Regime de Metas de Inflação</w:t>
      </w:r>
      <w:bookmarkEnd w:id="2"/>
    </w:p>
    <w:p>
      <w:pPr>
        <w:pStyle w:val="Normal"/>
        <w:spacing w:lineRule="auto" w:line="240" w:before="0" w:after="210"/>
        <w:rPr/>
      </w:pPr>
      <w:r>
        <w:rPr>
          <w:b/>
        </w:rPr>
        <w:t>Definição:</w:t>
      </w:r>
      <w:r>
        <w:rPr/>
        <w:br/>
      </w:r>
      <w:r>
        <w:rPr>
          <w:rFonts w:eastAsia="Georgia" w:cs="Georgia"/>
        </w:rPr>
        <w:t>Framework institucional em que o Banco Central compromete-se publicamente com uma meta numérica de inflação (ou banda de tolerância) no horizonte de médio prazo, usando a taxa de juros como instrumento principal de política.</w:t>
      </w:r>
    </w:p>
    <w:p>
      <w:pPr>
        <w:pStyle w:val="Normal"/>
        <w:spacing w:lineRule="auto" w:line="240" w:before="0" w:after="210"/>
        <w:rPr/>
      </w:pPr>
      <w:r>
        <w:rPr>
          <w:b/>
        </w:rPr>
        <w:t>Elementos Estruturantes (conforme BCB, 1999-presente):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>
          <w:b/>
        </w:rPr>
        <w:t>Meta numérica e transparência:</w:t>
      </w:r>
      <w:r>
        <w:rPr>
          <w:rFonts w:eastAsia="Georgia" w:cs="Georgia"/>
        </w:rPr>
        <w:t xml:space="preserve"> Público conhece antecipadamente o alvo de inflação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>
          <w:b/>
        </w:rPr>
        <w:t>Horizonte de médio prazo:</w:t>
      </w:r>
      <w:r>
        <w:rPr>
          <w:rFonts w:eastAsia="Georgia" w:cs="Georgia"/>
        </w:rPr>
        <w:t xml:space="preserve"> Típico de 12-24 meses, permitindo ajustes graduais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>
          <w:b/>
        </w:rPr>
        <w:t>Responsabilização:</w:t>
      </w:r>
      <w:r>
        <w:rPr>
          <w:rFonts w:eastAsia="Georgia" w:cs="Georgia"/>
        </w:rPr>
        <w:t xml:space="preserve"> O BCB é obrigado a explicar desvios (cartas abertas ao Ministério da Fazenda)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>
          <w:b/>
        </w:rPr>
        <w:t>Operacionalização:</w:t>
      </w:r>
      <w:r>
        <w:rPr>
          <w:rFonts w:eastAsia="Georgia" w:cs="Georgia"/>
        </w:rPr>
        <w:t xml:space="preserve"> Único instrumento é a taxa Selic (taxa de juros de curto prazo)</w:t>
      </w:r>
    </w:p>
    <w:p>
      <w:pPr>
        <w:pStyle w:val="Normal"/>
        <w:spacing w:lineRule="auto" w:line="240" w:before="0" w:after="210"/>
        <w:rPr/>
      </w:pPr>
      <w:r>
        <w:rPr>
          <w:b/>
        </w:rPr>
        <w:t>Particularidade Brasileira: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/>
        <w:t>Implementado desde 1999 (Plano Real consolidado)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>
          <w:rFonts w:eastAsia="Georgia" w:cs="Georgia"/>
        </w:rPr>
        <w:t>Período amostral do seu artigo: 1999-2024 (25 anos de regime único)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>
          <w:b/>
        </w:rPr>
        <w:t>Mudança recente (2025):</w:t>
      </w:r>
      <w:r>
        <w:rPr>
          <w:rFonts w:eastAsia="Georgia" w:cs="Georgia"/>
        </w:rPr>
        <w:t xml:space="preserve"> Transição de meta "anual calendário" para "meta contínua" (rolling 12-meses), aproximando-se do padrão internacional. Isso afeta a calibração do que é "sucesso" ou "falha" do Princípio de Taylor.</w:t>
      </w:r>
    </w:p>
    <w:p>
      <w:pPr>
        <w:pStyle w:val="Normal"/>
        <w:spacing w:lineRule="auto" w:line="240" w:before="0" w:after="210"/>
        <w:rPr/>
      </w:pPr>
      <w:r>
        <w:rPr>
          <w:b/>
        </w:rPr>
        <w:t>Implicação Teórica:</w:t>
      </w:r>
      <w:r>
        <w:rPr/>
        <w:br/>
      </w:r>
      <w:r>
        <w:rPr>
          <w:rFonts w:eastAsia="Georgia" w:cs="Georgia"/>
        </w:rPr>
        <w:t xml:space="preserve">Sob metas de inflação, o BC aceita certo trade-off entre estabilização de inflação e produto, mas hierarquicamente prioriza a inflação. A regra de Taylor emerge como </w:t>
      </w:r>
      <w:r>
        <w:rPr>
          <w:i/>
        </w:rPr>
        <w:t>best practice</w:t>
      </w:r>
      <w:r>
        <w:rPr/>
        <w:t xml:space="preserve"> para operar neste regime.</w:t>
      </w:r>
    </w:p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2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2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/>
      </w:pPr>
      <w:bookmarkStart w:id="3" w:name="bm_2_regras_de_taylor"/>
      <w:r>
        <w:rPr>
          <w:b/>
          <w:sz w:val="42"/>
        </w:rPr>
        <w:t>2. Regras de Taylor</w:t>
      </w:r>
      <w:bookmarkEnd w:id="3"/>
    </w:p>
    <w:p>
      <w:pPr>
        <w:pStyle w:val="Normal"/>
        <w:spacing w:lineRule="auto" w:line="240" w:before="0" w:after="210"/>
        <w:rPr/>
      </w:pPr>
      <w:r>
        <w:rPr>
          <w:b/>
        </w:rPr>
        <w:t>Conceito Geral:</w:t>
      </w:r>
      <w:r>
        <w:rPr/>
        <w:br/>
      </w:r>
      <w:r>
        <w:rPr>
          <w:rFonts w:eastAsia="Georgia" w:cs="Georgia" w:hAnsiTheme="minorHAnsi"/>
          <w:shd w:fill="FFFF00" w:val="clear"/>
        </w:rPr>
        <w:t xml:space="preserve">Regra de política monetária em que o Banco Central define a </w:t>
      </w:r>
      <w:r>
        <w:rPr>
          <w:rFonts w:eastAsia="Georgia" w:cs="Georgia" w:hAnsiTheme="minorHAnsi"/>
          <w:color w:val="00A933"/>
          <w:shd w:fill="FFFF00" w:val="clear"/>
        </w:rPr>
        <w:t>taxa de juros</w:t>
      </w:r>
      <w:r>
        <w:rPr>
          <w:rFonts w:eastAsia="Georgia" w:cs="Georgia" w:hAnsiTheme="minorHAnsi"/>
          <w:shd w:fill="FFFF00" w:val="clear"/>
        </w:rPr>
        <w:t xml:space="preserve"> nominal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eastAsia="Georgia" w:cs="Georgia" w:hAnsiTheme="minorHAnsi"/>
          <w:shd w:fill="FFFF00" w:val="clear"/>
        </w:rPr>
        <w:t xml:space="preserve">) como função de: (i) </w:t>
      </w:r>
      <w:r>
        <w:rPr>
          <w:rFonts w:eastAsia="Georgia" w:cs="Georgia" w:hAnsiTheme="minorHAnsi"/>
          <w:color w:val="00A933"/>
          <w:shd w:fill="FFFF00" w:val="clear"/>
        </w:rPr>
        <w:t>desvios da inflação</w:t>
      </w:r>
      <w:r>
        <w:rPr>
          <w:rFonts w:eastAsia="Georgia" w:cs="Georgia" w:hAnsiTheme="minorHAnsi"/>
          <w:shd w:fill="FFFF00" w:val="clear"/>
        </w:rPr>
        <w:t xml:space="preserve"> da meta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π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π</m:t>
            </m:r>
          </m:e>
          <m:sup>
            <m:r>
              <w:rPr>
                <w:rFonts w:ascii="Cambria Math" w:hAnsi="Cambria Math"/>
              </w:rPr>
              <m:t xml:space="preserve">∗</m:t>
            </m:r>
          </m:sup>
        </m:sSup>
      </m:oMath>
      <w:r>
        <w:rPr>
          <w:rFonts w:eastAsia="Arial" w:cs="DejaVu Sans" w:cstheme="minorBidi" w:eastAsiaTheme="minorHAnsi" w:hAnsiTheme="minorHAnsi"/>
          <w:shd w:fill="FFFF00" w:val="clear"/>
        </w:rPr>
        <w:t xml:space="preserve">), (ii) </w:t>
      </w:r>
      <w:r>
        <w:rPr>
          <w:rFonts w:eastAsia="Arial" w:cs="DejaVu Sans" w:cstheme="minorBidi" w:eastAsiaTheme="minorHAnsi" w:hAnsiTheme="minorHAnsi"/>
          <w:color w:val="000000"/>
          <w:shd w:fill="FFFF00" w:val="clear"/>
        </w:rPr>
        <w:t>desvios do produto</w:t>
      </w:r>
      <w:r>
        <w:rPr>
          <w:rFonts w:eastAsia="Arial" w:cs="DejaVu Sans" w:cstheme="minorBidi" w:eastAsiaTheme="minorHAnsi" w:hAnsiTheme="minorHAnsi"/>
          <w:shd w:fill="FFFF00" w:val="clear"/>
        </w:rPr>
        <w:t xml:space="preserve"> potencial (</w:t>
      </w:r>
      <w:r>
        <w:rPr>
          <w:rFonts w:eastAsia="Arial" w:cs="DejaVu Sans" w:cstheme="minorBidi" w:eastAsiaTheme="minorHAnsi" w:hAnsiTheme="minorHAnsi"/>
          <w:color w:val="00A933"/>
          <w:shd w:fill="FFFF00" w:val="clear"/>
        </w:rPr>
        <w:t>hiato</w:t>
      </w:r>
      <w:r>
        <w:rPr>
          <w:rFonts w:eastAsia="Arial" w:cs="DejaVu Sans" w:cstheme="minorBidi" w:eastAsiaTheme="minorHAnsi" w:hAnsiTheme="minorHAnsi"/>
          <w:shd w:fill="FFFF00" w:val="clear"/>
        </w:rPr>
        <w:t>) { (</w:t>
      </w:r>
      <w:r>
        <w:rPr/>
      </w:r>
      <m:oMath xmlns:m="http://schemas.openxmlformats.org/officeDocument/2006/math">
        <m:sSub>
          <m:e>
            <m:acc>
              <m:accPr>
                <m:chr m:val="´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eastAsia="Georgia" w:cs="Georgia" w:hAnsiTheme="minorHAnsi"/>
          <w:shd w:fill="FFFF00" w:val="clear"/>
        </w:rPr>
        <w:t xml:space="preserve">), e (iii) possível </w:t>
      </w:r>
      <w:r>
        <w:rPr>
          <w:rFonts w:eastAsia="Georgia" w:cs="Georgia" w:hAnsiTheme="minorHAnsi"/>
          <w:color w:val="00A933"/>
          <w:shd w:fill="FFFF00" w:val="clear"/>
        </w:rPr>
        <w:t>inércia</w:t>
      </w:r>
      <w:r>
        <w:rPr>
          <w:rFonts w:eastAsia="Georgia" w:cs="Georgia" w:hAnsiTheme="minorHAnsi"/>
          <w:shd w:fill="FFFF00" w:val="clear"/>
        </w:rPr>
        <w:t xml:space="preserve"> institucional (suavização de taxas).</w:t>
      </w:r>
    </w:p>
    <w:p>
      <w:pPr>
        <w:pStyle w:val="Normal"/>
        <w:spacing w:lineRule="auto" w:line="240" w:before="0" w:after="210"/>
        <w:rPr/>
      </w:pPr>
      <w:r>
        <w:rPr/>
        <w:t xml:space="preserve">Formulada originalmente por </w:t>
      </w:r>
      <w:r>
        <w:rPr>
          <w:rFonts w:eastAsia="Arial" w:cs="DejaVu Sans" w:cstheme="minorBidi" w:eastAsiaTheme="minorHAnsi" w:hAnsiTheme="minorHAnsi"/>
          <w:b/>
          <w:shd w:fill="FFFF00" w:val="clear"/>
        </w:rPr>
        <w:t>John Taylor (1993)</w:t>
      </w:r>
      <w:r>
        <w:rPr>
          <w:rFonts w:eastAsia="Georgia" w:cs="Georgia"/>
        </w:rPr>
        <w:t xml:space="preserve"> baseada na prática histórica do Federal Reserve, ganhou força teórica com o modelo </w:t>
      </w:r>
      <w:r>
        <w:rPr>
          <w:rFonts w:eastAsia="Georgia" w:cs="Georgia" w:hAnsiTheme="minorHAnsi"/>
          <w:shd w:fill="FFFF00" w:val="clear"/>
        </w:rPr>
        <w:t>Novo-Keynesiano (Woodford 2003).</w:t>
      </w:r>
    </w:p>
    <w:p>
      <w:pPr>
        <w:pStyle w:val="Normal"/>
        <w:spacing w:lineRule="auto" w:line="271" w:before="240" w:after="120"/>
        <w:rPr/>
      </w:pPr>
      <w:bookmarkStart w:id="4" w:name="bm_2_1_backward_looking_contempor_60e0db"/>
      <w:r>
        <w:rPr>
          <w:b/>
          <w:sz w:val="33"/>
        </w:rPr>
        <w:t>2.1 Backward-looking</w:t>
      </w:r>
      <w:r>
        <w:rPr>
          <w:rFonts w:eastAsia="Georgia" w:cs="Georgia"/>
          <w:b/>
          <w:sz w:val="33"/>
        </w:rPr>
        <w:t xml:space="preserve"> (Contemporânea ou com Defasagens)</w:t>
      </w:r>
      <w:bookmarkEnd w:id="4"/>
    </w:p>
    <w:p>
      <w:pPr>
        <w:pStyle w:val="Normal"/>
        <w:spacing w:lineRule="auto" w:line="240" w:before="0" w:after="210"/>
        <w:rPr/>
      </w:pPr>
      <w:r>
        <w:rPr>
          <w:b/>
        </w:rPr>
        <w:t>Forma Geral:</w:t>
      </w:r>
    </w:p>
    <w:p>
      <w:pPr>
        <w:pStyle w:val="Normal"/>
        <w:spacing w:lineRule="auto" w:line="240" w:before="0" w:after="21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ρ</m:t>
          </m:r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π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π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y</m:t>
              </m:r>
            </m:sub>
          </m:sSub>
          <m:sSub>
            <m:e>
              <m:acc>
                <m:accPr>
                  <m:chr m:val="´"/>
                </m:acc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</m:oMath>
      </m:oMathPara>
    </w:p>
    <w:p>
      <w:pPr>
        <w:pStyle w:val="Normal"/>
        <w:spacing w:lineRule="auto" w:line="240" w:before="0" w:after="210"/>
        <w:rPr/>
      </w:pPr>
      <w:r>
        <w:rPr/>
        <w:t>Onde: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</m:oMath>
      <w:r>
        <w:rPr/>
        <w:t xml:space="preserve"> </w:t>
      </w:r>
      <w:r>
        <w:rPr/>
        <w:t>= taxa de juros real neutra (ou steady-state nominal)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</m:oMath>
      <w:r>
        <w:rPr>
          <w:rFonts w:eastAsia="Georgia" w:cs="Georgia"/>
        </w:rPr>
        <w:t xml:space="preserve"> </w:t>
      </w:r>
      <w:r>
        <w:rPr>
          <w:rFonts w:eastAsia="Georgia" w:cs="Georgia"/>
        </w:rPr>
        <w:t xml:space="preserve">= coeficiente de reação à inflação (típico: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1</m:t>
        </m:r>
      </m:oMath>
      <w:r>
        <w:rPr>
          <w:rFonts w:eastAsia="Georgia" w:cs="Georgia"/>
        </w:rPr>
        <w:t xml:space="preserve"> para determinância)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y</m:t>
            </m:r>
          </m:sub>
        </m:sSub>
      </m:oMath>
      <w:r>
        <w:rPr>
          <w:rFonts w:eastAsia="Georgia" w:cs="Georgia"/>
        </w:rPr>
        <w:t xml:space="preserve"> </w:t>
      </w:r>
      <w:r>
        <w:rPr>
          <w:rFonts w:eastAsia="Georgia" w:cs="Georgia"/>
        </w:rPr>
        <w:t xml:space="preserve">= coeficiente de reação ao hiato do produto (típico: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&lt;</m:t>
        </m:r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y</m:t>
            </m:r>
          </m:sub>
        </m:sSub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0.5</m:t>
        </m:r>
      </m:oMath>
      <w:r>
        <w:rPr/>
        <w:t>)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ε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eastAsia="Georgia" w:cs="Georgia"/>
        </w:rPr>
        <w:t xml:space="preserve"> </w:t>
      </w:r>
      <w:r>
        <w:rPr>
          <w:rFonts w:eastAsia="Georgia" w:cs="Georgia"/>
        </w:rPr>
        <w:t>= choque de política monetária i.i.d.</w:t>
      </w:r>
    </w:p>
    <w:p>
      <w:pPr>
        <w:pStyle w:val="Normal"/>
        <w:spacing w:lineRule="auto" w:line="240" w:before="0" w:after="210"/>
        <w:rPr/>
      </w:pPr>
      <w:r>
        <w:rPr>
          <w:b/>
        </w:rPr>
        <w:t>Características:</w:t>
      </w:r>
    </w:p>
    <w:p>
      <w:pPr>
        <w:pStyle w:val="Normal"/>
        <w:numPr>
          <w:ilvl w:val="0"/>
          <w:numId w:val="4"/>
        </w:numPr>
        <w:spacing w:lineRule="auto" w:line="240"/>
        <w:rPr/>
      </w:pPr>
      <w:r>
        <w:rPr/>
        <w:t xml:space="preserve">O BC responde ao que </w:t>
      </w:r>
      <w:r>
        <w:rPr>
          <w:i/>
        </w:rPr>
        <w:t>já ocorreu</w:t>
      </w:r>
      <w:r>
        <w:rPr>
          <w:rFonts w:eastAsia="Georgia" w:cs="Georgia"/>
        </w:rPr>
        <w:t xml:space="preserve"> (inflação e hiato observados hoje ou em períodos passados)</w:t>
      </w:r>
    </w:p>
    <w:p>
      <w:pPr>
        <w:pStyle w:val="Normal"/>
        <w:numPr>
          <w:ilvl w:val="0"/>
          <w:numId w:val="4"/>
        </w:numPr>
        <w:spacing w:lineRule="auto" w:line="240"/>
        <w:rPr>
          <w:rFonts w:cstheme="minorBidi" w:eastAsiaTheme="minorHAnsi" w:hAnsiTheme="minorHAnsi"/>
          <w:highlight w:val="none"/>
          <w:shd w:fill="FFFF00" w:val="clear"/>
        </w:rPr>
      </w:pPr>
      <w:r>
        <w:rPr>
          <w:rFonts w:eastAsia="Georgia" w:cs="Georgia" w:hAnsiTheme="minorHAnsi"/>
          <w:shd w:fill="FFFF00" w:val="clear"/>
        </w:rPr>
        <w:t>Mais fácil de estimar econometricamente (MQO com robustez de Newey-West)</w:t>
      </w:r>
    </w:p>
    <w:p>
      <w:pPr>
        <w:pStyle w:val="Normal"/>
        <w:numPr>
          <w:ilvl w:val="0"/>
          <w:numId w:val="4"/>
        </w:numPr>
        <w:spacing w:lineRule="auto" w:line="240"/>
        <w:rPr/>
      </w:pPr>
      <w:r>
        <w:rPr>
          <w:rFonts w:eastAsia="Georgia" w:cs="Georgia"/>
        </w:rPr>
        <w:t>Realista para muitos contextos: o BC não conhece o futuro com perfeição</w:t>
      </w:r>
    </w:p>
    <w:p>
      <w:pPr>
        <w:pStyle w:val="Normal"/>
        <w:spacing w:lineRule="auto" w:line="240" w:before="0" w:after="210"/>
        <w:rPr/>
      </w:pPr>
      <w:r>
        <w:rPr>
          <w:b/>
        </w:rPr>
        <w:t>Crítica Teórica:</w:t>
      </w:r>
      <w:r>
        <w:rPr/>
        <w:br/>
      </w:r>
      <w:r>
        <w:rPr>
          <w:rFonts w:eastAsia="Georgia" w:cs="Georgia" w:hAnsiTheme="minorHAnsi"/>
          <w:shd w:fill="FFFF00" w:val="clear"/>
        </w:rPr>
        <w:t>O modelo Novo-Keynesiano assume expectativas racionais</w:t>
      </w:r>
      <w:r>
        <w:rPr>
          <w:rFonts w:eastAsia="Georgia" w:cs="Georgia"/>
        </w:rPr>
        <w:t>; responder apenas ao passado pode parecer "míope". Porém, em prática, o BC usa dados defasados (PIB trimestral, IPCA mensal).</w:t>
      </w:r>
    </w:p>
    <w:p>
      <w:pPr>
        <w:pStyle w:val="Normal"/>
        <w:spacing w:lineRule="auto" w:line="240" w:before="0" w:after="210"/>
        <w:rPr/>
      </w:pPr>
      <w:r>
        <w:rPr>
          <w:b/>
        </w:rPr>
        <w:t>Estimação para Brasil (seu artigo):</w:t>
      </w:r>
      <w:r>
        <w:rPr/>
        <w:br/>
        <w:t xml:space="preserve">Substitua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π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eastAsia="Georgia" w:cs="Georgia"/>
        </w:rPr>
        <w:t xml:space="preserve"> por IPCA (ou IPCA núcleo), </w:t>
      </w:r>
      <w:r>
        <w:rPr/>
      </w:r>
      <m:oMath xmlns:m="http://schemas.openxmlformats.org/officeDocument/2006/math">
        <m:sSub>
          <m:e>
            <m:acc>
              <m:accPr>
                <m:chr m:val="´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por estimativa de hiato (HP, Hamilton ou UCM),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eastAsia="Georgia" w:cs="Georgia"/>
        </w:rPr>
        <w:t xml:space="preserve"> por Selic meta. Período: 1999-2024 (dados mensais ou trimestrais).</w:t>
      </w:r>
    </w:p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3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3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/>
      </w:pPr>
      <w:bookmarkStart w:id="5" w:name="bm_2_2_forward_looking_clarida_ga_5341ed"/>
      <w:r>
        <w:rPr>
          <w:b/>
          <w:sz w:val="33"/>
        </w:rPr>
        <w:t>2.2 Forward-looking</w:t>
      </w:r>
      <w:r>
        <w:rPr>
          <w:rFonts w:eastAsia="Georgia" w:cs="Georgia"/>
          <w:b/>
          <w:sz w:val="33"/>
        </w:rPr>
        <w:t xml:space="preserve"> (Clarida, Galí &amp; Gertler 2000)</w:t>
      </w:r>
      <w:bookmarkEnd w:id="5"/>
    </w:p>
    <w:p>
      <w:pPr>
        <w:pStyle w:val="Normal"/>
        <w:spacing w:lineRule="auto" w:line="240" w:before="0" w:after="210"/>
        <w:rPr/>
      </w:pPr>
      <w:r>
        <w:rPr>
          <w:b/>
        </w:rPr>
        <w:t>Forma Geral:</w:t>
      </w:r>
    </w:p>
    <w:p>
      <w:pPr>
        <w:pStyle w:val="Normal"/>
        <w:spacing w:lineRule="auto" w:line="240" w:before="0" w:after="21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ρ</m:t>
          </m:r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π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d>
            <m:dPr>
              <m:begChr m:val="["/>
              <m:endChr m:val="]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y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d>
            <m:dPr>
              <m:begChr m:val="["/>
              <m:endChr m:val="]"/>
            </m:dPr>
            <m:e>
              <m:sSub>
                <m:e>
                  <m:acc>
                    <m:accPr>
                      <m:chr m:val="´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</m:oMath>
      </m:oMathPara>
    </w:p>
    <w:p>
      <w:pPr>
        <w:pStyle w:val="Normal"/>
        <w:spacing w:lineRule="auto" w:line="240" w:before="0" w:after="210"/>
        <w:rPr/>
      </w:pPr>
      <w:r>
        <w:rPr/>
        <w:t>Ou mais comumente:</w:t>
      </w:r>
    </w:p>
    <w:p>
      <w:pPr>
        <w:pStyle w:val="Normal"/>
        <w:spacing w:lineRule="auto" w:line="240" w:before="0" w:after="210"/>
        <w:jc w:val="center"/>
        <w:rPr>
          <w:rFonts w:eastAsia="Arial" w:cs="DejaVu Sans" w:cstheme="minorBidi" w:eastAsiaTheme="minorHAnsi" w:hAnsiTheme="minorHAnsi"/>
          <w:highlight w:val="none"/>
          <w:shd w:fill="FFFF00" w:val="clea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ρ</m:t>
          </m:r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π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d>
            <m:dPr>
              <m:begChr m:val="["/>
              <m:endChr m:val="]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h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y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d>
            <m:dPr>
              <m:begChr m:val="["/>
              <m:endChr m:val="]"/>
            </m:dPr>
            <m:e>
              <m:sSub>
                <m:e>
                  <m:acc>
                    <m:accPr>
                      <m:chr m:val="´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h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</m:oMath>
      </m:oMathPara>
    </w:p>
    <w:p>
      <w:pPr>
        <w:pStyle w:val="Normal"/>
        <w:spacing w:lineRule="auto" w:line="240" w:before="0" w:after="210"/>
        <w:rPr/>
      </w:pPr>
      <w:r>
        <w:rPr/>
        <w:t xml:space="preserve">onde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>
          <w:rFonts w:eastAsia="Georgia" w:cs="Georgia"/>
        </w:rPr>
        <w:t xml:space="preserve"> é o horizonte de antecipação (tipicamente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 trimestre ou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</m:oMath>
      <w:r>
        <w:rPr/>
        <w:t xml:space="preserve"> trimestres).</w:t>
      </w:r>
    </w:p>
    <w:p>
      <w:pPr>
        <w:pStyle w:val="Normal"/>
        <w:spacing w:lineRule="auto" w:line="240" w:before="0" w:after="210"/>
        <w:rPr/>
      </w:pPr>
      <w:r>
        <w:rPr>
          <w:b/>
        </w:rPr>
        <w:t>Características:</w:t>
      </w:r>
    </w:p>
    <w:p>
      <w:pPr>
        <w:pStyle w:val="Normal"/>
        <w:numPr>
          <w:ilvl w:val="0"/>
          <w:numId w:val="5"/>
        </w:numPr>
        <w:spacing w:lineRule="auto" w:line="240"/>
        <w:rPr/>
      </w:pPr>
      <w:r>
        <w:rPr>
          <w:rFonts w:eastAsia="Georgia" w:cs="Georgia"/>
        </w:rPr>
        <w:t>O BC responde antecipadamente: vê sinais de inflação futura e age hoje ("forward-looking policy")</w:t>
      </w:r>
    </w:p>
    <w:p>
      <w:pPr>
        <w:pStyle w:val="Normal"/>
        <w:numPr>
          <w:ilvl w:val="0"/>
          <w:numId w:val="5"/>
        </w:numPr>
        <w:spacing w:lineRule="auto" w:line="240"/>
        <w:rPr/>
      </w:pPr>
      <w:r>
        <w:rPr>
          <w:rFonts w:eastAsia="Georgia" w:cs="Georgia"/>
        </w:rPr>
        <w:t>Mais consistente com teoria Novo-Keynesiana e com prática de "forward guidance" moderno</w:t>
      </w:r>
    </w:p>
    <w:p>
      <w:pPr>
        <w:pStyle w:val="Normal"/>
        <w:numPr>
          <w:ilvl w:val="0"/>
          <w:numId w:val="5"/>
        </w:numPr>
        <w:spacing w:lineRule="auto" w:line="240"/>
        <w:rPr/>
      </w:pPr>
      <w:r>
        <w:rPr>
          <w:rFonts w:eastAsia="Georgia" w:cs="Georgia"/>
        </w:rPr>
        <w:t>Pressupõe que o BC tem informação sobre expectativas (surveys, mercado financeiro)</w:t>
      </w:r>
    </w:p>
    <w:p>
      <w:pPr>
        <w:pStyle w:val="Normal"/>
        <w:spacing w:lineRule="auto" w:line="240" w:before="0" w:after="210"/>
        <w:rPr/>
      </w:pPr>
      <w:r>
        <w:rPr>
          <w:b/>
        </w:rPr>
        <w:t>Operacionalização para Brasil:</w:t>
      </w:r>
      <w:r>
        <w:rPr/>
        <w:br/>
      </w:r>
      <w:r>
        <w:rPr>
          <w:rFonts w:eastAsia="Georgia" w:cs="Georgia"/>
        </w:rPr>
        <w:t>Não há perfeitamente dados de expectativas trimestrais, mas temos:</w:t>
      </w:r>
    </w:p>
    <w:p>
      <w:pPr>
        <w:pStyle w:val="Normal"/>
        <w:numPr>
          <w:ilvl w:val="0"/>
          <w:numId w:val="6"/>
        </w:numPr>
        <w:spacing w:lineRule="auto" w:line="240"/>
        <w:rPr/>
      </w:pPr>
      <w:r>
        <w:rPr>
          <w:b/>
        </w:rPr>
        <w:t>Focus</w:t>
      </w:r>
      <w:r>
        <w:rPr>
          <w:rFonts w:eastAsia="Georgia" w:cs="Georgia"/>
        </w:rPr>
        <w:t xml:space="preserve"> (banco de dados FGV/BCB): expectativas mensais de analistas para inflação 12-meses</w:t>
      </w:r>
    </w:p>
    <w:p>
      <w:pPr>
        <w:pStyle w:val="Normal"/>
        <w:numPr>
          <w:ilvl w:val="0"/>
          <w:numId w:val="6"/>
        </w:numPr>
        <w:spacing w:lineRule="auto" w:line="240"/>
        <w:rPr/>
      </w:pPr>
      <w:r>
        <w:rPr/>
        <w:t xml:space="preserve">Usar Focus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d>
          <m:dPr>
            <m:begChr m:val="[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12</m:t>
                </m:r>
              </m:sub>
            </m:sSub>
          </m:e>
        </m:d>
      </m:oMath>
      <w:r>
        <w:rPr>
          <w:rFonts w:eastAsia="Georgia" w:cs="Georgia"/>
        </w:rPr>
        <w:t xml:space="preserve"> como proxy para expectativas de médio prazo</w:t>
      </w:r>
    </w:p>
    <w:p>
      <w:pPr>
        <w:pStyle w:val="Normal"/>
        <w:numPr>
          <w:ilvl w:val="0"/>
          <w:numId w:val="6"/>
        </w:numPr>
        <w:spacing w:lineRule="auto" w:line="240"/>
        <w:rPr/>
      </w:pPr>
      <w:r>
        <w:rPr/>
        <w:t>Para o hiato, mais desafiador: recorrer ao HIE (</w:t>
      </w:r>
      <w:r>
        <w:rPr>
          <w:i/>
        </w:rPr>
        <w:t>hiato do Instituto de Economia</w:t>
      </w:r>
      <w:r>
        <w:rPr>
          <w:rFonts w:eastAsia="Georgia" w:cs="Georgia"/>
        </w:rPr>
        <w:t>) ou própria estimativa UCM</w:t>
      </w:r>
    </w:p>
    <w:p>
      <w:pPr>
        <w:pStyle w:val="Normal"/>
        <w:spacing w:lineRule="auto" w:line="240" w:before="0" w:after="210"/>
        <w:rPr/>
      </w:pPr>
      <w:r>
        <w:rPr>
          <w:b/>
        </w:rPr>
        <w:t>Estimação:</w:t>
      </w:r>
      <w:r>
        <w:rPr/>
        <w:br/>
      </w:r>
      <w:r>
        <w:rPr>
          <w:rFonts w:eastAsia="Georgia" w:cs="Georgia" w:hAnsiTheme="minorHAnsi"/>
          <w:shd w:fill="FFFF00" w:val="clear"/>
        </w:rPr>
        <w:t xml:space="preserve">GMM com instrumentos defasados (Clarida et al. 2000). </w:t>
      </w:r>
      <w:r>
        <w:rPr>
          <w:rFonts w:eastAsia="Georgia" w:cs="Georgia"/>
        </w:rPr>
        <w:t xml:space="preserve">Instrumentos válidos: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π</m:t>
            </m:r>
          </m:e>
          <m:sub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π</m:t>
            </m:r>
          </m:e>
          <m:sub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>, etc.</w:t>
      </w:r>
    </w:p>
    <w:p>
      <w:pPr>
        <w:pStyle w:val="Normal"/>
        <w:spacing w:lineRule="auto" w:line="240" w:before="0" w:after="210"/>
        <w:rPr/>
      </w:pPr>
      <w:r>
        <w:rPr>
          <w:b/>
        </w:rPr>
        <w:t>Cuidado Crítico:</w:t>
      </w:r>
      <w:r>
        <w:rPr>
          <w:rFonts w:eastAsia="Georgia" w:cs="Georgia"/>
        </w:rPr>
        <w:t xml:space="preserve"> Teste J de Hansen. Se p-value baixo, seus instrumentos são fracos ou a especificação está errada (variáveis omitidas, mudança estrutural).</w:t>
      </w:r>
    </w:p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4" name="Forma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4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/>
      </w:pPr>
      <w:bookmarkStart w:id="6" w:name="bm_2_3_híbrida_com_suavização_inércia"/>
      <w:r>
        <w:rPr>
          <w:b/>
          <w:sz w:val="33"/>
        </w:rPr>
        <w:t>2.3 Híbrida</w:t>
      </w:r>
      <w:r>
        <w:rPr>
          <w:rFonts w:eastAsia="Georgia" w:cs="Georgia"/>
          <w:b/>
          <w:sz w:val="33"/>
        </w:rPr>
        <w:t xml:space="preserve"> (com Suavização/Inércia)</w:t>
      </w:r>
      <w:bookmarkEnd w:id="6"/>
    </w:p>
    <w:p>
      <w:pPr>
        <w:pStyle w:val="Normal"/>
        <w:spacing w:lineRule="auto" w:line="240" w:before="0" w:after="210"/>
        <w:rPr/>
      </w:pPr>
      <w:r>
        <w:rPr>
          <w:b/>
        </w:rPr>
        <w:t>Forma Geral (com Suavização de Taxa de Juros):</w:t>
      </w:r>
    </w:p>
    <w:p>
      <w:pPr>
        <w:pStyle w:val="Normal"/>
        <w:spacing w:lineRule="auto" w:line="240" w:before="0" w:after="21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θ</m:t>
          </m:r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θ</m:t>
          </m:r>
          <m:r>
            <w:rPr>
              <w:rFonts w:ascii="Cambria Math" w:hAnsi="Cambria Math"/>
            </w:rPr>
            <m:t xml:space="preserve">)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ρ</m:t>
              </m:r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ϕ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π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ϕ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y</m:t>
                  </m:r>
                </m:sub>
              </m:sSub>
              <m:sSub>
                <m:e>
                  <m:acc>
                    <m:accPr>
                      <m:chr m:val="´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</m:oMath>
      </m:oMathPara>
    </w:p>
    <w:p>
      <w:pPr>
        <w:pStyle w:val="Normal"/>
        <w:spacing w:lineRule="auto" w:line="240" w:before="0" w:after="210"/>
        <w:rPr/>
      </w:pPr>
      <w:r>
        <w:rPr/>
        <w:t>ou equivalentemente:</w:t>
      </w:r>
    </w:p>
    <w:p>
      <w:pPr>
        <w:pStyle w:val="Normal"/>
        <w:spacing w:lineRule="auto" w:line="240" w:before="0" w:after="21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θ</m:t>
          </m:r>
          <m:r>
            <w:rPr>
              <w:rFonts w:ascii="Cambria Math" w:hAnsi="Cambria Math"/>
            </w:rPr>
            <m:t xml:space="preserve">)</m:t>
          </m:r>
          <m:d>
            <m:dPr>
              <m:begChr m:val="["/>
              <m:endChr m:val="]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ϕ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π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ϕ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y</m:t>
                  </m:r>
                </m:sub>
              </m:sSub>
              <m:sSub>
                <m:e>
                  <m:acc>
                    <m:accPr>
                      <m:chr m:val="´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</m:oMath>
      </m:oMathPara>
    </w:p>
    <w:p>
      <w:pPr>
        <w:pStyle w:val="Normal"/>
        <w:spacing w:lineRule="auto" w:line="240" w:before="0" w:after="210"/>
        <w:rPr/>
      </w:pPr>
      <w:r>
        <w:rPr/>
        <w:t>Onde:</w:t>
      </w:r>
    </w:p>
    <w:p>
      <w:pPr>
        <w:pStyle w:val="Normal"/>
        <w:numPr>
          <w:ilvl w:val="0"/>
          <w:numId w:val="7"/>
        </w:numPr>
        <w:spacing w:lineRule="auto" w:line="240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eastAsia="Georgia" w:cs="Georgia"/>
        </w:rPr>
        <w:t xml:space="preserve"> </w:t>
      </w:r>
      <w:r>
        <w:rPr>
          <w:rFonts w:eastAsia="Georgia" w:cs="Georgia"/>
        </w:rPr>
        <w:t xml:space="preserve">= coeficiente de inércia (quanto maior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</m:oMath>
      <w:r>
        <w:rPr/>
        <w:t>, mais lento o ajuste da taxa)</w:t>
      </w:r>
    </w:p>
    <w:p>
      <w:pPr>
        <w:pStyle w:val="Normal"/>
        <w:numPr>
          <w:ilvl w:val="0"/>
          <w:numId w:val="7"/>
        </w:numPr>
        <w:spacing w:lineRule="auto" w:line="240"/>
        <w:rPr/>
      </w:pPr>
      <w:r>
        <w:rPr>
          <w:rFonts w:eastAsia="Georgia" w:cs="Georgia"/>
        </w:rPr>
        <w:t xml:space="preserve">Típico para Brasil: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0.6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0.8</m:t>
        </m:r>
      </m:oMath>
    </w:p>
    <w:p>
      <w:pPr>
        <w:pStyle w:val="Normal"/>
        <w:spacing w:lineRule="auto" w:line="240" w:before="0" w:after="210"/>
        <w:rPr/>
      </w:pPr>
      <w:r>
        <w:rPr>
          <w:b/>
        </w:rPr>
        <w:t>Forma Alternativa (com Defasagens de Determinantes):</w:t>
      </w:r>
    </w:p>
    <w:p>
      <w:pPr>
        <w:pStyle w:val="Normal"/>
        <w:spacing w:lineRule="auto" w:line="240" w:before="0" w:after="21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ρ</m:t>
          </m:r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π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π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π</m:t>
              </m:r>
            </m:sub>
            <m:sup>
              <m:r>
                <w:rPr>
                  <w:rFonts w:ascii="Cambria Math" w:hAnsi="Cambria Math"/>
                </w:rPr>
                <m:t xml:space="preserve">ℓ</m:t>
              </m:r>
            </m:sup>
          </m:sSubSup>
          <m:sSub>
            <m:e>
              <m:r>
                <w:rPr>
                  <w:rFonts w:ascii="Cambria Math" w:hAnsi="Cambria Math"/>
                </w:rPr>
                <m:t xml:space="preserve">π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y</m:t>
              </m:r>
            </m:sub>
          </m:sSub>
          <m:sSub>
            <m:e>
              <m:acc>
                <m:accPr>
                  <m:chr m:val="´"/>
                </m:acc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y</m:t>
              </m:r>
            </m:sub>
            <m:sup>
              <m:r>
                <w:rPr>
                  <w:rFonts w:ascii="Cambria Math" w:hAnsi="Cambria Math"/>
                </w:rPr>
                <m:t xml:space="preserve">ℓ</m:t>
              </m:r>
            </m:sup>
          </m:sSubSup>
          <m:sSub>
            <m:e>
              <m:acc>
                <m:accPr>
                  <m:chr m:val="´"/>
                </m:acc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</m:oMath>
      </m:oMathPara>
    </w:p>
    <w:p>
      <w:pPr>
        <w:pStyle w:val="Normal"/>
        <w:spacing w:lineRule="auto" w:line="240" w:before="0" w:after="210"/>
        <w:rPr/>
      </w:pPr>
      <w:r>
        <w:rPr/>
        <w:t>Chamada "partial adjustment" ou "gradual policy response."</w:t>
      </w:r>
    </w:p>
    <w:p>
      <w:pPr>
        <w:pStyle w:val="Normal"/>
        <w:spacing w:lineRule="auto" w:line="240" w:before="0" w:after="210"/>
        <w:rPr/>
      </w:pPr>
      <w:r>
        <w:rPr>
          <w:b/>
        </w:rPr>
        <w:t>Por que existe inércia?</w:t>
      </w:r>
    </w:p>
    <w:p>
      <w:pPr>
        <w:pStyle w:val="Normal"/>
        <w:numPr>
          <w:ilvl w:val="0"/>
          <w:numId w:val="8"/>
        </w:numPr>
        <w:spacing w:lineRule="auto" w:line="240"/>
        <w:rPr/>
      </w:pPr>
      <w:r>
        <w:rPr>
          <w:b/>
        </w:rPr>
        <w:t>Institucional:</w:t>
      </w:r>
      <w:r>
        <w:rPr>
          <w:rFonts w:eastAsia="Georgia" w:cs="Georgia"/>
        </w:rPr>
        <w:t xml:space="preserve"> O BC não quer enviar sinal de mudança radical (credibilidade)</w:t>
      </w:r>
    </w:p>
    <w:p>
      <w:pPr>
        <w:pStyle w:val="Normal"/>
        <w:numPr>
          <w:ilvl w:val="0"/>
          <w:numId w:val="8"/>
        </w:numPr>
        <w:spacing w:lineRule="auto" w:line="240"/>
        <w:rPr/>
      </w:pPr>
      <w:r>
        <w:rPr>
          <w:b/>
        </w:rPr>
        <w:t>Informacional:</w:t>
      </w:r>
      <w:r>
        <w:rPr/>
        <w:t xml:space="preserve"> Dados saem com defasagens; o BC aprende gradualmente</w:t>
      </w:r>
    </w:p>
    <w:p>
      <w:pPr>
        <w:pStyle w:val="Normal"/>
        <w:numPr>
          <w:ilvl w:val="0"/>
          <w:numId w:val="8"/>
        </w:numPr>
        <w:spacing w:lineRule="auto" w:line="240"/>
        <w:rPr/>
      </w:pPr>
      <w:r>
        <w:rPr>
          <w:b/>
        </w:rPr>
        <w:t>Político:</w:t>
      </w:r>
      <w:r>
        <w:rPr>
          <w:rFonts w:eastAsia="Georgia" w:cs="Georgia"/>
        </w:rPr>
        <w:t xml:space="preserve"> Aumentos abruptos de juros causam pressão política; suavização é pragmática</w:t>
      </w:r>
    </w:p>
    <w:p>
      <w:pPr>
        <w:pStyle w:val="Normal"/>
        <w:numPr>
          <w:ilvl w:val="0"/>
          <w:numId w:val="8"/>
        </w:numPr>
        <w:spacing w:lineRule="auto" w:line="240"/>
        <w:rPr/>
      </w:pPr>
      <w:r>
        <w:rPr>
          <w:b/>
        </w:rPr>
        <w:t>Modelagem:</w:t>
      </w:r>
      <w:r>
        <w:rPr>
          <w:rFonts w:eastAsia="Georgia" w:cs="Georgia"/>
        </w:rPr>
        <w:t xml:space="preserve"> Captura comportamento real do Copom (decisões graduais)</w:t>
      </w:r>
    </w:p>
    <w:p>
      <w:pPr>
        <w:pStyle w:val="Normal"/>
        <w:spacing w:lineRule="auto" w:line="240" w:before="0" w:after="210"/>
        <w:rPr/>
      </w:pPr>
      <w:r>
        <w:rPr>
          <w:b/>
        </w:rPr>
        <w:t>Estimação:</w:t>
      </w:r>
      <w:r>
        <w:rPr/>
        <w:br/>
      </w:r>
      <w:r>
        <w:rPr>
          <w:rFonts w:eastAsia="Georgia" w:cs="Georgia"/>
        </w:rPr>
        <w:t>OLS com erros-padrão robustos (Newey-West) frequentemente suficiente; alternativamente, GMM.</w:t>
      </w:r>
    </w:p>
    <w:p>
      <w:pPr>
        <w:pStyle w:val="Normal"/>
        <w:spacing w:lineRule="auto" w:line="240" w:before="0" w:after="210"/>
        <w:rPr/>
      </w:pPr>
      <w:r>
        <w:rPr>
          <w:b/>
        </w:rPr>
        <w:t>Crítica Teórica:</w:t>
      </w:r>
      <w:r>
        <w:rPr/>
        <w:br/>
      </w:r>
      <w:r>
        <w:rPr>
          <w:rFonts w:eastAsia="Georgia" w:cs="Georgia"/>
        </w:rPr>
        <w:t>A inércia pode viesar para cima a medida de reação efetiva à inflação. Separe:</w:t>
      </w:r>
    </w:p>
    <w:p>
      <w:pPr>
        <w:pStyle w:val="Normal"/>
        <w:numPr>
          <w:ilvl w:val="0"/>
          <w:numId w:val="9"/>
        </w:numPr>
        <w:spacing w:lineRule="auto" w:line="240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</m:oMath>
      <w:r>
        <w:rPr>
          <w:rFonts w:eastAsia="Georgia" w:cs="Georgia"/>
        </w:rPr>
        <w:t xml:space="preserve"> </w:t>
      </w:r>
      <w:r>
        <w:rPr>
          <w:rFonts w:eastAsia="Georgia" w:cs="Georgia"/>
        </w:rPr>
        <w:t xml:space="preserve">captura suavização da </w:t>
      </w:r>
      <w:r>
        <w:rPr>
          <w:i/>
        </w:rPr>
        <w:t>trajetória de política</w:t>
      </w:r>
    </w:p>
    <w:p>
      <w:pPr>
        <w:pStyle w:val="Normal"/>
        <w:numPr>
          <w:ilvl w:val="0"/>
          <w:numId w:val="9"/>
        </w:numPr>
        <w:spacing w:lineRule="auto" w:line="24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</m:oMath>
      <w:r>
        <w:rPr>
          <w:rFonts w:eastAsia="Georgia" w:cs="Georgia"/>
        </w:rPr>
        <w:t xml:space="preserve"> </w:t>
      </w:r>
      <w:r>
        <w:rPr>
          <w:rFonts w:eastAsia="Georgia" w:cs="Georgia"/>
        </w:rPr>
        <w:t>captura reação verdadeira ao desvio de inflação</w:t>
      </w:r>
    </w:p>
    <w:p>
      <w:pPr>
        <w:pStyle w:val="Normal"/>
        <w:spacing w:lineRule="auto" w:line="240" w:before="0" w:after="210"/>
        <w:rPr/>
      </w:pPr>
      <w:r>
        <w:rPr>
          <w:rFonts w:eastAsia="Georgia" w:cs="Georgia"/>
        </w:rPr>
        <w:t>Se você não fizer essa separação, pode concluir que o BC é "passivo" quando na verdade é ativo mas gradualista.</w:t>
      </w:r>
    </w:p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5" name="Forma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5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/>
      </w:pPr>
      <w:bookmarkStart w:id="7" w:name="bm_3_princípio_de_taylor"/>
      <w:r>
        <w:rPr>
          <w:rFonts w:eastAsia="Georgia" w:cs="Georgia"/>
          <w:b/>
          <w:sz w:val="42"/>
        </w:rPr>
        <w:t>3. Princípio de Taylor</w:t>
      </w:r>
      <w:bookmarkEnd w:id="7"/>
    </w:p>
    <w:p>
      <w:pPr>
        <w:pStyle w:val="Normal"/>
        <w:spacing w:lineRule="auto" w:line="240" w:before="0" w:after="210"/>
        <w:rPr/>
      </w:pPr>
      <w:r>
        <w:rPr>
          <w:b/>
        </w:rPr>
        <w:t>Enunciado:</w:t>
      </w:r>
      <w:r>
        <w:rPr/>
        <w:br/>
        <w:t xml:space="preserve">O Banco Central satisfaz o </w:t>
      </w:r>
      <w:r>
        <w:rPr>
          <w:b/>
        </w:rPr>
        <w:t>Princípio de Taylor</w:t>
      </w:r>
      <w:r>
        <w:rPr/>
        <w:t xml:space="preserve"> quando aumenta a taxa de juros nominal (real) </w:t>
      </w:r>
      <w:r>
        <w:rPr>
          <w:i/>
        </w:rPr>
        <w:t>mais do que proporcionalmente</w:t>
      </w:r>
      <w:r>
        <w:rPr>
          <w:rFonts w:eastAsia="Georgia" w:cs="Georgia"/>
        </w:rPr>
        <w:t xml:space="preserve"> ao aumento de inflação. Formalmente:</w:t>
      </w:r>
    </w:p>
    <w:p>
      <w:pPr>
        <w:pStyle w:val="Normal"/>
        <w:spacing w:lineRule="auto" w:line="240" w:before="0" w:after="21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d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d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π</m:t>
              </m:r>
            </m:sub>
          </m:sSub>
          <m:r>
            <w:rPr>
              <w:rFonts w:ascii="Cambria Math" w:hAnsi="Cambria Math"/>
            </w:rPr>
            <m:t xml:space="preserve">&gt;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Normal"/>
        <w:spacing w:lineRule="auto" w:line="240" w:before="0" w:after="210"/>
        <w:rPr/>
      </w:pPr>
      <w:r>
        <w:rPr>
          <w:b/>
        </w:rPr>
        <w:t>Interpretação Econômica:</w:t>
      </w:r>
    </w:p>
    <w:p>
      <w:pPr>
        <w:pStyle w:val="Normal"/>
        <w:spacing w:lineRule="auto" w:line="240" w:before="0" w:after="210"/>
        <w:rPr/>
      </w:pPr>
      <w:r>
        <w:rPr>
          <w:rFonts w:eastAsia="Georgia" w:cs="Georgia"/>
        </w:rPr>
        <w:t xml:space="preserve">Se inflação sobe em 1 p.p., o BC sobe a taxa nominal em mais de 1 p.p., aumentando </w:t>
      </w:r>
      <w:r>
        <w:rPr>
          <w:i/>
        </w:rPr>
        <w:t>efetivamente</w:t>
      </w:r>
      <w:r>
        <w:rPr>
          <w:rFonts w:eastAsia="Georgia" w:cs="Georgia"/>
        </w:rPr>
        <w:t xml:space="preserve"> a taxa real, o que encarece o crédito e reduz a demanda agregada, trazendo a inflação de volta.</w:t>
      </w:r>
    </w:p>
    <w:p>
      <w:pPr>
        <w:pStyle w:val="Normal"/>
        <w:spacing w:lineRule="auto" w:line="240" w:before="0" w:after="210"/>
        <w:rPr/>
      </w:pPr>
      <w:r>
        <w:rPr>
          <w:b/>
        </w:rPr>
        <w:t>Intuição:</w:t>
      </w:r>
    </w:p>
    <w:p>
      <w:pPr>
        <w:pStyle w:val="Normal"/>
        <w:numPr>
          <w:ilvl w:val="0"/>
          <w:numId w:val="10"/>
        </w:numPr>
        <w:spacing w:lineRule="auto" w:line="24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1</m:t>
        </m:r>
      </m:oMath>
      <w:r>
        <w:rPr>
          <w:rFonts w:eastAsia="Georgia" w:cs="Georgia"/>
        </w:rPr>
        <w:t xml:space="preserve">: BC é </w:t>
      </w:r>
      <w:r>
        <w:rPr>
          <w:b/>
        </w:rPr>
        <w:t>"acomodatício"</w:t>
      </w:r>
      <w:r>
        <w:rPr>
          <w:rFonts w:eastAsia="Georgia" w:cs="Georgia"/>
        </w:rPr>
        <w:t xml:space="preserve"> — não fecha a tesoura suficientemente; inflação ganha inercia</w:t>
      </w:r>
    </w:p>
    <w:p>
      <w:pPr>
        <w:pStyle w:val="Normal"/>
        <w:numPr>
          <w:ilvl w:val="0"/>
          <w:numId w:val="10"/>
        </w:numPr>
        <w:spacing w:lineRule="auto" w:line="24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eastAsia="Georgia" w:cs="Georgia"/>
        </w:rPr>
        <w:t xml:space="preserve">: BC apenas acompanha a inflação em termos nominais (taxa real constante) — </w:t>
      </w:r>
      <w:r>
        <w:rPr>
          <w:b/>
        </w:rPr>
        <w:t>passivo</w:t>
      </w:r>
    </w:p>
    <w:p>
      <w:pPr>
        <w:pStyle w:val="Normal"/>
        <w:numPr>
          <w:ilvl w:val="0"/>
          <w:numId w:val="10"/>
        </w:numPr>
        <w:spacing w:lineRule="auto" w:line="24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: BC </w:t>
      </w:r>
      <w:r>
        <w:rPr>
          <w:b/>
        </w:rPr>
        <w:t>aperta a política</w:t>
      </w:r>
      <w:r>
        <w:rPr>
          <w:rFonts w:eastAsia="Georgia" w:cs="Georgia"/>
        </w:rPr>
        <w:t xml:space="preserve"> em termos reais quando inflação sobe — </w:t>
      </w:r>
      <w:r>
        <w:rPr>
          <w:b/>
        </w:rPr>
        <w:t>ativo</w:t>
      </w:r>
    </w:p>
    <w:p>
      <w:pPr>
        <w:pStyle w:val="Normal"/>
        <w:spacing w:lineRule="auto" w:line="240" w:before="0" w:after="210"/>
        <w:rPr/>
      </w:pPr>
      <w:r>
        <w:rPr>
          <w:b/>
        </w:rPr>
        <w:t>Conexão com Determinância:</w:t>
      </w:r>
      <w:r>
        <w:rPr/>
        <w:br/>
      </w:r>
      <w:r>
        <w:rPr>
          <w:rFonts w:eastAsia="Georgia" w:cs="Georgia"/>
        </w:rPr>
        <w:t xml:space="preserve">O Princípio de Taylor é </w:t>
      </w:r>
      <w:r>
        <w:rPr>
          <w:i/>
        </w:rPr>
        <w:t>condição necessária</w:t>
      </w:r>
      <w:r>
        <w:rPr>
          <w:rFonts w:eastAsia="Georgia" w:cs="Georgia"/>
        </w:rPr>
        <w:t xml:space="preserve"> (mas não suficiente) para que o modelo NK tenha um equilíbrio único (</w:t>
      </w:r>
      <w:r>
        <w:rPr>
          <w:i/>
        </w:rPr>
        <w:t>determinate</w:t>
      </w:r>
      <w:r>
        <w:rPr>
          <w:rFonts w:eastAsia="Georgia" w:cs="Georgia"/>
        </w:rPr>
        <w:t>). Sem ele, há múltiplos equilíbrios (</w:t>
      </w:r>
      <w:r>
        <w:rPr>
          <w:i/>
        </w:rPr>
        <w:t>sunspot equilibria</w:t>
      </w:r>
      <w:r>
        <w:rPr>
          <w:rFonts w:eastAsia="Georgia" w:cs="Georgia"/>
        </w:rPr>
        <w:t>) e as expectativas podem ser auto-realizáveis.</w:t>
      </w:r>
    </w:p>
    <w:p>
      <w:pPr>
        <w:pStyle w:val="Normal"/>
        <w:spacing w:lineRule="auto" w:line="240" w:before="0" w:after="210"/>
        <w:rPr/>
      </w:pPr>
      <w:r>
        <w:rPr>
          <w:b/>
        </w:rPr>
        <w:t>Evidência Histórica:</w:t>
      </w:r>
    </w:p>
    <w:p>
      <w:pPr>
        <w:pStyle w:val="Normal"/>
        <w:numPr>
          <w:ilvl w:val="0"/>
          <w:numId w:val="11"/>
        </w:numPr>
        <w:spacing w:lineRule="auto" w:line="240"/>
        <w:rPr/>
      </w:pPr>
      <w:r>
        <w:rPr>
          <w:b/>
        </w:rPr>
        <w:t>Volcker/Greenspan (Fed, 1980s-2000s):</w:t>
      </w:r>
      <w:r>
        <w:rPr/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1.5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2.0</m:t>
        </m:r>
      </m:oMath>
      <w:r>
        <w:rPr>
          <w:rFonts w:eastAsia="Georgia" w:cs="Georgia"/>
        </w:rPr>
        <w:t>, satisfaz Princípio → Determinância</w:t>
      </w:r>
    </w:p>
    <w:p>
      <w:pPr>
        <w:pStyle w:val="Normal"/>
        <w:numPr>
          <w:ilvl w:val="0"/>
          <w:numId w:val="11"/>
        </w:numPr>
        <w:spacing w:lineRule="auto" w:line="240"/>
        <w:rPr/>
      </w:pPr>
      <w:r>
        <w:rPr>
          <w:b/>
        </w:rPr>
        <w:t>Brasil, 1999-2010:</w:t>
      </w:r>
      <w:r>
        <w:rPr/>
        <w:t xml:space="preserve"> Estimativas sugerem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1</m:t>
        </m:r>
      </m:oMath>
      <w:r>
        <w:rPr>
          <w:rFonts w:eastAsia="Georgia" w:cs="Georgia"/>
        </w:rPr>
        <w:t xml:space="preserve"> (Minella et al. 2003) → Regime de metas bem fundamentado</w:t>
      </w:r>
    </w:p>
    <w:p>
      <w:pPr>
        <w:pStyle w:val="Normal"/>
        <w:numPr>
          <w:ilvl w:val="0"/>
          <w:numId w:val="11"/>
        </w:numPr>
        <w:spacing w:lineRule="auto" w:line="240"/>
        <w:rPr/>
      </w:pPr>
      <w:r>
        <w:rPr>
          <w:b/>
        </w:rPr>
        <w:t>Brasil, 2011-2016 (Tombini):</w:t>
      </w:r>
      <w:r>
        <w:rPr>
          <w:rFonts w:eastAsia="Georgia" w:cs="Georgia"/>
        </w:rPr>
        <w:t xml:space="preserve"> Possível redução para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  <m:r>
          <w:rPr>
            <w:rFonts w:ascii="Cambria Math" w:hAnsi="Cambria Math"/>
          </w:rPr>
          <m:t xml:space="preserve">≲</m:t>
        </m:r>
        <m:r>
          <w:rPr>
            <w:rFonts w:ascii="Cambria Math" w:hAnsi="Cambria Math"/>
          </w:rPr>
          <m:t xml:space="preserve">1.2</m:t>
        </m:r>
      </m:oMath>
      <w:r>
        <w:rPr>
          <w:rFonts w:eastAsia="Georgia" w:cs="Georgia"/>
        </w:rPr>
        <w:t xml:space="preserve"> → Debate sobre credibilidade</w:t>
      </w:r>
    </w:p>
    <w:p>
      <w:pPr>
        <w:pStyle w:val="Normal"/>
        <w:numPr>
          <w:ilvl w:val="0"/>
          <w:numId w:val="11"/>
        </w:numPr>
        <w:spacing w:lineRule="auto" w:line="240"/>
        <w:rPr/>
      </w:pPr>
      <w:r>
        <w:rPr>
          <w:b/>
        </w:rPr>
        <w:t>Brasil, 2022-2024:</w:t>
      </w:r>
      <w:r>
        <w:rPr>
          <w:rFonts w:eastAsia="Georgia" w:cs="Georgia"/>
        </w:rPr>
        <w:t xml:space="preserve"> Alta de juros agressiva sugere reação forte →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</m:oMath>
      <w:r>
        <w:rPr/>
        <w:t xml:space="preserve"> elevado de novo</w:t>
      </w:r>
    </w:p>
    <w:p>
      <w:pPr>
        <w:pStyle w:val="Normal"/>
        <w:spacing w:lineRule="auto" w:line="240" w:before="0" w:after="210"/>
        <w:rPr/>
      </w:pPr>
      <w:r>
        <w:rPr>
          <w:b/>
        </w:rPr>
        <w:t>Seu Artigo:</w:t>
      </w:r>
      <w:r>
        <w:rPr/>
        <w:br/>
        <w:t xml:space="preserve">Testar empiricamente se cada </w:t>
      </w:r>
      <w:r>
        <w:rPr>
          <w:i/>
        </w:rPr>
        <w:t>regime de presidente do BCB</w:t>
      </w:r>
      <w:r>
        <w:rPr>
          <w:rFonts w:eastAsia="Georgia" w:cs="Georgia"/>
        </w:rPr>
        <w:t xml:space="preserve"> satisfez o Princípio, conectando com períodos de maior/menor inflação e credibilidade.</w:t>
      </w:r>
    </w:p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6" name="Forma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6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/>
      </w:pPr>
      <w:bookmarkStart w:id="8" w:name="bm_4_modelo_novo_keynesiano_nkpc"/>
      <w:r>
        <w:rPr>
          <w:b/>
          <w:sz w:val="42"/>
        </w:rPr>
        <w:t>4. Modelo Novo-Keynesiano (NKPC)</w:t>
      </w:r>
      <w:bookmarkEnd w:id="8"/>
    </w:p>
    <w:p>
      <w:pPr>
        <w:pStyle w:val="Normal"/>
        <w:spacing w:lineRule="auto" w:line="271" w:before="240" w:after="120"/>
        <w:rPr/>
      </w:pPr>
      <w:bookmarkStart w:id="9" w:name="bm_4_1_curva_de_phillips_novo_key_b6f345"/>
      <w:r>
        <w:rPr>
          <w:b/>
          <w:sz w:val="33"/>
        </w:rPr>
        <w:t>4.1 Curva de Phillips Novo-Keynesiana (NKPC)</w:t>
      </w:r>
      <w:bookmarkEnd w:id="9"/>
    </w:p>
    <w:p>
      <w:pPr>
        <w:pStyle w:val="Normal"/>
        <w:spacing w:lineRule="auto" w:line="240" w:before="0" w:after="210"/>
        <w:rPr/>
      </w:pPr>
      <w:r>
        <w:rPr>
          <w:b/>
        </w:rPr>
        <w:t>Forma Padrão:</w:t>
      </w:r>
    </w:p>
    <w:p>
      <w:pPr>
        <w:pStyle w:val="Normal"/>
        <w:spacing w:lineRule="auto" w:line="240" w:before="0" w:after="21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π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β</m:t>
          </m:r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d>
            <m:dPr>
              <m:begChr m:val="["/>
              <m:endChr m:val="]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κ</m:t>
          </m:r>
          <m:sSub>
            <m:e>
              <m:acc>
                <m:accPr>
                  <m:chr m:val="´"/>
                </m:acc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u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</m:oMath>
      </m:oMathPara>
    </w:p>
    <w:p>
      <w:pPr>
        <w:pStyle w:val="Normal"/>
        <w:spacing w:lineRule="auto" w:line="240" w:before="0" w:after="210"/>
        <w:rPr/>
      </w:pPr>
      <w:r>
        <w:rPr/>
        <w:t>Onde:</w:t>
      </w:r>
    </w:p>
    <w:p>
      <w:pPr>
        <w:pStyle w:val="Normal"/>
        <w:numPr>
          <w:ilvl w:val="0"/>
          <w:numId w:val="12"/>
        </w:numPr>
        <w:spacing w:lineRule="auto" w:line="24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π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eastAsia="Georgia" w:cs="Georgia"/>
        </w:rPr>
        <w:t xml:space="preserve"> </w:t>
      </w:r>
      <w:r>
        <w:rPr>
          <w:rFonts w:eastAsia="Georgia" w:cs="Georgia"/>
        </w:rPr>
        <w:t xml:space="preserve">= inflação no período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>
          <w:rFonts w:eastAsia="Georgia" w:cs="Georgia"/>
        </w:rPr>
        <w:t xml:space="preserve"> (taxa ou log-diferença do nível de preços)</w:t>
      </w:r>
    </w:p>
    <w:p>
      <w:pPr>
        <w:pStyle w:val="Normal"/>
        <w:numPr>
          <w:ilvl w:val="0"/>
          <w:numId w:val="12"/>
        </w:numPr>
        <w:spacing w:lineRule="auto" w:line="240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</m:oMath>
      <w:r>
        <w:rPr>
          <w:rFonts w:eastAsia="Georgia" w:cs="Georgia"/>
        </w:rPr>
        <w:t xml:space="preserve"> </w:t>
      </w:r>
      <w:r>
        <w:rPr>
          <w:rFonts w:eastAsia="Georgia" w:cs="Georgia"/>
        </w:rPr>
        <w:t xml:space="preserve">= fator de desconto (típico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0.99</m:t>
        </m:r>
      </m:oMath>
      <w:r>
        <w:rPr/>
        <w:t xml:space="preserve"> quarterly)</w:t>
      </w:r>
    </w:p>
    <w:p>
      <w:pPr>
        <w:pStyle w:val="Normal"/>
        <w:numPr>
          <w:ilvl w:val="0"/>
          <w:numId w:val="12"/>
        </w:numPr>
        <w:spacing w:lineRule="auto" w:line="24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d>
          <m:dPr>
            <m:begChr m:val="[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d>
      </m:oMath>
      <w:r>
        <w:rPr>
          <w:rFonts w:eastAsia="Georgia" w:cs="Georgia"/>
        </w:rPr>
        <w:t xml:space="preserve"> </w:t>
      </w:r>
      <w:r>
        <w:rPr>
          <w:rFonts w:eastAsia="Georgia" w:cs="Georgia"/>
        </w:rPr>
        <w:t>= expectativa racional de inflação futura</w:t>
      </w:r>
    </w:p>
    <w:p>
      <w:pPr>
        <w:pStyle w:val="Normal"/>
        <w:numPr>
          <w:ilvl w:val="0"/>
          <w:numId w:val="12"/>
        </w:numPr>
        <w:spacing w:lineRule="auto" w:line="240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κ</m:t>
        </m:r>
      </m:oMath>
      <w:r>
        <w:rPr>
          <w:rFonts w:eastAsia="Georgia" w:cs="Georgia"/>
        </w:rPr>
        <w:t xml:space="preserve"> </w:t>
      </w:r>
      <w:r>
        <w:rPr>
          <w:rFonts w:eastAsia="Georgia" w:cs="Georgia"/>
        </w:rPr>
        <w:t xml:space="preserve">= parâmetro de inclinação (slope), típico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κ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0.01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0.1</m:t>
        </m:r>
        <m:r>
          <w:rPr>
            <w:rFonts w:ascii="Cambria Math" w:hAnsi="Cambria Math"/>
          </w:rPr>
          <m:t xml:space="preserve">)</m:t>
        </m:r>
      </m:oMath>
      <w:r>
        <w:rPr/>
        <w:t xml:space="preserve"> para grandes economias</w:t>
      </w:r>
    </w:p>
    <w:p>
      <w:pPr>
        <w:pStyle w:val="Normal"/>
        <w:numPr>
          <w:ilvl w:val="0"/>
          <w:numId w:val="12"/>
        </w:numPr>
        <w:spacing w:lineRule="auto" w:line="240"/>
        <w:rPr/>
      </w:pPr>
      <w:r>
        <w:rPr/>
      </w:r>
      <m:oMath xmlns:m="http://schemas.openxmlformats.org/officeDocument/2006/math">
        <m:sSub>
          <m:e>
            <m:acc>
              <m:accPr>
                <m:chr m:val="´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</w:t>
      </w:r>
      <w:r>
        <w:rPr/>
        <w:t>= hiato do produto (desvio do PIB do potencial)</w:t>
      </w:r>
    </w:p>
    <w:p>
      <w:pPr>
        <w:pStyle w:val="Normal"/>
        <w:numPr>
          <w:ilvl w:val="0"/>
          <w:numId w:val="12"/>
        </w:numPr>
        <w:spacing w:lineRule="auto" w:line="24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</w:t>
      </w:r>
      <w:r>
        <w:rPr/>
        <w:t>= choque de custo (supply shock), i.i.d. ou AR(1)</w:t>
      </w:r>
    </w:p>
    <w:p>
      <w:pPr>
        <w:pStyle w:val="Normal"/>
        <w:spacing w:lineRule="auto" w:line="240" w:before="0" w:after="210"/>
        <w:rPr/>
      </w:pPr>
      <w:r>
        <w:rPr>
          <w:b/>
        </w:rPr>
        <w:t>Derivação Micro:</w:t>
      </w:r>
      <w:r>
        <w:rPr/>
        <w:br/>
      </w:r>
      <w:r>
        <w:rPr>
          <w:rFonts w:eastAsia="Georgia" w:cs="Georgia"/>
        </w:rPr>
        <w:t>Obtém-se pela combinação de:</w:t>
      </w:r>
    </w:p>
    <w:p>
      <w:pPr>
        <w:pStyle w:val="Normal"/>
        <w:numPr>
          <w:ilvl w:val="0"/>
          <w:numId w:val="13"/>
        </w:numPr>
        <w:spacing w:lineRule="auto" w:line="240"/>
        <w:rPr/>
      </w:pPr>
      <w:r>
        <w:rPr>
          <w:rFonts w:eastAsia="Georgia" w:cs="Georgia"/>
        </w:rPr>
        <w:t xml:space="preserve">Firmas com rigidez de preços </w:t>
      </w:r>
      <w:r>
        <w:rPr>
          <w:i/>
        </w:rPr>
        <w:t>à la</w:t>
      </w:r>
      <w:r>
        <w:rPr>
          <w:rFonts w:eastAsia="Georgia" w:cs="Georgia"/>
        </w:rPr>
        <w:t xml:space="preserve"> Calvo (fração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α</m:t>
        </m:r>
      </m:oMath>
      <w:r>
        <w:rPr>
          <w:rFonts w:eastAsia="Georgia" w:cs="Georgia"/>
        </w:rPr>
        <w:t xml:space="preserve"> pode reajustar preço a cada período)</w:t>
      </w:r>
    </w:p>
    <w:p>
      <w:pPr>
        <w:pStyle w:val="Normal"/>
        <w:numPr>
          <w:ilvl w:val="0"/>
          <w:numId w:val="13"/>
        </w:numPr>
        <w:spacing w:lineRule="auto" w:line="240"/>
        <w:rPr/>
      </w:pPr>
      <w:r>
        <w:rPr/>
        <w:t>Demanda elasticidade constante</w:t>
      </w:r>
    </w:p>
    <w:p>
      <w:pPr>
        <w:pStyle w:val="Normal"/>
        <w:numPr>
          <w:ilvl w:val="0"/>
          <w:numId w:val="13"/>
        </w:numPr>
        <w:spacing w:lineRule="auto" w:line="240"/>
        <w:rPr/>
      </w:pPr>
      <w:r>
        <w:rPr/>
        <w:t>Custos marginais crescentes</w:t>
      </w:r>
    </w:p>
    <w:p>
      <w:pPr>
        <w:pStyle w:val="Normal"/>
        <w:spacing w:lineRule="auto" w:line="240" w:before="0" w:after="210"/>
        <w:rPr/>
      </w:pPr>
      <w:r>
        <w:rPr>
          <w:rFonts w:eastAsia="Georgia" w:cs="Georgia"/>
        </w:rPr>
        <w:t>Resultado: os preços hoje refletem (i) expectativas de inflação futura (forward-looking), (ii) condições correntes de demanda (hiato).</w:t>
      </w:r>
    </w:p>
    <w:p>
      <w:pPr>
        <w:pStyle w:val="Normal"/>
        <w:spacing w:lineRule="auto" w:line="240" w:before="0" w:after="210"/>
        <w:rPr/>
      </w:pPr>
      <w:r>
        <w:rPr>
          <w:b/>
        </w:rPr>
        <w:t>Intuição:</w:t>
      </w:r>
    </w:p>
    <w:p>
      <w:pPr>
        <w:pStyle w:val="Normal"/>
        <w:numPr>
          <w:ilvl w:val="0"/>
          <w:numId w:val="14"/>
        </w:numPr>
        <w:spacing w:lineRule="auto" w:line="240"/>
        <w:rPr/>
      </w:pPr>
      <w:r>
        <w:rPr>
          <w:rFonts w:eastAsia="Georgia" w:cs="Georgia"/>
        </w:rPr>
        <w:t>Se firmas esperam inflação alta no futuro, repassam para hoje ("inflation expectations channel")</w:t>
      </w:r>
    </w:p>
    <w:p>
      <w:pPr>
        <w:pStyle w:val="Normal"/>
        <w:numPr>
          <w:ilvl w:val="0"/>
          <w:numId w:val="14"/>
        </w:numPr>
        <w:spacing w:lineRule="auto" w:line="240"/>
        <w:rPr/>
      </w:pPr>
      <w:r>
        <w:rPr>
          <w:rFonts w:eastAsia="Georgia" w:cs="Georgia"/>
        </w:rPr>
        <w:t>Se há demanda excessiva (hiato positivo), firmas aumentam preços</w:t>
      </w:r>
    </w:p>
    <w:p>
      <w:pPr>
        <w:pStyle w:val="Normal"/>
        <w:spacing w:lineRule="auto" w:line="240" w:before="0" w:after="210"/>
        <w:rPr/>
      </w:pPr>
      <w:r>
        <w:rPr>
          <w:b/>
        </w:rPr>
        <w:t>Calibração para Brasil (seu artigo):</w:t>
      </w:r>
    </w:p>
    <w:p>
      <w:pPr>
        <w:pStyle w:val="Normal"/>
        <w:numPr>
          <w:ilvl w:val="0"/>
          <w:numId w:val="15"/>
        </w:numPr>
        <w:spacing w:lineRule="auto" w:line="240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0.99</m:t>
        </m:r>
      </m:oMath>
      <w:r>
        <w:rPr/>
        <w:t xml:space="preserve"> </w:t>
      </w:r>
      <w:r>
        <w:rPr/>
        <w:t xml:space="preserve">(quarterly) ou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0.9975</m:t>
        </m:r>
      </m:oMath>
      <w:r>
        <w:rPr/>
        <w:t xml:space="preserve"> (monthly)</w:t>
      </w:r>
    </w:p>
    <w:p>
      <w:pPr>
        <w:pStyle w:val="Normal"/>
        <w:numPr>
          <w:ilvl w:val="0"/>
          <w:numId w:val="15"/>
        </w:numPr>
        <w:spacing w:lineRule="auto" w:line="240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κ</m:t>
        </m:r>
      </m:oMath>
      <w:r>
        <w:rPr>
          <w:rFonts w:eastAsia="Georgia" w:cs="Georgia"/>
        </w:rPr>
        <w:t xml:space="preserve"> </w:t>
      </w:r>
      <w:r>
        <w:rPr>
          <w:rFonts w:eastAsia="Georgia" w:cs="Georgia"/>
        </w:rPr>
        <w:t>exige calibração: depende do grau de rigidez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</m:oMath>
      <w:r>
        <w:rPr/>
        <w:t>), elasticidade de demanda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</m:oMath>
      <w:r>
        <w:rPr>
          <w:rFonts w:eastAsia="Georgia" w:cs="Georgia"/>
        </w:rPr>
        <w:t xml:space="preserve">), fração de trabalho. Tipicamente: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κ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α</m:t>
            </m:r>
            <m:r>
              <w:rPr>
                <w:rFonts w:ascii="Cambria Math" w:hAnsi="Cambria Math"/>
              </w:rPr>
              <m:t xml:space="preserve">)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α</m:t>
            </m:r>
            <m:r>
              <w:rPr>
                <w:rFonts w:ascii="Cambria Math" w:hAnsi="Cambria Math"/>
              </w:rPr>
              <m:t xml:space="preserve">β</m:t>
            </m:r>
            <m:r>
              <w:rPr>
                <w:rFonts w:ascii="Cambria Math" w:hAnsi="Cambria Math"/>
              </w:rPr>
              <m:t xml:space="preserve">)</m:t>
            </m:r>
          </m:num>
          <m:den>
            <m:r>
              <w:rPr>
                <w:rFonts w:ascii="Cambria Math" w:hAnsi="Cambria Math"/>
              </w:rPr>
              <m:t xml:space="preserve">α</m:t>
            </m:r>
          </m:den>
        </m:f>
      </m:oMath>
      <w:r>
        <w:rPr/>
        <w:t xml:space="preserve"> onde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)</m:t>
        </m:r>
      </m:oMath>
      <w:r>
        <w:rPr>
          <w:rFonts w:eastAsia="Georgia" w:cs="Georgia"/>
        </w:rPr>
        <w:t xml:space="preserve"> = fração de firmas que reajustam</w:t>
      </w:r>
    </w:p>
    <w:p>
      <w:pPr>
        <w:pStyle w:val="Normal"/>
        <w:numPr>
          <w:ilvl w:val="0"/>
          <w:numId w:val="15"/>
        </w:numPr>
        <w:spacing w:lineRule="auto" w:line="240"/>
        <w:rPr/>
      </w:pPr>
      <w:r>
        <w:rPr/>
        <w:t xml:space="preserve">Para Brasil: literatura sugere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κ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0.03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0.05</m:t>
        </m:r>
      </m:oMath>
      <w:r>
        <w:rPr/>
        <w:t xml:space="preserve"> (trimestral)</w:t>
      </w:r>
    </w:p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7" name="Forma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7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/>
      </w:pPr>
      <w:bookmarkStart w:id="10" w:name="bm_4_2_dinâmica_da_nkpc_em_contex_fb01d2"/>
      <w:r>
        <w:rPr>
          <w:b/>
          <w:sz w:val="33"/>
        </w:rPr>
        <w:t>4.2 Dinâmica da NKPC em Contexto Brasileiro</w:t>
      </w:r>
      <w:bookmarkEnd w:id="10"/>
    </w:p>
    <w:p>
      <w:pPr>
        <w:pStyle w:val="Normal"/>
        <w:spacing w:lineRule="auto" w:line="240" w:before="0" w:after="210"/>
        <w:rPr/>
      </w:pPr>
      <w:r>
        <w:rPr>
          <w:rFonts w:eastAsia="Georgia" w:cs="Georgia"/>
        </w:rPr>
        <w:t xml:space="preserve">A NKPC acima é "pura" forward-looking. Versão </w:t>
      </w:r>
      <w:r>
        <w:rPr>
          <w:i/>
        </w:rPr>
        <w:t>híbrida</w:t>
      </w:r>
      <w:r>
        <w:rPr/>
        <w:t xml:space="preserve"> (mais realista para Brasil):</w:t>
      </w:r>
    </w:p>
    <w:p>
      <w:pPr>
        <w:pStyle w:val="Normal"/>
        <w:spacing w:lineRule="auto" w:line="240" w:before="0" w:after="21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π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γ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d>
            <m:dPr>
              <m:begChr m:val="["/>
              <m:endChr m:val="]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γ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π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κ</m:t>
          </m:r>
          <m:sSub>
            <m:e>
              <m:acc>
                <m:accPr>
                  <m:chr m:val="´"/>
                </m:acc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u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</m:oMath>
      </m:oMathPara>
    </w:p>
    <w:p>
      <w:pPr>
        <w:pStyle w:val="Normal"/>
        <w:spacing w:lineRule="auto" w:line="240" w:before="0" w:after="210"/>
        <w:rPr/>
      </w:pPr>
      <w:r>
        <w:rPr/>
        <w:t xml:space="preserve">onde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γ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γ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1</m:t>
        </m:r>
      </m:oMath>
      <w:r>
        <w:rPr>
          <w:rFonts w:eastAsia="Georgia" w:cs="Georgia"/>
        </w:rPr>
        <w:t xml:space="preserve"> são pesos nas expectativas futuras vs. inflação passada.</w:t>
      </w:r>
    </w:p>
    <w:p>
      <w:pPr>
        <w:pStyle w:val="Normal"/>
        <w:spacing w:lineRule="auto" w:line="240" w:before="0" w:after="210"/>
        <w:rPr/>
      </w:pPr>
      <w:r>
        <w:rPr>
          <w:b/>
        </w:rPr>
        <w:t>Por que útil para Brasil?</w:t>
      </w:r>
    </w:p>
    <w:p>
      <w:pPr>
        <w:pStyle w:val="Normal"/>
        <w:numPr>
          <w:ilvl w:val="0"/>
          <w:numId w:val="16"/>
        </w:numPr>
        <w:spacing w:lineRule="auto" w:line="240"/>
        <w:rPr/>
      </w:pPr>
      <w:r>
        <w:rPr>
          <w:rFonts w:eastAsia="Georgia" w:cs="Georgia"/>
        </w:rPr>
        <w:t>Inflação brasileira mostra inércia (valores passados importam)</w:t>
      </w:r>
    </w:p>
    <w:p>
      <w:pPr>
        <w:pStyle w:val="Normal"/>
        <w:numPr>
          <w:ilvl w:val="0"/>
          <w:numId w:val="16"/>
        </w:numPr>
        <w:spacing w:lineRule="auto" w:line="240"/>
        <w:rPr/>
      </w:pPr>
      <w:r>
        <w:rPr>
          <w:rFonts w:eastAsia="Georgia" w:cs="Georgia"/>
        </w:rPr>
        <w:t>Expectativas não são perfeitamente racionais; há "aprendizado adaptativo"</w:t>
      </w:r>
    </w:p>
    <w:p>
      <w:pPr>
        <w:pStyle w:val="Normal"/>
        <w:numPr>
          <w:ilvl w:val="0"/>
          <w:numId w:val="16"/>
        </w:numPr>
        <w:spacing w:lineRule="auto" w:line="240"/>
        <w:rPr/>
      </w:pPr>
      <w:r>
        <w:rPr>
          <w:rFonts w:eastAsia="Georgia" w:cs="Georgia"/>
        </w:rPr>
        <w:t>Credibilidade do BCB ainda em construção (vs. desenvolvidos)</w:t>
      </w:r>
    </w:p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8" name="Forma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8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/>
      </w:pPr>
      <w:bookmarkStart w:id="11" w:name="bm_5_is_dinâmica"/>
      <w:r>
        <w:rPr>
          <w:rFonts w:eastAsia="Georgia" w:cs="Georgia"/>
          <w:b/>
          <w:sz w:val="42"/>
        </w:rPr>
        <w:t>5. IS Dinâmica</w:t>
      </w:r>
      <w:bookmarkEnd w:id="11"/>
    </w:p>
    <w:p>
      <w:pPr>
        <w:pStyle w:val="Normal"/>
        <w:spacing w:lineRule="auto" w:line="240" w:before="0" w:after="210"/>
        <w:rPr/>
      </w:pPr>
      <w:r>
        <w:rPr>
          <w:b/>
        </w:rPr>
        <w:t>Forma Padrão:</w:t>
      </w:r>
    </w:p>
    <w:p>
      <w:pPr>
        <w:pStyle w:val="Normal"/>
        <w:spacing w:lineRule="auto" w:line="240" w:before="0" w:after="21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acc>
                <m:accPr>
                  <m:chr m:val="´"/>
                </m:acc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d>
            <m:dPr>
              <m:begChr m:val="["/>
              <m:endChr m:val="]"/>
            </m:dPr>
            <m:e>
              <m:sSub>
                <m:e>
                  <m:acc>
                    <m:accPr>
                      <m:chr m:val="´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σ</m:t>
              </m:r>
            </m:den>
          </m:f>
          <m:r>
            <w:rPr>
              <w:rFonts w:ascii="Cambria Math" w:hAnsi="Cambria Math"/>
            </w:rPr>
            <m:t xml:space="preserve">(</m:t>
          </m:r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d>
            <m:dPr>
              <m:begChr m:val="["/>
              <m:endChr m:val="]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−</m:t>
          </m:r>
          <m:sSubSup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</m:sSubSup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</m:oMath>
      </m:oMathPara>
    </w:p>
    <w:p>
      <w:pPr>
        <w:pStyle w:val="Normal"/>
        <w:spacing w:lineRule="auto" w:line="240" w:before="0" w:after="210"/>
        <w:rPr/>
      </w:pPr>
      <w:r>
        <w:rPr/>
        <w:t>Onde:</w:t>
      </w:r>
    </w:p>
    <w:p>
      <w:pPr>
        <w:pStyle w:val="Normal"/>
        <w:numPr>
          <w:ilvl w:val="0"/>
          <w:numId w:val="17"/>
        </w:numPr>
        <w:spacing w:lineRule="auto" w:line="240"/>
        <w:rPr/>
      </w:pPr>
      <w:r>
        <w:rPr/>
      </w:r>
      <m:oMath xmlns:m="http://schemas.openxmlformats.org/officeDocument/2006/math">
        <m:sSub>
          <m:e>
            <m:acc>
              <m:accPr>
                <m:chr m:val="´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</w:t>
      </w:r>
      <w:r>
        <w:rPr/>
        <w:t>= hiato do produto</w:t>
      </w:r>
    </w:p>
    <w:p>
      <w:pPr>
        <w:pStyle w:val="Normal"/>
        <w:numPr>
          <w:ilvl w:val="0"/>
          <w:numId w:val="17"/>
        </w:numPr>
        <w:spacing w:lineRule="auto" w:line="24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d>
          <m:dPr>
            <m:begChr m:val="["/>
            <m:endChr m:val="]"/>
          </m:dPr>
          <m:e>
            <m:sSub>
              <m:e>
                <m:acc>
                  <m:accPr>
                    <m:chr m:val="´"/>
                  </m:acc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d>
      </m:oMath>
      <w:r>
        <w:rPr/>
        <w:t xml:space="preserve"> </w:t>
      </w:r>
      <w:r>
        <w:rPr/>
        <w:t>= expectativa racional do hiato futuro (forward-looking, como consumo esperado)</w:t>
      </w:r>
    </w:p>
    <w:p>
      <w:pPr>
        <w:pStyle w:val="Normal"/>
        <w:numPr>
          <w:ilvl w:val="0"/>
          <w:numId w:val="17"/>
        </w:numPr>
        <w:spacing w:lineRule="auto" w:line="24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</w:t>
      </w:r>
      <w:r>
        <w:rPr/>
        <w:t>= taxa de juros nominal</w:t>
      </w:r>
    </w:p>
    <w:p>
      <w:pPr>
        <w:pStyle w:val="Normal"/>
        <w:numPr>
          <w:ilvl w:val="0"/>
          <w:numId w:val="17"/>
        </w:numPr>
        <w:spacing w:lineRule="auto" w:line="24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d>
          <m:dPr>
            <m:begChr m:val="[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d>
      </m:oMath>
      <w:r>
        <w:rPr>
          <w:rFonts w:eastAsia="Georgia" w:cs="Georgia"/>
        </w:rPr>
        <w:t xml:space="preserve"> </w:t>
      </w:r>
      <w:r>
        <w:rPr>
          <w:rFonts w:eastAsia="Georgia" w:cs="Georgia"/>
        </w:rPr>
        <w:t>= expectativa de inflação</w:t>
      </w:r>
    </w:p>
    <w:p>
      <w:pPr>
        <w:pStyle w:val="Normal"/>
        <w:numPr>
          <w:ilvl w:val="0"/>
          <w:numId w:val="17"/>
        </w:numPr>
        <w:spacing w:lineRule="auto" w:line="24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d>
          <m:dPr>
            <m:begChr m:val="[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d>
      </m:oMath>
      <w:r>
        <w:rPr/>
        <w:t xml:space="preserve"> </w:t>
      </w:r>
      <w:r>
        <w:rPr/>
        <w:t>= taxa de juros real ex-ante (taxa real esperada)</w:t>
      </w:r>
    </w:p>
    <w:p>
      <w:pPr>
        <w:pStyle w:val="Normal"/>
        <w:numPr>
          <w:ilvl w:val="0"/>
          <w:numId w:val="17"/>
        </w:numPr>
        <w:spacing w:lineRule="auto" w:line="240"/>
        <w:rPr/>
      </w:pP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  <m:sup>
            <m:r>
              <w:rPr>
                <w:rFonts w:ascii="Cambria Math" w:hAnsi="Cambria Math"/>
              </w:rPr>
              <m:t xml:space="preserve">n</m:t>
            </m:r>
          </m:sup>
        </m:sSubSup>
      </m:oMath>
      <w:r>
        <w:rPr/>
        <w:t xml:space="preserve"> </w:t>
      </w:r>
      <w:r>
        <w:rPr/>
        <w:t>= taxa natural de juros (ou real neutra: taxa que stabiliza produto em potencial)</w:t>
      </w:r>
    </w:p>
    <w:p>
      <w:pPr>
        <w:pStyle w:val="Normal"/>
        <w:numPr>
          <w:ilvl w:val="0"/>
          <w:numId w:val="17"/>
        </w:numPr>
        <w:spacing w:lineRule="auto" w:line="240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σ</m:t>
        </m:r>
      </m:oMath>
      <w:r>
        <w:rPr>
          <w:rFonts w:eastAsia="Georgia" w:cs="Georgia"/>
        </w:rPr>
        <w:t xml:space="preserve"> </w:t>
      </w:r>
      <w:r>
        <w:rPr>
          <w:rFonts w:eastAsia="Georgia" w:cs="Georgia"/>
        </w:rPr>
        <w:t>= elasticidade intertemporal de substituição (quanto maior, menos sensível o consumo a mudanças em taxa real)</w:t>
      </w:r>
    </w:p>
    <w:p>
      <w:pPr>
        <w:pStyle w:val="Normal"/>
        <w:numPr>
          <w:ilvl w:val="0"/>
          <w:numId w:val="17"/>
        </w:numPr>
        <w:spacing w:lineRule="auto" w:line="24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eastAsia="Georgia" w:cs="Georgia"/>
        </w:rPr>
        <w:t xml:space="preserve"> </w:t>
      </w:r>
      <w:r>
        <w:rPr>
          <w:rFonts w:eastAsia="Georgia" w:cs="Georgia"/>
        </w:rPr>
        <w:t>= choque de demanda (preferência, gasto público, etc.)</w:t>
      </w:r>
    </w:p>
    <w:p>
      <w:pPr>
        <w:pStyle w:val="Normal"/>
        <w:spacing w:lineRule="auto" w:line="240" w:before="0" w:after="210"/>
        <w:rPr/>
      </w:pPr>
      <w:r>
        <w:rPr>
          <w:b/>
        </w:rPr>
        <w:t>Interpretação:</w:t>
      </w:r>
      <w:r>
        <w:rPr/>
        <w:br/>
      </w:r>
      <w:r>
        <w:rPr>
          <w:rFonts w:eastAsia="Georgia" w:cs="Georgia"/>
        </w:rPr>
        <w:t>Consumidores (firmas de investimento) planejam consumo dinamicamente: se a taxa real esperada sobe, adiam consumo para amanhã → produto cai hoje.</w:t>
      </w:r>
    </w:p>
    <w:p>
      <w:pPr>
        <w:pStyle w:val="Normal"/>
        <w:spacing w:lineRule="auto" w:line="240" w:before="0" w:after="210"/>
        <w:rPr/>
      </w:pPr>
      <w:r>
        <w:rPr>
          <w:b/>
        </w:rPr>
        <w:t>Calibração para Brasil:</w:t>
      </w:r>
    </w:p>
    <w:p>
      <w:pPr>
        <w:pStyle w:val="Normal"/>
        <w:numPr>
          <w:ilvl w:val="0"/>
          <w:numId w:val="18"/>
        </w:numPr>
        <w:spacing w:lineRule="auto" w:line="240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σ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</m:oMath>
      <w:r>
        <w:rPr/>
        <w:t xml:space="preserve"> </w:t>
      </w:r>
      <w:r>
        <w:rPr/>
        <w:t>(elasticidade intertemporal de consumo)</w:t>
      </w:r>
    </w:p>
    <w:p>
      <w:pPr>
        <w:pStyle w:val="Normal"/>
        <w:numPr>
          <w:ilvl w:val="0"/>
          <w:numId w:val="18"/>
        </w:numPr>
        <w:spacing w:lineRule="auto" w:line="240"/>
        <w:rPr/>
      </w:pP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  <m:sup>
            <m:r>
              <w:rPr>
                <w:rFonts w:ascii="Cambria Math" w:hAnsi="Cambria Math"/>
              </w:rPr>
              <m:t xml:space="preserve">n</m:t>
            </m:r>
          </m:sup>
        </m:sSubSup>
      </m:oMath>
      <w:r>
        <w:rPr>
          <w:rFonts w:eastAsia="Georgia" w:cs="Georgia"/>
        </w:rPr>
        <w:t xml:space="preserve"> </w:t>
      </w:r>
      <w:r>
        <w:rPr>
          <w:rFonts w:eastAsia="Georgia" w:cs="Georgia"/>
        </w:rPr>
        <w:t xml:space="preserve">= tendência do crescimento real de longo prazo mais preferência temporal (tipicamente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  <m:sup>
            <m:r>
              <w:rPr>
                <w:rFonts w:ascii="Cambria Math" w:hAnsi="Cambria Math"/>
              </w:rPr>
              <m:t xml:space="preserve">n</m:t>
            </m:r>
          </m:sup>
        </m:sSubSup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1.5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2.5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</m:oMath>
      <w:r>
        <w:rPr/>
        <w:t xml:space="preserve"> a.a. real, ou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0.4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</m:oMath>
      <w:r>
        <w:rPr/>
        <w:t xml:space="preserve"> ao trimestre)</w:t>
      </w:r>
    </w:p>
    <w:p>
      <w:pPr>
        <w:pStyle w:val="Normal"/>
        <w:numPr>
          <w:ilvl w:val="0"/>
          <w:numId w:val="18"/>
        </w:numPr>
        <w:spacing w:lineRule="auto" w:line="240"/>
        <w:rPr/>
      </w:pPr>
      <w:r>
        <w:rPr/>
        <w:t xml:space="preserve">Choque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eastAsia="Georgia" w:cs="Georgia"/>
        </w:rPr>
        <w:t xml:space="preserve"> pode incluir ciclo de negócios global, ciclos políticos, safras agrícolas, etc.</w:t>
      </w:r>
    </w:p>
    <w:p>
      <w:pPr>
        <w:pStyle w:val="Normal"/>
        <w:spacing w:lineRule="auto" w:line="240" w:before="0" w:after="210"/>
        <w:rPr/>
      </w:pPr>
      <w:r>
        <w:rPr>
          <w:b/>
        </w:rPr>
        <w:t>Papel da IS para seu artigo:</w:t>
      </w:r>
      <w:r>
        <w:rPr/>
        <w:br/>
      </w:r>
      <w:r>
        <w:rPr>
          <w:rFonts w:eastAsia="Georgia" w:cs="Georgia"/>
        </w:rPr>
        <w:t xml:space="preserve">A IS conecta política monetária (via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eastAsia="Georgia" w:cs="Georgia"/>
        </w:rPr>
        <w:t>) ao produto. Se o BC não aumentar a taxa real o suficiente quando inflação sobe, o hiato permanece positivo, perpetuando inflação (falha do Princípio de Taylor).</w:t>
      </w:r>
    </w:p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9" name="Forma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9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/>
      </w:pPr>
      <w:bookmarkStart w:id="12" w:name="bm_6_condições_de_blanchard_kahn"/>
      <w:r>
        <w:rPr>
          <w:rFonts w:eastAsia="Georgia" w:cs="Georgia"/>
          <w:b/>
          <w:sz w:val="42"/>
        </w:rPr>
        <w:t>6. Condições de Blanchard-Kahn</w:t>
      </w:r>
      <w:bookmarkEnd w:id="12"/>
    </w:p>
    <w:p>
      <w:pPr>
        <w:pStyle w:val="Normal"/>
        <w:spacing w:lineRule="auto" w:line="240" w:before="0" w:after="210"/>
        <w:rPr/>
      </w:pPr>
      <w:r>
        <w:rPr>
          <w:b/>
        </w:rPr>
        <w:t>Contexto:</w:t>
      </w:r>
      <w:r>
        <w:rPr/>
        <w:br/>
      </w:r>
      <w:r>
        <w:rPr>
          <w:rFonts w:eastAsia="Georgia" w:cs="Georgia"/>
        </w:rPr>
        <w:t>Sistema dinâmico com expectativas racionais tem a forma geral:</w:t>
      </w:r>
    </w:p>
    <w:p>
      <w:pPr>
        <w:pStyle w:val="Normal"/>
        <w:spacing w:lineRule="auto" w:line="240" w:before="0" w:after="21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B</m:t>
          </m:r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d>
            <m:dPr>
              <m:begChr m:val="["/>
              <m:endChr m:val="]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C</m:t>
          </m:r>
          <m:sSub>
            <m:e>
              <m:r>
                <w:rPr>
                  <w:rFonts w:ascii="Cambria Math" w:hAnsi="Cambria Math"/>
                </w:rPr>
                <m:t xml:space="preserve">u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</m:oMath>
      </m:oMathPara>
    </w:p>
    <w:p>
      <w:pPr>
        <w:pStyle w:val="Normal"/>
        <w:spacing w:lineRule="auto" w:line="240" w:before="0" w:after="210"/>
        <w:rPr/>
      </w:pPr>
      <w:r>
        <w:rPr/>
        <w:t xml:space="preserve">Onde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eastAsia="Georgia" w:cs="Georgia"/>
        </w:rPr>
        <w:t xml:space="preserve"> contém variáveis de estado (inflação, hiato, juros) 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eastAsia="Georgia" w:cs="Georgia"/>
        </w:rPr>
        <w:t xml:space="preserve"> são choques.</w:t>
      </w:r>
    </w:p>
    <w:p>
      <w:pPr>
        <w:pStyle w:val="Normal"/>
        <w:spacing w:lineRule="auto" w:line="240" w:before="0" w:after="210"/>
        <w:rPr/>
      </w:pPr>
      <w:r>
        <w:rPr>
          <w:b/>
        </w:rPr>
        <w:t>Problema de Existência e Unicidade de Equilíbrio:</w:t>
      </w:r>
    </w:p>
    <w:p>
      <w:pPr>
        <w:pStyle w:val="Normal"/>
        <w:numPr>
          <w:ilvl w:val="0"/>
          <w:numId w:val="19"/>
        </w:numPr>
        <w:spacing w:lineRule="auto" w:line="240"/>
        <w:rPr/>
      </w:pPr>
      <w:r>
        <w:rPr>
          <w:rFonts w:eastAsia="Georgia" w:cs="Georgia"/>
        </w:rPr>
        <w:t xml:space="preserve">Se número de </w:t>
      </w:r>
      <w:r>
        <w:rPr>
          <w:b/>
        </w:rPr>
        <w:t>raízes explosivas</w:t>
      </w:r>
      <w:r>
        <w:rPr>
          <w:rFonts w:eastAsia="Georgia" w:cs="Georgia"/>
        </w:rPr>
        <w:t xml:space="preserve"> = número de </w:t>
      </w:r>
      <w:r>
        <w:rPr>
          <w:b/>
        </w:rPr>
        <w:t>variáveis de salto</w:t>
      </w:r>
      <w:r>
        <w:rPr>
          <w:rFonts w:eastAsia="Georgia" w:cs="Georgia"/>
        </w:rPr>
        <w:t xml:space="preserve"> (forward-looking) → Equilíbrio </w:t>
      </w:r>
      <w:r>
        <w:rPr>
          <w:b/>
        </w:rPr>
        <w:t>único</w:t>
      </w:r>
      <w:r>
        <w:rPr/>
        <w:t xml:space="preserve"> (determinado)</w:t>
      </w:r>
    </w:p>
    <w:p>
      <w:pPr>
        <w:pStyle w:val="Normal"/>
        <w:numPr>
          <w:ilvl w:val="0"/>
          <w:numId w:val="19"/>
        </w:numPr>
        <w:spacing w:lineRule="auto" w:line="240"/>
        <w:rPr/>
      </w:pPr>
      <w:r>
        <w:rPr>
          <w:rFonts w:eastAsia="Georgia" w:cs="Georgia"/>
        </w:rPr>
        <w:t xml:space="preserve">Se número de raízes explosivas &gt; número de variáveis de salto → </w:t>
      </w:r>
      <w:r>
        <w:rPr>
          <w:b/>
        </w:rPr>
        <w:t>Indeterminância</w:t>
      </w:r>
      <w:r>
        <w:rPr>
          <w:rFonts w:eastAsia="Georgia" w:cs="Georgia"/>
        </w:rPr>
        <w:t xml:space="preserve"> (múltiplos equilíbrios)</w:t>
      </w:r>
    </w:p>
    <w:p>
      <w:pPr>
        <w:pStyle w:val="Normal"/>
        <w:numPr>
          <w:ilvl w:val="0"/>
          <w:numId w:val="19"/>
        </w:numPr>
        <w:spacing w:lineRule="auto" w:line="240"/>
        <w:rPr/>
      </w:pPr>
      <w:r>
        <w:rPr>
          <w:rFonts w:eastAsia="Georgia" w:cs="Georgia"/>
        </w:rPr>
        <w:t xml:space="preserve">Se número de raízes explosivas &lt; número de variáveis de salto → </w:t>
      </w:r>
      <w:r>
        <w:rPr>
          <w:b/>
        </w:rPr>
        <w:t>Sem solução</w:t>
      </w:r>
      <w:r>
        <w:rPr>
          <w:rFonts w:eastAsia="Georgia" w:cs="Georgia"/>
        </w:rPr>
        <w:t xml:space="preserve"> (equilíbrio não existe)</w:t>
      </w:r>
    </w:p>
    <w:p>
      <w:pPr>
        <w:pStyle w:val="Normal"/>
        <w:spacing w:lineRule="auto" w:line="240" w:before="0" w:after="210"/>
        <w:rPr/>
      </w:pPr>
      <w:r>
        <w:rPr>
          <w:b/>
        </w:rPr>
        <w:t>Método de Blanchard-Kahn:</w:t>
      </w:r>
    </w:p>
    <w:p>
      <w:pPr>
        <w:pStyle w:val="Normal"/>
        <w:numPr>
          <w:ilvl w:val="0"/>
          <w:numId w:val="20"/>
        </w:numPr>
        <w:spacing w:lineRule="auto" w:line="240"/>
        <w:rPr/>
      </w:pPr>
      <w:r>
        <w:rPr>
          <w:rFonts w:eastAsia="Georgia" w:cs="Georgia"/>
        </w:rPr>
        <w:t>Reescreva sistema em forma canônica (separando estáveis e instáveis)</w:t>
      </w:r>
    </w:p>
    <w:p>
      <w:pPr>
        <w:pStyle w:val="Normal"/>
        <w:numPr>
          <w:ilvl w:val="0"/>
          <w:numId w:val="20"/>
        </w:numPr>
        <w:spacing w:lineRule="auto" w:line="240"/>
        <w:rPr/>
      </w:pPr>
      <w:r>
        <w:rPr>
          <w:rFonts w:eastAsia="Georgia" w:cs="Georgia"/>
        </w:rPr>
        <w:t>Conte raízes dentro vs. fora do círculo unitário</w:t>
      </w:r>
    </w:p>
    <w:p>
      <w:pPr>
        <w:pStyle w:val="Normal"/>
        <w:numPr>
          <w:ilvl w:val="0"/>
          <w:numId w:val="20"/>
        </w:numPr>
        <w:spacing w:lineRule="auto" w:line="240"/>
        <w:rPr/>
      </w:pPr>
      <w:r>
        <w:rPr/>
        <w:t>Aplique contagem acima</w:t>
      </w:r>
    </w:p>
    <w:p>
      <w:pPr>
        <w:pStyle w:val="Normal"/>
        <w:spacing w:lineRule="auto" w:line="240" w:before="0" w:after="210"/>
        <w:rPr/>
      </w:pPr>
      <w:r>
        <w:rPr>
          <w:b/>
        </w:rPr>
        <w:t>Implicação Prática:</w:t>
      </w:r>
      <w:r>
        <w:rPr/>
        <w:br/>
      </w:r>
      <w:r>
        <w:rPr>
          <w:rFonts w:eastAsia="Georgia" w:cs="Georgia"/>
        </w:rPr>
        <w:t xml:space="preserve">Quando a autoridade monetária </w:t>
      </w:r>
      <w:r>
        <w:rPr>
          <w:i/>
        </w:rPr>
        <w:t>não</w:t>
      </w:r>
      <w:r>
        <w:rPr>
          <w:rFonts w:eastAsia="Georgia" w:cs="Georgia"/>
        </w:rPr>
        <w:t xml:space="preserve"> segue o Princípio de Taylor (i.e.,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</m:oMath>
      <w:r>
        <w:rPr>
          <w:rFonts w:eastAsia="Georgia" w:cs="Georgia"/>
        </w:rPr>
        <w:t xml:space="preserve"> baixo), o sistema torna-se indeterminado. As expectativas podem "explodir" (inflação auto-realizável) independentemente dos fundamentals.</w:t>
      </w:r>
    </w:p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0" name="Forma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0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/>
      </w:pPr>
      <w:bookmarkStart w:id="13" w:name="bm_7_condições_de_bullard_mitra_2002"/>
      <w:r>
        <w:rPr>
          <w:rFonts w:eastAsia="Georgia" w:cs="Georgia"/>
          <w:b/>
          <w:sz w:val="42"/>
        </w:rPr>
        <w:t>7. Condições de Bullard-Mitra (2002)</w:t>
      </w:r>
      <w:bookmarkEnd w:id="13"/>
    </w:p>
    <w:p>
      <w:pPr>
        <w:pStyle w:val="Normal"/>
        <w:spacing w:lineRule="auto" w:line="240" w:before="0" w:after="210"/>
        <w:rPr/>
      </w:pPr>
      <w:r>
        <w:rPr>
          <w:b/>
        </w:rPr>
        <w:t>Foco Específico:</w:t>
      </w:r>
      <w:r>
        <w:rPr/>
        <w:br/>
      </w:r>
      <w:r>
        <w:rPr>
          <w:rFonts w:eastAsia="Georgia" w:cs="Georgia"/>
        </w:rPr>
        <w:t xml:space="preserve">Para o modelo Novo-Keynesiano com NKPC + IS + Regra de Taylor, Bullard e Mitra derivam **condições </w:t>
      </w:r>
      <w:r>
        <w:rPr>
          <w:b/>
        </w:rPr>
        <w:t>suficientes e necessárias</w:t>
      </w:r>
      <w:r>
        <w:rPr>
          <w:rFonts w:eastAsia="Georgia" w:cs="Georgia"/>
        </w:rPr>
        <w:t xml:space="preserve"> para determinância em forma fechada.</w:t>
      </w:r>
    </w:p>
    <w:p>
      <w:pPr>
        <w:pStyle w:val="Normal"/>
        <w:spacing w:lineRule="auto" w:line="240" w:before="0" w:after="210"/>
        <w:rPr/>
      </w:pPr>
      <w:r>
        <w:rPr>
          <w:b/>
        </w:rPr>
        <w:t>Condição Principal (modelo puro forward-looking):</w:t>
      </w:r>
    </w:p>
    <w:p>
      <w:pPr>
        <w:pStyle w:val="Normal"/>
        <w:spacing w:lineRule="auto" w:line="240" w:before="0" w:after="21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κ</m:t>
          </m:r>
          <m:r>
            <w:rPr>
              <w:rFonts w:ascii="Cambria Math" w:hAnsi="Cambria Math"/>
            </w:rPr>
            <m:t xml:space="preserve">(</m:t>
          </m:r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π</m:t>
              </m:r>
            </m:sub>
          </m:sSub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β</m:t>
          </m:r>
          <m:r>
            <w:rPr>
              <w:rFonts w:ascii="Cambria Math" w:hAnsi="Cambria Math"/>
            </w:rPr>
            <m:t xml:space="preserve">)</m:t>
          </m:r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y</m:t>
              </m:r>
            </m:sub>
          </m:sSub>
          <m:r>
            <w:rPr>
              <w:rFonts w:ascii="Cambria Math" w:hAnsi="Cambria Math"/>
            </w:rPr>
            <m:t xml:space="preserve">&gt;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Normal"/>
        <w:spacing w:lineRule="auto" w:line="240" w:before="0" w:after="210"/>
        <w:rPr/>
      </w:pPr>
      <w:r>
        <w:rPr>
          <w:b/>
        </w:rPr>
        <w:t>Interpretação:</w:t>
      </w:r>
    </w:p>
    <w:p>
      <w:pPr>
        <w:pStyle w:val="Normal"/>
        <w:numPr>
          <w:ilvl w:val="0"/>
          <w:numId w:val="21"/>
        </w:numPr>
        <w:spacing w:lineRule="auto" w:line="240" w:before="0" w:after="210"/>
        <w:rPr/>
      </w:pPr>
      <w:r>
        <w:rPr>
          <w:b/>
        </w:rPr>
        <w:t xml:space="preserve">Termo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κ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b/>
        </w:rPr>
        <w:t>:</w:t>
      </w:r>
      <w:r>
        <w:rPr>
          <w:rFonts w:eastAsia="Georgia" w:cs="Georgia"/>
        </w:rPr>
        <w:t xml:space="preserve"> Efeito via inflação</w:t>
      </w:r>
    </w:p>
    <w:p>
      <w:pPr>
        <w:pStyle w:val="Normal"/>
        <w:numPr>
          <w:ilvl w:val="1"/>
          <w:numId w:val="21"/>
        </w:numPr>
        <w:spacing w:lineRule="auto" w:line="240"/>
        <w:rPr/>
      </w:pPr>
      <w:r>
        <w:rPr/>
        <w:t xml:space="preserve">Se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1</m:t>
        </m:r>
      </m:oMath>
      <w:r>
        <w:rPr>
          <w:rFonts w:eastAsia="Georgia" w:cs="Georgia"/>
        </w:rPr>
        <w:t xml:space="preserve"> (Princípio de Taylor satisfeito), termo é positivo</w:t>
      </w:r>
    </w:p>
    <w:p>
      <w:pPr>
        <w:pStyle w:val="Normal"/>
        <w:numPr>
          <w:ilvl w:val="1"/>
          <w:numId w:val="21"/>
        </w:numPr>
        <w:spacing w:lineRule="auto" w:line="240"/>
        <w:rPr/>
      </w:pPr>
      <w:r>
        <w:rPr/>
        <w:t xml:space="preserve">Quanto maior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</m:oMath>
      <w:r>
        <w:rPr>
          <w:rFonts w:eastAsia="Georgia" w:cs="Georgia"/>
        </w:rPr>
        <w:t>, mais positivo → mais determinado o sistema</w:t>
      </w:r>
    </w:p>
    <w:p>
      <w:pPr>
        <w:pStyle w:val="Normal"/>
        <w:numPr>
          <w:ilvl w:val="0"/>
          <w:numId w:val="21"/>
        </w:numPr>
        <w:spacing w:lineRule="auto" w:line="240" w:before="0" w:after="210"/>
        <w:rPr/>
      </w:pPr>
      <w:r>
        <w:rPr>
          <w:b/>
        </w:rPr>
        <w:t xml:space="preserve">Termo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)</m:t>
        </m:r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y</m:t>
            </m:r>
          </m:sub>
        </m:sSub>
      </m:oMath>
      <w:r>
        <w:rPr>
          <w:b/>
        </w:rPr>
        <w:t>:</w:t>
      </w:r>
      <w:r>
        <w:rPr/>
        <w:t xml:space="preserve"> Efeito via produto</w:t>
      </w:r>
    </w:p>
    <w:p>
      <w:pPr>
        <w:pStyle w:val="Normal"/>
        <w:numPr>
          <w:ilvl w:val="1"/>
          <w:numId w:val="21"/>
        </w:numPr>
        <w:spacing w:lineRule="auto" w:line="240"/>
        <w:rPr/>
      </w:pPr>
      <w:r>
        <w:rPr/>
        <w:t>Se BC reage ao hiato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y</m:t>
            </m:r>
          </m:sub>
        </m:sSub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>
          <w:rFonts w:eastAsia="Georgia" w:cs="Georgia"/>
        </w:rPr>
        <w:t>), termo é positivo</w:t>
      </w:r>
    </w:p>
    <w:p>
      <w:pPr>
        <w:pStyle w:val="Normal"/>
        <w:numPr>
          <w:ilvl w:val="1"/>
          <w:numId w:val="21"/>
        </w:numPr>
        <w:spacing w:lineRule="auto" w:line="240"/>
        <w:rPr/>
      </w:pPr>
      <w:r>
        <w:rPr/>
        <w:t>Estabiliza ainda mais o sistema</w:t>
      </w:r>
    </w:p>
    <w:p>
      <w:pPr>
        <w:pStyle w:val="Normal"/>
        <w:numPr>
          <w:ilvl w:val="0"/>
          <w:numId w:val="21"/>
        </w:numPr>
        <w:spacing w:lineRule="auto" w:line="240" w:before="0" w:after="210"/>
        <w:rPr/>
      </w:pPr>
      <w:r>
        <w:rPr>
          <w:b/>
        </w:rPr>
        <w:t>Condição Composta:</w:t>
      </w:r>
    </w:p>
    <w:p>
      <w:pPr>
        <w:pStyle w:val="Normal"/>
        <w:numPr>
          <w:ilvl w:val="1"/>
          <w:numId w:val="21"/>
        </w:numPr>
        <w:spacing w:lineRule="auto" w:line="240"/>
        <w:rPr/>
      </w:pPr>
      <w:r>
        <w:rPr>
          <w:rFonts w:eastAsia="Georgia" w:cs="Georgia"/>
        </w:rPr>
        <w:t xml:space="preserve">Caso típico: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κ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 (desconto positivo)</w:t>
      </w:r>
    </w:p>
    <w:p>
      <w:pPr>
        <w:pStyle w:val="Normal"/>
        <w:numPr>
          <w:ilvl w:val="1"/>
          <w:numId w:val="21"/>
        </w:numPr>
        <w:spacing w:lineRule="auto" w:line="240"/>
        <w:rPr/>
      </w:pPr>
      <w:r>
        <w:rPr/>
        <w:t xml:space="preserve">Se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1</m:t>
        </m:r>
      </m:oMath>
      <w:r>
        <w:rPr>
          <w:rFonts w:eastAsia="Georgia" w:cs="Georgia"/>
        </w:rPr>
        <w:t xml:space="preserve">, primeiro termo é positivo, dominando → Determinância garantida (mesmo com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y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/>
        <w:t>)</w:t>
      </w:r>
    </w:p>
    <w:p>
      <w:pPr>
        <w:pStyle w:val="Normal"/>
        <w:numPr>
          <w:ilvl w:val="1"/>
          <w:numId w:val="21"/>
        </w:numPr>
        <w:spacing w:lineRule="auto" w:line="240"/>
        <w:rPr/>
      </w:pPr>
      <w:r>
        <w:rPr/>
        <w:t xml:space="preserve">Se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</m:oMath>
      <w:r>
        <w:rPr>
          <w:rFonts w:eastAsia="Georgia" w:cs="Georgia"/>
        </w:rPr>
        <w:t xml:space="preserve"> próximo a 1 ou abaixo, segundo termo torna-se crítico → BC </w:t>
      </w:r>
      <w:r>
        <w:rPr>
          <w:b/>
        </w:rPr>
        <w:t>deve</w:t>
      </w:r>
      <w:r>
        <w:rPr/>
        <w:t xml:space="preserve"> reagir suficientemente ao hiato</w:t>
      </w:r>
    </w:p>
    <w:p>
      <w:pPr>
        <w:pStyle w:val="Normal"/>
        <w:spacing w:lineRule="auto" w:line="240" w:before="0" w:after="210"/>
        <w:rPr/>
      </w:pPr>
      <w:r>
        <w:rPr>
          <w:b/>
        </w:rPr>
        <w:t>Calibração Exemplo (Brasil):</w:t>
      </w:r>
    </w:p>
    <w:p>
      <w:pPr>
        <w:pStyle w:val="Normal"/>
        <w:numPr>
          <w:ilvl w:val="0"/>
          <w:numId w:val="22"/>
        </w:numPr>
        <w:spacing w:lineRule="auto" w:line="240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0.99</m:t>
        </m:r>
      </m:oMath>
      <w:r>
        <w:rPr/>
        <w:t xml:space="preserve"> </w:t>
      </w:r>
      <w:r>
        <w:rPr/>
        <w:t xml:space="preserve">(quarterly)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0.01</m:t>
        </m:r>
      </m:oMath>
    </w:p>
    <w:p>
      <w:pPr>
        <w:pStyle w:val="Normal"/>
        <w:numPr>
          <w:ilvl w:val="0"/>
          <w:numId w:val="22"/>
        </w:numPr>
        <w:spacing w:lineRule="auto" w:line="240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κ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0.04</m:t>
        </m:r>
      </m:oMath>
      <w:r>
        <w:rPr/>
        <w:t xml:space="preserve"> </w:t>
      </w:r>
      <w:r>
        <w:rPr/>
        <w:t>(slope Phillips, tipicamente baixo em grandes economias)</w:t>
      </w:r>
    </w:p>
    <w:p>
      <w:pPr>
        <w:pStyle w:val="Normal"/>
        <w:numPr>
          <w:ilvl w:val="0"/>
          <w:numId w:val="22"/>
        </w:numPr>
        <w:spacing w:lineRule="auto" w:line="240"/>
        <w:rPr/>
      </w:pPr>
      <w:r>
        <w:rPr/>
        <w:t xml:space="preserve">Suponha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y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0.2</m:t>
        </m:r>
      </m:oMath>
      <w:r>
        <w:rPr/>
        <w:t xml:space="preserve"> (BC reage moderadamente ao hiato)</w:t>
      </w:r>
    </w:p>
    <w:p>
      <w:pPr>
        <w:pStyle w:val="Normal"/>
        <w:spacing w:lineRule="auto" w:line="240" w:before="0" w:after="210"/>
        <w:jc w:val="left"/>
        <w:rPr/>
      </w:pPr>
      <w:r>
        <w:rPr>
          <w:rFonts w:eastAsia="Georgia" w:cs="Georgia"/>
        </w:rPr>
        <w:t xml:space="preserve">Então: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0.04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0.01</m:t>
        </m:r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0.2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/>
        <w:br/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⇒</m:t>
        </m:r>
        <m:r>
          <w:rPr>
            <w:rFonts w:ascii="Cambria Math" w:hAnsi="Cambria Math"/>
          </w:rPr>
          <m:t xml:space="preserve">0.04</m:t>
        </m:r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0.04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0.002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/>
        <w:br/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⇒</m:t>
        </m:r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  <m:r>
          <w:rPr>
            <w:rFonts w:ascii="Cambria Math" w:hAnsi="Cambria Math"/>
          </w:rPr>
          <m:t xml:space="preserve">&gt;</m:t>
        </m:r>
        <m:f>
          <m:num>
            <m:r>
              <w:rPr>
                <w:rFonts w:ascii="Cambria Math" w:hAnsi="Cambria Math"/>
              </w:rPr>
              <m:t xml:space="preserve">0.04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0.002</m:t>
            </m:r>
          </m:num>
          <m:den>
            <m:r>
              <w:rPr>
                <w:rFonts w:ascii="Cambria Math" w:hAnsi="Cambria Math"/>
              </w:rPr>
              <m:t xml:space="preserve">0.04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0.038</m:t>
            </m:r>
          </m:num>
          <m:den>
            <m:r>
              <w:rPr>
                <w:rFonts w:ascii="Cambria Math" w:hAnsi="Cambria Math"/>
              </w:rPr>
              <m:t xml:space="preserve">0.04</m:t>
            </m:r>
          </m:den>
        </m:f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0.95</m:t>
        </m:r>
      </m:oMath>
    </w:p>
    <w:p>
      <w:pPr>
        <w:pStyle w:val="Normal"/>
        <w:spacing w:lineRule="auto" w:line="240" w:before="0" w:after="210"/>
        <w:rPr/>
      </w:pPr>
      <w:r>
        <w:rPr>
          <w:rFonts w:eastAsia="Georgia" w:cs="Georgia"/>
        </w:rPr>
        <w:t xml:space="preserve">Conclusão: Mesmo com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, o sistema pode ser determinado se o BC reage ao hiato. </w:t>
      </w:r>
      <w:r>
        <w:rPr>
          <w:b/>
        </w:rPr>
        <w:t>Mas</w:t>
      </w:r>
      <w:r>
        <w:rPr/>
        <w:t xml:space="preserve"> geralmente,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1</m:t>
        </m:r>
      </m:oMath>
      <w:r>
        <w:rPr>
          <w:rFonts w:eastAsia="Georgia" w:cs="Georgia"/>
        </w:rPr>
        <w:t xml:space="preserve"> é mais robusto.</w:t>
      </w:r>
    </w:p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1" name="Forma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1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/>
      </w:pPr>
      <w:bookmarkStart w:id="14" w:name="bm_8_hiato_do_produto"/>
      <w:r>
        <w:rPr>
          <w:b/>
          <w:sz w:val="42"/>
        </w:rPr>
        <w:t>8. Hiato do Produto</w:t>
      </w:r>
      <w:bookmarkEnd w:id="14"/>
    </w:p>
    <w:p>
      <w:pPr>
        <w:pStyle w:val="Normal"/>
        <w:spacing w:lineRule="auto" w:line="240" w:before="0" w:after="210"/>
        <w:rPr/>
      </w:pPr>
      <w:r>
        <w:rPr>
          <w:b/>
        </w:rPr>
        <w:t>Definição:</w:t>
      </w:r>
    </w:p>
    <w:p>
      <w:pPr>
        <w:pStyle w:val="Normal"/>
        <w:spacing w:lineRule="auto" w:line="240" w:before="0" w:after="21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acc>
                <m:accPr>
                  <m:chr m:val="´"/>
                </m:acc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−</m:t>
          </m:r>
          <m:sSubSup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  <m:sup>
              <m:r>
                <w:rPr>
                  <w:rFonts w:ascii="Cambria Math" w:hAnsi="Cambria Math"/>
                </w:rPr>
                <m:t xml:space="preserve">∗</m:t>
              </m:r>
            </m:sup>
          </m:sSubSup>
        </m:oMath>
      </m:oMathPara>
    </w:p>
    <w:p>
      <w:pPr>
        <w:pStyle w:val="Normal"/>
        <w:spacing w:lineRule="auto" w:line="240" w:before="0" w:after="210"/>
        <w:rPr/>
      </w:pPr>
      <w:r>
        <w:rPr/>
        <w:t xml:space="preserve">onde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  <m:sup>
            <m:r>
              <w:rPr>
                <w:rFonts w:ascii="Cambria Math" w:hAnsi="Cambria Math"/>
              </w:rPr>
              <m:t xml:space="preserve">∗</m:t>
            </m:r>
          </m:sup>
        </m:sSubSup>
      </m:oMath>
      <w:r>
        <w:rPr>
          <w:rFonts w:eastAsia="Georgia" w:cs="Georgia"/>
        </w:rPr>
        <w:t xml:space="preserve"> é o PIB potencial (ou "natural"), nível de produto que seria alcançado com preços e salários perfeitamente flexíveis (sem fricções).</w:t>
      </w:r>
    </w:p>
    <w:p>
      <w:pPr>
        <w:pStyle w:val="Normal"/>
        <w:spacing w:lineRule="auto" w:line="240" w:before="0" w:after="210"/>
        <w:rPr/>
      </w:pPr>
      <w:r>
        <w:rPr>
          <w:b/>
        </w:rPr>
        <w:t>Problema:</w:t>
      </w:r>
      <w:r>
        <w:rPr/>
        <w:t xml:space="preserve">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  <m:sup>
            <m:r>
              <w:rPr>
                <w:rFonts w:ascii="Cambria Math" w:hAnsi="Cambria Math"/>
              </w:rPr>
              <m:t xml:space="preserve">∗</m:t>
            </m:r>
          </m:sup>
        </m:sSubSup>
      </m:oMath>
      <w:r>
        <w:rPr>
          <w:rFonts w:eastAsia="Georgia" w:cs="Georgia"/>
        </w:rPr>
        <w:t xml:space="preserve"> não é observável — deve ser estimado.</w:t>
      </w:r>
    </w:p>
    <w:p>
      <w:pPr>
        <w:pStyle w:val="Normal"/>
        <w:spacing w:lineRule="auto" w:line="240" w:before="0" w:after="210"/>
        <w:rPr/>
      </w:pPr>
      <w:r>
        <w:rPr>
          <w:b/>
        </w:rPr>
        <w:t>Métodos de Estimação (para seu artigo, recomendo):</w:t>
      </w:r>
    </w:p>
    <w:p>
      <w:pPr>
        <w:pStyle w:val="Normal"/>
        <w:numPr>
          <w:ilvl w:val="0"/>
          <w:numId w:val="23"/>
        </w:numPr>
        <w:spacing w:lineRule="auto" w:line="240" w:before="0" w:after="210"/>
        <w:rPr/>
      </w:pPr>
      <w:r>
        <w:rPr>
          <w:b/>
        </w:rPr>
        <w:t>Filtro Hodrick-Prescott (HP):</w:t>
      </w:r>
    </w:p>
    <w:p>
      <w:pPr>
        <w:pStyle w:val="Normal"/>
        <w:numPr>
          <w:ilvl w:val="1"/>
          <w:numId w:val="23"/>
        </w:numPr>
        <w:spacing w:lineRule="auto" w:line="240"/>
        <w:rPr/>
      </w:pPr>
      <w:r>
        <w:rPr>
          <w:rFonts w:eastAsia="Georgia" w:cs="Georgia"/>
        </w:rPr>
        <w:t>Clássico, mas viés em final da amostra (</w:t>
      </w:r>
      <w:r>
        <w:rPr>
          <w:i/>
        </w:rPr>
        <w:t>end-point bias</w:t>
      </w:r>
      <w:r>
        <w:rPr/>
        <w:t>)</w:t>
      </w:r>
    </w:p>
    <w:p>
      <w:pPr>
        <w:pStyle w:val="Normal"/>
        <w:numPr>
          <w:ilvl w:val="1"/>
          <w:numId w:val="23"/>
        </w:numPr>
        <w:spacing w:lineRule="auto" w:line="240"/>
        <w:rPr/>
      </w:pPr>
      <w:r>
        <w:rPr>
          <w:rFonts w:eastAsia="Georgia" w:cs="Georgia"/>
        </w:rPr>
        <w:t xml:space="preserve">Parâmetro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1600</m:t>
        </m:r>
      </m:oMath>
      <w:r>
        <w:rPr>
          <w:rFonts w:eastAsia="Georgia" w:cs="Georgia"/>
        </w:rPr>
        <w:t xml:space="preserve"> (trimestral padrão)</w:t>
      </w:r>
    </w:p>
    <w:p>
      <w:pPr>
        <w:pStyle w:val="Normal"/>
        <w:numPr>
          <w:ilvl w:val="1"/>
          <w:numId w:val="23"/>
        </w:numPr>
        <w:spacing w:lineRule="auto" w:line="240"/>
        <w:rPr/>
      </w:pPr>
      <w:r>
        <w:rPr>
          <w:rFonts w:eastAsia="Georgia" w:cs="Georgia"/>
        </w:rPr>
        <w:t>Rápido em implementar, fácil de comparar com literatura</w:t>
      </w:r>
    </w:p>
    <w:p>
      <w:pPr>
        <w:pStyle w:val="Normal"/>
        <w:numPr>
          <w:ilvl w:val="0"/>
          <w:numId w:val="23"/>
        </w:numPr>
        <w:spacing w:lineRule="auto" w:line="240" w:before="0" w:after="210"/>
        <w:rPr/>
      </w:pPr>
      <w:r>
        <w:rPr>
          <w:b/>
        </w:rPr>
        <w:t>Filtro Hamilton (2018):</w:t>
      </w:r>
    </w:p>
    <w:p>
      <w:pPr>
        <w:pStyle w:val="Normal"/>
        <w:numPr>
          <w:ilvl w:val="1"/>
          <w:numId w:val="23"/>
        </w:numPr>
        <w:spacing w:lineRule="auto" w:line="240"/>
        <w:rPr/>
      </w:pPr>
      <w:r>
        <w:rPr>
          <w:rFonts w:eastAsia="Georgia" w:cs="Georgia"/>
        </w:rPr>
        <w:t>Menos viés de final de amostra</w:t>
      </w:r>
    </w:p>
    <w:p>
      <w:pPr>
        <w:pStyle w:val="Normal"/>
        <w:numPr>
          <w:ilvl w:val="1"/>
          <w:numId w:val="23"/>
        </w:numPr>
        <w:spacing w:lineRule="auto" w:line="240"/>
        <w:rPr/>
      </w:pPr>
      <w:r>
        <w:rPr>
          <w:rFonts w:eastAsia="Georgia" w:cs="Georgia"/>
        </w:rPr>
        <w:t xml:space="preserve">Usa regressão com defasagens: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8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12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</w:p>
    <w:p>
      <w:pPr>
        <w:pStyle w:val="Normal"/>
        <w:numPr>
          <w:ilvl w:val="1"/>
          <w:numId w:val="23"/>
        </w:numPr>
        <w:spacing w:lineRule="auto" w:line="240"/>
        <w:rPr/>
      </w:pPr>
      <w:r>
        <w:rPr>
          <w:rFonts w:eastAsia="Georgia" w:cs="Georgia"/>
        </w:rPr>
        <w:t xml:space="preserve">Resíduo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≈</m:t>
        </m:r>
        <m:sSub>
          <m:e>
            <m:acc>
              <m:accPr>
                <m:chr m:val="´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</w:p>
    <w:p>
      <w:pPr>
        <w:pStyle w:val="Normal"/>
        <w:numPr>
          <w:ilvl w:val="1"/>
          <w:numId w:val="23"/>
        </w:numPr>
        <w:spacing w:lineRule="auto" w:line="240"/>
        <w:rPr/>
      </w:pPr>
      <w:r>
        <w:rPr/>
        <w:t>Mais moderno; seria "smart" para PhD</w:t>
      </w:r>
    </w:p>
    <w:p>
      <w:pPr>
        <w:pStyle w:val="Normal"/>
        <w:numPr>
          <w:ilvl w:val="0"/>
          <w:numId w:val="23"/>
        </w:numPr>
        <w:spacing w:lineRule="auto" w:line="240" w:before="0" w:after="210"/>
        <w:rPr/>
      </w:pPr>
      <w:r>
        <w:rPr>
          <w:b/>
        </w:rPr>
        <w:t>Unobserved Components Model (UCM) com Kalman Filter:</w:t>
      </w:r>
    </w:p>
    <w:p>
      <w:pPr>
        <w:pStyle w:val="Normal"/>
        <w:numPr>
          <w:ilvl w:val="1"/>
          <w:numId w:val="23"/>
        </w:numPr>
        <w:spacing w:lineRule="auto" w:line="240"/>
        <w:rPr/>
      </w:pPr>
      <w:r>
        <w:rPr/>
        <w:t>Estrutural: modela potencial como trend + ciclo</w:t>
      </w:r>
    </w:p>
    <w:p>
      <w:pPr>
        <w:pStyle w:val="Normal"/>
        <w:numPr>
          <w:ilvl w:val="1"/>
          <w:numId w:val="23"/>
        </w:numPr>
        <w:spacing w:lineRule="auto" w:line="240"/>
        <w:rPr/>
      </w:pPr>
      <w:r>
        <w:rPr>
          <w:rFonts w:eastAsia="Georgia" w:cs="Georgia"/>
        </w:rPr>
        <w:t>Mais sofisticado; requer especificação prévia</w:t>
      </w:r>
    </w:p>
    <w:p>
      <w:pPr>
        <w:pStyle w:val="Normal"/>
        <w:numPr>
          <w:ilvl w:val="1"/>
          <w:numId w:val="23"/>
        </w:numPr>
        <w:spacing w:lineRule="auto" w:line="240"/>
        <w:rPr/>
      </w:pPr>
      <w:r>
        <w:rPr/>
        <w:t>Dynare/MATLAB implementa</w:t>
      </w:r>
    </w:p>
    <w:p>
      <w:pPr>
        <w:pStyle w:val="Normal"/>
        <w:spacing w:lineRule="auto" w:line="240" w:before="0" w:after="210"/>
        <w:rPr/>
      </w:pPr>
      <w:r>
        <w:rPr>
          <w:b/>
        </w:rPr>
        <w:t>Recomendação:</w:t>
      </w:r>
      <w:r>
        <w:rPr>
          <w:rFonts w:eastAsia="Georgia" w:cs="Georgia"/>
        </w:rPr>
        <w:t xml:space="preserve"> Comece com HP (padrão em literatura brasileira) e rode robustez com Hamilton. Se diferenças forem pequenas, use HP. Se grandes, discuta qual é mais apropriado.</w:t>
      </w:r>
    </w:p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2" name="Forma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2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/>
      </w:pPr>
      <w:bookmarkStart w:id="15" w:name="bm_9_expectativas_de_inflação_e_focus"/>
      <w:r>
        <w:rPr>
          <w:rFonts w:eastAsia="Georgia" w:cs="Georgia"/>
          <w:b/>
          <w:sz w:val="42"/>
        </w:rPr>
        <w:t>9. Expectativas de Inflação e Focus</w:t>
      </w:r>
      <w:bookmarkEnd w:id="15"/>
    </w:p>
    <w:p>
      <w:pPr>
        <w:pStyle w:val="Normal"/>
        <w:spacing w:lineRule="auto" w:line="240" w:before="0" w:after="210"/>
        <w:rPr/>
      </w:pPr>
      <w:r>
        <w:rPr>
          <w:b/>
        </w:rPr>
        <w:t>Fonte:</w:t>
      </w:r>
      <w:r>
        <w:rPr/>
        <w:t xml:space="preserve"> Banco Central do Brasil publica diariamente o </w:t>
      </w:r>
      <w:r>
        <w:rPr>
          <w:b/>
        </w:rPr>
        <w:t>Relatório de Expectativas de Mercado</w:t>
      </w:r>
      <w:r>
        <w:rPr>
          <w:rFonts w:eastAsia="Georgia" w:cs="Georgia"/>
        </w:rPr>
        <w:t xml:space="preserve"> (data: cada dia útil).</w:t>
      </w:r>
    </w:p>
    <w:p>
      <w:pPr>
        <w:pStyle w:val="Normal"/>
        <w:spacing w:lineRule="auto" w:line="240" w:before="0" w:after="210"/>
        <w:rPr/>
      </w:pPr>
      <w:r>
        <w:rPr>
          <w:b/>
        </w:rPr>
        <w:t>Conceito:</w:t>
      </w:r>
      <w:r>
        <w:rPr/>
        <w:br/>
      </w:r>
      <w:r>
        <w:rPr>
          <w:rFonts w:eastAsia="Georgia" w:cs="Georgia"/>
        </w:rPr>
        <w:t>Analistas do mercado financeiro (gestores, bancos de investimento) reportam suas previsões para:</w:t>
      </w:r>
    </w:p>
    <w:p>
      <w:pPr>
        <w:pStyle w:val="Normal"/>
        <w:numPr>
          <w:ilvl w:val="0"/>
          <w:numId w:val="24"/>
        </w:numPr>
        <w:spacing w:lineRule="auto" w:line="240"/>
        <w:rPr/>
      </w:pPr>
      <w:r>
        <w:rPr>
          <w:rFonts w:eastAsia="Georgia" w:cs="Georgia"/>
        </w:rPr>
        <w:t>Inflação (IPCA) em 12 meses</w:t>
      </w:r>
    </w:p>
    <w:p>
      <w:pPr>
        <w:pStyle w:val="Normal"/>
        <w:numPr>
          <w:ilvl w:val="0"/>
          <w:numId w:val="24"/>
        </w:numPr>
        <w:spacing w:lineRule="auto" w:line="240"/>
        <w:rPr/>
      </w:pPr>
      <w:r>
        <w:rPr/>
        <w:t>IPCA para fim de cada ano</w:t>
      </w:r>
    </w:p>
    <w:p>
      <w:pPr>
        <w:pStyle w:val="Normal"/>
        <w:numPr>
          <w:ilvl w:val="0"/>
          <w:numId w:val="24"/>
        </w:numPr>
        <w:spacing w:lineRule="auto" w:line="240"/>
        <w:rPr/>
      </w:pPr>
      <w:r>
        <w:rPr/>
        <w:t>Taxa Selic esperada</w:t>
      </w:r>
    </w:p>
    <w:p>
      <w:pPr>
        <w:pStyle w:val="Normal"/>
        <w:numPr>
          <w:ilvl w:val="0"/>
          <w:numId w:val="24"/>
        </w:numPr>
        <w:spacing w:lineRule="auto" w:line="240"/>
        <w:rPr/>
      </w:pPr>
      <w:r>
        <w:rPr>
          <w:rFonts w:eastAsia="Georgia" w:cs="Georgia"/>
        </w:rPr>
        <w:t>Câmbio, crescimento, etc.</w:t>
      </w:r>
    </w:p>
    <w:p>
      <w:pPr>
        <w:pStyle w:val="Normal"/>
        <w:spacing w:lineRule="auto" w:line="240" w:before="0" w:after="210"/>
        <w:rPr/>
      </w:pPr>
      <w:r>
        <w:rPr>
          <w:b/>
        </w:rPr>
        <w:t>Uso para seu artigo:</w:t>
      </w:r>
    </w:p>
    <w:p>
      <w:pPr>
        <w:pStyle w:val="Normal"/>
        <w:numPr>
          <w:ilvl w:val="0"/>
          <w:numId w:val="25"/>
        </w:numPr>
        <w:spacing w:lineRule="auto" w:line="240"/>
        <w:rPr/>
      </w:pPr>
      <w:r>
        <w:rPr>
          <w:rFonts w:eastAsia="Georgia" w:cs="Georgia"/>
        </w:rPr>
        <w:t xml:space="preserve">Para estimação </w:t>
      </w:r>
      <w:r>
        <w:rPr>
          <w:b/>
        </w:rPr>
        <w:t>forward-looking</w:t>
      </w:r>
      <w:r>
        <w:rPr/>
        <w:t xml:space="preserve"> da regra de Taylor, use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d>
          <m:dPr>
            <m:begChr m:val="[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h</m:t>
                </m:r>
              </m:sub>
            </m:sSub>
          </m:e>
        </m:d>
      </m:oMath>
      <w:r>
        <w:rPr>
          <w:rFonts w:eastAsia="Georgia" w:cs="Georgia"/>
        </w:rPr>
        <w:t xml:space="preserve"> = previsão Focus</w:t>
      </w:r>
    </w:p>
    <w:p>
      <w:pPr>
        <w:pStyle w:val="Normal"/>
        <w:numPr>
          <w:ilvl w:val="0"/>
          <w:numId w:val="25"/>
        </w:numPr>
        <w:spacing w:lineRule="auto" w:line="240"/>
        <w:rPr/>
      </w:pPr>
      <w:r>
        <w:rPr/>
        <w:t xml:space="preserve">Maioria dos trabalhos usa </w:t>
      </w:r>
      <w:r>
        <w:rPr>
          <w:b/>
        </w:rPr>
        <w:t>Focus 12-meses</w:t>
      </w:r>
      <w:r>
        <w:rPr>
          <w:rFonts w:eastAsia="Georgia" w:cs="Georgia"/>
        </w:rPr>
        <w:t xml:space="preserve"> (expectativa de inflação um ano à frente)</w:t>
      </w:r>
    </w:p>
    <w:p>
      <w:pPr>
        <w:pStyle w:val="Normal"/>
        <w:numPr>
          <w:ilvl w:val="0"/>
          <w:numId w:val="25"/>
        </w:numPr>
        <w:spacing w:lineRule="auto" w:line="240"/>
        <w:rPr/>
      </w:pPr>
      <w:r>
        <w:rPr>
          <w:rFonts w:eastAsia="Georgia" w:cs="Georgia"/>
        </w:rPr>
        <w:t xml:space="preserve">Base de dados disponível em: </w:t>
      </w:r>
      <w:hyperlink r:id="rId2">
        <w:r>
          <w:rPr>
            <w:rStyle w:val="ListLabel271"/>
            <w:color w:val="4472C4"/>
          </w:rPr>
          <w:t>https://www.bcb.gov.br</w:t>
        </w:r>
      </w:hyperlink>
      <w:r>
        <w:rPr>
          <w:rFonts w:eastAsia="Georgia" w:cs="Georgia"/>
        </w:rPr>
        <w:t xml:space="preserve"> (DownloadDados → Expectativas de Mercado)</w:t>
      </w:r>
    </w:p>
    <w:p>
      <w:pPr>
        <w:pStyle w:val="Normal"/>
        <w:spacing w:lineRule="auto" w:line="240" w:before="0" w:after="210"/>
        <w:rPr/>
      </w:pPr>
      <w:r>
        <w:rPr>
          <w:b/>
        </w:rPr>
        <w:t>Vantagens:</w:t>
      </w:r>
    </w:p>
    <w:p>
      <w:pPr>
        <w:pStyle w:val="Normal"/>
        <w:numPr>
          <w:ilvl w:val="0"/>
          <w:numId w:val="26"/>
        </w:numPr>
        <w:spacing w:lineRule="auto" w:line="240"/>
        <w:rPr/>
      </w:pPr>
      <w:r>
        <w:rPr>
          <w:rFonts w:eastAsia="Georgia" w:cs="Georgia"/>
        </w:rPr>
        <w:t>Reflecte comportamento real de formuladores de política ("Market participants know what policy makers think")</w:t>
      </w:r>
    </w:p>
    <w:p>
      <w:pPr>
        <w:pStyle w:val="Normal"/>
        <w:numPr>
          <w:ilvl w:val="0"/>
          <w:numId w:val="26"/>
        </w:numPr>
        <w:spacing w:lineRule="auto" w:line="240"/>
        <w:rPr/>
      </w:pPr>
      <w:r>
        <w:rPr>
          <w:rFonts w:eastAsia="Georgia" w:cs="Georgia"/>
        </w:rPr>
        <w:t>Endógena à credibilidade: se BCB perde credibilidade, expectativas Focus subem</w:t>
      </w:r>
    </w:p>
    <w:p>
      <w:pPr>
        <w:pStyle w:val="Normal"/>
        <w:spacing w:lineRule="auto" w:line="240" w:before="0" w:after="210"/>
        <w:rPr/>
      </w:pPr>
      <w:r>
        <w:rPr>
          <w:b/>
        </w:rPr>
        <w:t>Limitações:</w:t>
      </w:r>
    </w:p>
    <w:p>
      <w:pPr>
        <w:pStyle w:val="Normal"/>
        <w:numPr>
          <w:ilvl w:val="0"/>
          <w:numId w:val="27"/>
        </w:numPr>
        <w:spacing w:lineRule="auto" w:line="240"/>
        <w:rPr/>
      </w:pPr>
      <w:r>
        <w:rPr>
          <w:rFonts w:eastAsia="Georgia" w:cs="Georgia"/>
        </w:rPr>
        <w:t>Surveys podem não refletir expectativas racionais perfeitas (problema de heterogeneidade)</w:t>
      </w:r>
    </w:p>
    <w:p>
      <w:pPr>
        <w:pStyle w:val="Normal"/>
        <w:numPr>
          <w:ilvl w:val="0"/>
          <w:numId w:val="27"/>
        </w:numPr>
        <w:spacing w:lineRule="auto" w:line="240"/>
        <w:rPr/>
      </w:pPr>
      <w:r>
        <w:rPr>
          <w:rFonts w:eastAsia="Georgia" w:cs="Georgia"/>
        </w:rPr>
        <w:t>Descontinuidades: durante crises, analistas discordam muito (desvios-padrão altos)</w:t>
      </w:r>
    </w:p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3" name="Forma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3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/>
      </w:pPr>
      <w:bookmarkStart w:id="16" w:name="bm_10_testes_de_robustez_recomend_da259e"/>
      <w:r>
        <w:rPr>
          <w:b/>
          <w:sz w:val="42"/>
        </w:rPr>
        <w:t>10. Testes de Robustez Recomendados para seu Artigo</w:t>
      </w:r>
      <w:bookmarkEnd w:id="16"/>
    </w:p>
    <w:p>
      <w:pPr>
        <w:pStyle w:val="Normal"/>
        <w:numPr>
          <w:ilvl w:val="0"/>
          <w:numId w:val="28"/>
        </w:numPr>
        <w:spacing w:lineRule="auto" w:line="240"/>
        <w:rPr/>
      </w:pPr>
      <w:r>
        <w:rPr>
          <w:b/>
        </w:rPr>
        <w:t>Teste J de Hansen (GMM):</w:t>
      </w:r>
      <w:r>
        <w:rPr/>
        <w:t xml:space="preserve"> P-value deve ser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0.10</m:t>
        </m:r>
      </m:oMath>
      <w:r>
        <w:rPr>
          <w:rFonts w:eastAsia="Georgia" w:cs="Georgia"/>
        </w:rPr>
        <w:t xml:space="preserve"> para validação de instrumentos</w:t>
      </w:r>
    </w:p>
    <w:p>
      <w:pPr>
        <w:pStyle w:val="Normal"/>
        <w:numPr>
          <w:ilvl w:val="0"/>
          <w:numId w:val="28"/>
        </w:numPr>
        <w:spacing w:lineRule="auto" w:line="240"/>
        <w:rPr/>
      </w:pPr>
      <w:r>
        <w:rPr>
          <w:b/>
        </w:rPr>
        <w:t>Teste de Ljung-Box (correlação serial):</w:t>
      </w:r>
      <w:r>
        <w:rPr>
          <w:rFonts w:eastAsia="Georgia" w:cs="Georgia"/>
        </w:rPr>
        <w:t xml:space="preserve"> Resíduos não devem ser correlacionados (evidência de má especificação)</w:t>
      </w:r>
    </w:p>
    <w:p>
      <w:pPr>
        <w:pStyle w:val="Normal"/>
        <w:numPr>
          <w:ilvl w:val="0"/>
          <w:numId w:val="28"/>
        </w:numPr>
        <w:spacing w:lineRule="auto" w:line="240"/>
        <w:rPr/>
      </w:pPr>
      <w:r>
        <w:rPr>
          <w:b/>
        </w:rPr>
        <w:t>Teste de Heterocedasticidade (Breusch-Pagan):</w:t>
      </w:r>
      <w:r>
        <w:rPr>
          <w:rFonts w:eastAsia="Georgia" w:cs="Georgia"/>
        </w:rPr>
        <w:t xml:space="preserve"> Erros devem ter variância constante</w:t>
      </w:r>
    </w:p>
    <w:p>
      <w:pPr>
        <w:pStyle w:val="Normal"/>
        <w:numPr>
          <w:ilvl w:val="0"/>
          <w:numId w:val="28"/>
        </w:numPr>
        <w:spacing w:lineRule="auto" w:line="240"/>
        <w:rPr/>
      </w:pPr>
      <w:r>
        <w:rPr>
          <w:b/>
        </w:rPr>
        <w:t>Teste de Bai-Perron (quebras estruturais):</w:t>
      </w:r>
      <w:r>
        <w:rPr/>
        <w:t xml:space="preserve"> Identifique datas onde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</m:oMath>
      <w:r>
        <w:rPr/>
        <w:t xml:space="preserve"> mudou significativamente</w:t>
      </w:r>
    </w:p>
    <w:p>
      <w:pPr>
        <w:pStyle w:val="Normal"/>
        <w:numPr>
          <w:ilvl w:val="0"/>
          <w:numId w:val="28"/>
        </w:numPr>
        <w:spacing w:lineRule="auto" w:line="240"/>
        <w:rPr/>
      </w:pPr>
      <w:r>
        <w:rPr>
          <w:b/>
        </w:rPr>
        <w:t>Função de Resposta ao Impulso (IRF) em Dynare:</w:t>
      </w:r>
      <w:r>
        <w:rPr/>
        <w:t xml:space="preserve"> Simule o modelo NK sob diferentes valores de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</m:oMath>
      <w:r>
        <w:rPr>
          <w:rFonts w:eastAsia="Georgia" w:cs="Georgia"/>
        </w:rPr>
        <w:t xml:space="preserve">, mostrando que determinância requer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</m:oMath>
      <w:r>
        <w:rPr/>
        <w:t xml:space="preserve"> acima de certo threshold</w:t>
      </w:r>
    </w:p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4" name="Forma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4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/>
      </w:pPr>
      <w:bookmarkStart w:id="17" w:name="bm_11_implicações_para_política_m_65c9a8"/>
      <w:r>
        <w:rPr>
          <w:rFonts w:eastAsia="Georgia" w:cs="Georgia"/>
          <w:b/>
          <w:sz w:val="42"/>
        </w:rPr>
        <w:t>11. Implicações para Política Monetária Brasileira</w:t>
      </w:r>
      <w:bookmarkEnd w:id="17"/>
    </w:p>
    <w:p>
      <w:pPr>
        <w:pStyle w:val="Normal"/>
        <w:spacing w:lineRule="auto" w:line="240" w:before="0" w:after="210"/>
        <w:rPr/>
      </w:pPr>
      <w:r>
        <w:rPr>
          <w:b/>
        </w:rPr>
        <w:t>Período 1999-2024:</w:t>
      </w:r>
    </w:p>
    <w:p>
      <w:pPr>
        <w:pStyle w:val="Normal"/>
        <w:numPr>
          <w:ilvl w:val="0"/>
          <w:numId w:val="29"/>
        </w:numPr>
        <w:spacing w:lineRule="auto" w:line="240"/>
        <w:rPr/>
      </w:pPr>
      <w:r>
        <w:rPr>
          <w:b/>
        </w:rPr>
        <w:t>1999-2003:</w:t>
      </w:r>
      <w:r>
        <w:rPr>
          <w:rFonts w:eastAsia="Georgia" w:cs="Georgia"/>
        </w:rPr>
        <w:t xml:space="preserve"> Consolidação do regime; BCB demonstra força nas crises (Fraga)</w:t>
      </w:r>
    </w:p>
    <w:p>
      <w:pPr>
        <w:pStyle w:val="Normal"/>
        <w:numPr>
          <w:ilvl w:val="0"/>
          <w:numId w:val="29"/>
        </w:numPr>
        <w:spacing w:lineRule="auto" w:line="240"/>
        <w:rPr/>
      </w:pPr>
      <w:r>
        <w:rPr>
          <w:b/>
        </w:rPr>
        <w:t>2003-2010:</w:t>
      </w:r>
      <w:r>
        <w:rPr>
          <w:rFonts w:eastAsia="Georgia" w:cs="Georgia"/>
        </w:rPr>
        <w:t xml:space="preserve"> Regime maduro; inflação e expectativas bem ancoradas (Meirelles)</w:t>
      </w:r>
    </w:p>
    <w:p>
      <w:pPr>
        <w:pStyle w:val="Normal"/>
        <w:numPr>
          <w:ilvl w:val="0"/>
          <w:numId w:val="29"/>
        </w:numPr>
        <w:spacing w:lineRule="auto" w:line="240"/>
        <w:rPr/>
      </w:pPr>
      <w:r>
        <w:rPr>
          <w:b/>
        </w:rPr>
        <w:t>2011-2016:</w:t>
      </w:r>
      <w:r>
        <w:rPr>
          <w:rFonts w:eastAsia="Georgia" w:cs="Georgia"/>
        </w:rPr>
        <w:t xml:space="preserve"> Tensões; resposta insuficiente? (Tombini); perda de credibilidade</w:t>
      </w:r>
    </w:p>
    <w:p>
      <w:pPr>
        <w:pStyle w:val="Normal"/>
        <w:numPr>
          <w:ilvl w:val="0"/>
          <w:numId w:val="29"/>
        </w:numPr>
        <w:spacing w:lineRule="auto" w:line="240"/>
        <w:rPr/>
      </w:pPr>
      <w:r>
        <w:rPr>
          <w:b/>
        </w:rPr>
        <w:t>2017-2019:</w:t>
      </w:r>
      <w:r>
        <w:rPr>
          <w:rFonts w:eastAsia="Georgia" w:cs="Georgia"/>
        </w:rPr>
        <w:t xml:space="preserve"> Recuperação; reconvergência (Goldfajn)</w:t>
      </w:r>
    </w:p>
    <w:p>
      <w:pPr>
        <w:pStyle w:val="Normal"/>
        <w:numPr>
          <w:ilvl w:val="0"/>
          <w:numId w:val="29"/>
        </w:numPr>
        <w:spacing w:lineRule="auto" w:line="240"/>
        <w:rPr/>
      </w:pPr>
      <w:r>
        <w:rPr>
          <w:b/>
        </w:rPr>
        <w:t>2020-2024:</w:t>
      </w:r>
      <w:r>
        <w:rPr>
          <w:rFonts w:eastAsia="Georgia" w:cs="Georgia"/>
        </w:rPr>
        <w:t xml:space="preserve"> Pandemia, recuperação, inflação alta, aumento de juros agressivo (Campos Neto)</w:t>
      </w:r>
    </w:p>
    <w:p>
      <w:pPr>
        <w:pStyle w:val="Normal"/>
        <w:spacing w:lineRule="auto" w:line="240" w:before="0" w:after="210"/>
        <w:rPr/>
      </w:pPr>
      <w:r>
        <w:rPr>
          <w:b/>
        </w:rPr>
        <w:t>Contribuição do seu artigo:</w:t>
      </w:r>
      <w:r>
        <w:rPr/>
        <w:br/>
      </w:r>
      <w:r>
        <w:rPr>
          <w:rFonts w:eastAsia="Georgia" w:cs="Georgia"/>
        </w:rPr>
        <w:t>Conectar os parâmetros estimados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π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ϕ</m:t>
            </m:r>
          </m:e>
          <m:sub>
            <m:r>
              <w:rPr>
                <w:rFonts w:ascii="Cambria Math" w:hAnsi="Cambria Math"/>
              </w:rPr>
              <m:t xml:space="preserve">y</m:t>
            </m:r>
          </m:sub>
        </m:sSub>
      </m:oMath>
      <w:r>
        <w:rPr>
          <w:rFonts w:eastAsia="Georgia" w:cs="Georgia"/>
        </w:rPr>
        <w:t>) com os eventos econômicos brasileiros, mostrando que o Princípio de Taylor não é apenas teoria: é o "coração" da estabilidade do regime.</w:t>
      </w:r>
    </w:p>
    <w:p>
      <w:pPr>
        <w:pStyle w:val="Normal"/>
        <w:spacing w:lineRule="auto" w:line="240"/>
        <w:rPr/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5" name="Forma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5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/>
      </w:pPr>
      <w:bookmarkStart w:id="18" w:name="referências_essenciais"/>
      <w:r>
        <w:rPr>
          <w:rFonts w:eastAsia="Georgia" w:cs="Georgia"/>
          <w:b/>
          <w:sz w:val="42"/>
        </w:rPr>
        <w:t>Referências Essenciais</w:t>
      </w:r>
      <w:bookmarkEnd w:id="18"/>
    </w:p>
    <w:p>
      <w:pPr>
        <w:pStyle w:val="Normal"/>
        <w:spacing w:lineRule="auto" w:line="240" w:before="0" w:after="210"/>
        <w:rPr/>
      </w:pPr>
      <w:r>
        <w:rPr/>
        <w:t xml:space="preserve">[1] Blanchard, O., &amp; Kahn, C. M. (1980). The solution of linear difference models under rational expectations. </w:t>
      </w:r>
      <w:r>
        <w:rPr>
          <w:i/>
        </w:rPr>
        <w:t>Econometrica</w:t>
      </w:r>
      <w:r>
        <w:rPr/>
        <w:t>, 48(5), 1305-1311.</w:t>
      </w:r>
    </w:p>
    <w:p>
      <w:pPr>
        <w:pStyle w:val="Normal"/>
        <w:spacing w:lineRule="auto" w:line="240" w:before="0" w:after="210"/>
        <w:rPr/>
      </w:pPr>
      <w:r>
        <w:rPr/>
        <w:t xml:space="preserve">[2] Bullard, J., &amp; Mitra, K. (2002). Learning about monetary policy rules. </w:t>
      </w:r>
      <w:r>
        <w:rPr>
          <w:i/>
        </w:rPr>
        <w:t>Journal of Monetary Economics</w:t>
      </w:r>
      <w:r>
        <w:rPr/>
        <w:t>, 49(6), 1105-1129.</w:t>
      </w:r>
    </w:p>
    <w:p>
      <w:pPr>
        <w:pStyle w:val="Normal"/>
        <w:spacing w:lineRule="auto" w:line="240" w:before="0" w:after="210"/>
        <w:rPr/>
      </w:pPr>
      <w:r>
        <w:rPr>
          <w:rFonts w:eastAsia="Georgia" w:cs="Georgia"/>
        </w:rPr>
        <w:t xml:space="preserve">[3] Clarida, R., Galí, J., &amp; Gertler, M. (2000). Monetary policy rules and macroeconomic stability: Evidence and some theory. </w:t>
      </w:r>
      <w:r>
        <w:rPr>
          <w:i/>
        </w:rPr>
        <w:t>Quarterly Journal of Economics</w:t>
      </w:r>
      <w:r>
        <w:rPr/>
        <w:t>, 115(1), 147-180.</w:t>
      </w:r>
    </w:p>
    <w:p>
      <w:pPr>
        <w:pStyle w:val="Normal"/>
        <w:spacing w:lineRule="auto" w:line="240" w:before="0" w:after="210"/>
        <w:rPr/>
      </w:pPr>
      <w:r>
        <w:rPr>
          <w:rFonts w:eastAsia="Georgia" w:cs="Georgia"/>
        </w:rPr>
        <w:t xml:space="preserve">[4] Galí, J. (2015). </w:t>
      </w:r>
      <w:r>
        <w:rPr>
          <w:i/>
        </w:rPr>
        <w:t>Monetary Policy, Inflation, and the Business Cycle: An Introduction to the New Keynesian Framework</w:t>
      </w:r>
      <w:r>
        <w:rPr/>
        <w:t xml:space="preserve"> (2nd ed.). Princeton University Press.</w:t>
      </w:r>
    </w:p>
    <w:p>
      <w:pPr>
        <w:pStyle w:val="Normal"/>
        <w:spacing w:lineRule="auto" w:line="240" w:before="0" w:after="210"/>
        <w:rPr/>
      </w:pPr>
      <w:r>
        <w:rPr/>
        <w:t xml:space="preserve">[5] Minella, A., de Freitas, P. S., Goldfajn, I., &amp; Muinhos, M. K. (2003). Inflation targeting in Brazil: Constructing credibility under exchange rate volatility. </w:t>
      </w:r>
      <w:r>
        <w:rPr>
          <w:i/>
        </w:rPr>
        <w:t>Journal of International Money and Finance</w:t>
      </w:r>
      <w:r>
        <w:rPr/>
        <w:t>, 22(7), 1015-1040.</w:t>
      </w:r>
    </w:p>
    <w:p>
      <w:pPr>
        <w:pStyle w:val="Normal"/>
        <w:spacing w:lineRule="auto" w:line="240" w:before="0" w:after="210"/>
        <w:rPr/>
      </w:pPr>
      <w:r>
        <w:rPr/>
        <w:t xml:space="preserve">[6] Palma, A. A. (2011). Preferences of the Central Bank of Brazil under the inflation targeting regime. </w:t>
      </w:r>
      <w:r>
        <w:rPr>
          <w:i/>
        </w:rPr>
        <w:t>Revista Brasileira de Economia</w:t>
      </w:r>
      <w:r>
        <w:rPr/>
        <w:t>, 65(4), 363-379.</w:t>
      </w:r>
    </w:p>
    <w:p>
      <w:pPr>
        <w:pStyle w:val="Normal"/>
        <w:spacing w:lineRule="auto" w:line="240" w:before="0" w:after="210"/>
        <w:rPr/>
      </w:pPr>
      <w:r>
        <w:rPr/>
        <w:t xml:space="preserve">[7] Taylor, J. B. (1993). Discretion versus policy rules in practice. </w:t>
      </w:r>
      <w:r>
        <w:rPr>
          <w:i/>
        </w:rPr>
        <w:t>Carnegie-Rochester Conference Series on Public Policy</w:t>
      </w:r>
      <w:r>
        <w:rPr/>
        <w:t>, 39, 195-214.</w:t>
      </w:r>
    </w:p>
    <w:p>
      <w:pPr>
        <w:pStyle w:val="Normal"/>
        <w:spacing w:lineRule="auto" w:line="240" w:before="0" w:after="210"/>
        <w:rPr/>
      </w:pPr>
      <w:r>
        <w:rPr/>
        <w:t xml:space="preserve">[8] Woodford, M. (2003). </w:t>
      </w:r>
      <w:r>
        <w:rPr>
          <w:i/>
        </w:rPr>
        <w:t>Interest and Prices: Foundations of a Theory of Monetary Policy</w:t>
      </w:r>
      <w:r>
        <w:rPr/>
        <w:t>. Princeton University Press.</w:t>
      </w:r>
    </w:p>
    <w:p>
      <w:pPr>
        <w:pStyle w:val="Normal"/>
        <w:spacing w:lineRule="auto" w:line="240" w:before="0" w:after="210"/>
        <w:rPr/>
      </w:pPr>
      <w:r>
        <w:rPr/>
        <w:t xml:space="preserve">[9] Hamilton, J. D. (2018). Why you should never use the Hodrick-Prescott filter. </w:t>
      </w:r>
      <w:r>
        <w:rPr>
          <w:i/>
        </w:rPr>
        <w:t>Review of Economics and Statistics</w:t>
      </w:r>
      <w:r>
        <w:rPr/>
        <w:t>, 100(5), 831-843.</w:t>
      </w:r>
    </w:p>
    <w:p>
      <w:pPr>
        <w:pStyle w:val="Normal"/>
        <w:spacing w:lineRule="auto" w:line="240" w:before="0" w:after="210"/>
        <w:rPr/>
      </w:pPr>
      <w:r>
        <w:rPr/>
        <w:t xml:space="preserve">[10] Cochrane, J. H. (2007). Identification with Taylor rules. </w:t>
      </w:r>
      <w:r>
        <w:rPr>
          <w:i/>
        </w:rPr>
        <w:t>NBER Working Paper</w:t>
      </w:r>
      <w:r>
        <w:rPr/>
        <w:t xml:space="preserve"> No. 13409.</w:t>
      </w:r>
    </w:p>
    <w:sectPr>
      <w:type w:val="nextPage"/>
      <w:pgSz w:w="12240" w:h="15840"/>
      <w:pgMar w:left="1775" w:right="1775" w:gutter="0" w:header="0" w:top="1415" w:footer="0" w:bottom="141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Arial" w:cs="DejaVu Sans" w:cstheme="minorBidi" w:eastAsiaTheme="minorHAnsi" w:hAnsiTheme="minorHAnsi"/>
        <w:sz w:val="21"/>
        <w:szCs w:val="22"/>
        <w:lang w:val="pt-PT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tLeast" w:line="240" w:before="0" w:after="120"/>
      <w:jc w:val="left"/>
    </w:pPr>
    <w:rPr>
      <w:rFonts w:ascii="Georgia" w:hAnsi="Georgia" w:eastAsia="Arial" w:cs="DejaVu Sans" w:cstheme="minorBidi" w:eastAsiaTheme="minorHAnsi" w:hAnsiTheme="minorHAnsi"/>
      <w:color w:val="auto"/>
      <w:kern w:val="0"/>
      <w:sz w:val="21"/>
      <w:szCs w:val="22"/>
      <w:lang w:val="pt-PT" w:eastAsia="en-US" w:bidi="ar-SA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bcb.gov.br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113</TotalTime>
  <Application>LibreOffice/24.2.7.2$Linux_X86_64 LibreOffice_project/420$Build-2</Application>
  <AppVersion>15.0000</AppVersion>
  <Pages>11</Pages>
  <Words>2332</Words>
  <Characters>13394</Characters>
  <CharactersWithSpaces>15471</CharactersWithSpaces>
  <Paragraphs>244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2025-12-02T19:57:50Z</dcterms:created>
  <dc:creator>html-to-docx</dc:creator>
  <dc:description/>
  <cp:keywords>html-to-docx</cp:keywords>
  <dc:language>pt-BR</dc:language>
  <cp:lastModifiedBy/>
  <dcterms:modified xsi:type="dcterms:W3CDTF">2026-01-01T22:44:57Z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