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6482" w:type="pct"/>
        <w:jc w:val="center"/>
        <w:tblLook w:val="04A0" w:firstRow="1" w:lastRow="0" w:firstColumn="1" w:lastColumn="0" w:noHBand="0" w:noVBand="1"/>
      </w:tblPr>
      <w:tblGrid>
        <w:gridCol w:w="2291"/>
        <w:gridCol w:w="2431"/>
        <w:gridCol w:w="6290"/>
      </w:tblGrid>
      <w:tr w:rsidR="00936B7D" w:rsidRPr="00936B7D" w14:paraId="70EE57E3" w14:textId="77777777" w:rsidTr="00936B7D">
        <w:trPr>
          <w:trHeight w:val="654"/>
          <w:jc w:val="center"/>
        </w:trPr>
        <w:tc>
          <w:tcPr>
            <w:tcW w:w="5000" w:type="pct"/>
            <w:gridSpan w:val="3"/>
            <w:hideMark/>
          </w:tcPr>
          <w:p w14:paraId="2884278F" w14:textId="468A9A62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FFFFFF"/>
                <w:kern w:val="0"/>
                <w:sz w:val="24"/>
                <w:szCs w:val="24"/>
                <w:u w:val="single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PI (ELO): PERDIDA DE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 </w:t>
            </w:r>
            <w:r w:rsidRPr="00936B7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INGRESO DEBIDO </w:t>
            </w:r>
            <w:r w:rsidR="00A158C5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 xml:space="preserve">A LA </w:t>
            </w:r>
            <w:r w:rsidR="00446D1D">
              <w:rPr>
                <w:rFonts w:ascii="Calibri" w:eastAsia="Times New Roman" w:hAnsi="Calibri" w:cs="Calibri"/>
                <w:bCs/>
                <w:kern w:val="0"/>
                <w:sz w:val="24"/>
                <w:szCs w:val="24"/>
                <w:u w:val="single"/>
                <w:lang w:eastAsia="es-ES"/>
                <w14:ligatures w14:val="none"/>
              </w:rPr>
              <w:t>INUNDACIÓN COSTERA</w:t>
            </w:r>
          </w:p>
        </w:tc>
      </w:tr>
      <w:tr w:rsidR="00936B7D" w:rsidRPr="00936B7D" w14:paraId="058D132F" w14:textId="77777777" w:rsidTr="00936B7D">
        <w:trPr>
          <w:trHeight w:val="583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029A5B18" w14:textId="77777777" w:rsid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MODELO DE </w:t>
            </w:r>
          </w:p>
          <w:p w14:paraId="02AE9AFD" w14:textId="6C548C61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IMPACTO FÍSICO </w:t>
            </w:r>
          </w:p>
        </w:tc>
        <w:tc>
          <w:tcPr>
            <w:tcW w:w="1104" w:type="pct"/>
            <w:vMerge w:val="restart"/>
            <w:vAlign w:val="center"/>
            <w:hideMark/>
          </w:tcPr>
          <w:p w14:paraId="7F7C8CFC" w14:textId="1CC11F3B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 del modelo</w:t>
            </w:r>
          </w:p>
        </w:tc>
        <w:tc>
          <w:tcPr>
            <w:tcW w:w="2856" w:type="pct"/>
            <w:hideMark/>
          </w:tcPr>
          <w:p w14:paraId="68399EC6" w14:textId="566F5DF8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climáticas de peligrosidad: Altura de ola significante (Hs), Nivel del mar (NM=MA+MM+SLR),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periodo pico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Tp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),  </w:t>
            </w:r>
            <w:r w:rsidRPr="00936B7D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dirección de oleaje (θ)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</w:tc>
      </w:tr>
      <w:tr w:rsidR="00936B7D" w:rsidRPr="00936B7D" w14:paraId="4CD7919F" w14:textId="77777777" w:rsidTr="004D4771">
        <w:trPr>
          <w:trHeight w:val="663"/>
          <w:jc w:val="center"/>
        </w:trPr>
        <w:tc>
          <w:tcPr>
            <w:tcW w:w="1040" w:type="pct"/>
            <w:vMerge/>
            <w:vAlign w:val="center"/>
            <w:hideMark/>
          </w:tcPr>
          <w:p w14:paraId="1025B237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Merge/>
            <w:vAlign w:val="center"/>
            <w:hideMark/>
          </w:tcPr>
          <w:p w14:paraId="1132AE0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2856" w:type="pct"/>
            <w:hideMark/>
          </w:tcPr>
          <w:p w14:paraId="604B891A" w14:textId="0B6B4D3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Variables físicas: </w:t>
            </w:r>
            <w:r w:rsidR="00DF4B63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Batimetría, 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Cota de explanada del muelle (</w:t>
            </w:r>
            <w:proofErr w:type="spellStart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Z</w:t>
            </w: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vertAlign w:val="subscript"/>
                <w:lang w:eastAsia="es-ES"/>
                <w14:ligatures w14:val="none"/>
              </w:rPr>
              <w:t>m</w:t>
            </w:r>
            <w:proofErr w:type="spellEnd"/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)</w:t>
            </w:r>
            <w:r w:rsidR="004D4771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.</w:t>
            </w:r>
          </w:p>
        </w:tc>
      </w:tr>
      <w:tr w:rsidR="00936B7D" w:rsidRPr="00936B7D" w14:paraId="33F66CFA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4FA5F2D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1421EFBB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Ecuación de verificación</w:t>
            </w:r>
          </w:p>
        </w:tc>
        <w:tc>
          <w:tcPr>
            <w:tcW w:w="2856" w:type="pct"/>
            <w:hideMark/>
          </w:tcPr>
          <w:p w14:paraId="74F69D1E" w14:textId="4C3E2EA4" w:rsidR="00936B7D" w:rsidRPr="00792914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792914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TWL= MA + MM + SLR + Sobreelevación hidráulica + Nivel Precipitación</w:t>
            </w:r>
          </w:p>
        </w:tc>
      </w:tr>
      <w:tr w:rsidR="00936B7D" w:rsidRPr="00936B7D" w14:paraId="6177A68D" w14:textId="77777777" w:rsidTr="00936B7D">
        <w:trPr>
          <w:trHeight w:val="298"/>
          <w:jc w:val="center"/>
        </w:trPr>
        <w:tc>
          <w:tcPr>
            <w:tcW w:w="1040" w:type="pct"/>
            <w:vMerge/>
            <w:vAlign w:val="center"/>
            <w:hideMark/>
          </w:tcPr>
          <w:p w14:paraId="0FBF8E0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42B7BEBD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Vulnerabilidad</w:t>
            </w:r>
          </w:p>
        </w:tc>
        <w:tc>
          <w:tcPr>
            <w:tcW w:w="2856" w:type="pct"/>
            <w:hideMark/>
          </w:tcPr>
          <w:p w14:paraId="1E1D3499" w14:textId="141DCE1C" w:rsidR="00936B7D" w:rsidRPr="00936B7D" w:rsidRDefault="004D4771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4D4771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Inundación </w:t>
            </w:r>
          </w:p>
        </w:tc>
      </w:tr>
      <w:tr w:rsidR="00936B7D" w:rsidRPr="00936B7D" w14:paraId="6DA906E2" w14:textId="77777777" w:rsidTr="00936B7D">
        <w:trPr>
          <w:trHeight w:val="583"/>
          <w:jc w:val="center"/>
        </w:trPr>
        <w:tc>
          <w:tcPr>
            <w:tcW w:w="1040" w:type="pct"/>
            <w:vMerge/>
            <w:vAlign w:val="center"/>
            <w:hideMark/>
          </w:tcPr>
          <w:p w14:paraId="463D4850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80BFDC7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Output del modelo</w:t>
            </w:r>
          </w:p>
        </w:tc>
        <w:tc>
          <w:tcPr>
            <w:tcW w:w="2856" w:type="pct"/>
            <w:hideMark/>
          </w:tcPr>
          <w:p w14:paraId="3F139788" w14:textId="281FB825" w:rsidR="00936B7D" w:rsidRPr="00792914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792914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Número de horas al año en las que </w:t>
            </w:r>
            <w:r w:rsidR="004D4771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>se supera la cota del muelle</w:t>
            </w:r>
            <w:r w:rsidR="00CE4EC4" w:rsidRPr="00792914">
              <w:rPr>
                <w:rFonts w:ascii="Calibri" w:eastAsia="Times New Roman" w:hAnsi="Calibri" w:cs="Calibri"/>
                <w:b w:val="0"/>
                <w:color w:val="FF0000"/>
                <w:kern w:val="0"/>
                <w:sz w:val="22"/>
                <w:szCs w:val="22"/>
                <w:lang w:eastAsia="es-ES"/>
                <w14:ligatures w14:val="none"/>
              </w:rPr>
              <w:t xml:space="preserve"> (horas/año))</w:t>
            </w:r>
          </w:p>
        </w:tc>
      </w:tr>
      <w:tr w:rsidR="00936B7D" w:rsidRPr="00936B7D" w14:paraId="65271D57" w14:textId="77777777" w:rsidTr="00936B7D">
        <w:trPr>
          <w:trHeight w:val="241"/>
          <w:jc w:val="center"/>
        </w:trPr>
        <w:tc>
          <w:tcPr>
            <w:tcW w:w="1040" w:type="pct"/>
            <w:vMerge w:val="restart"/>
            <w:vAlign w:val="center"/>
            <w:hideMark/>
          </w:tcPr>
          <w:p w14:paraId="6AED0EA1" w14:textId="77777777" w:rsidR="00936B7D" w:rsidRPr="00936B7D" w:rsidRDefault="00936B7D" w:rsidP="00936B7D">
            <w:pPr>
              <w:jc w:val="center"/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 DE IMPACTO ECONOMICO</w:t>
            </w:r>
          </w:p>
        </w:tc>
        <w:tc>
          <w:tcPr>
            <w:tcW w:w="1104" w:type="pct"/>
            <w:vAlign w:val="center"/>
            <w:hideMark/>
          </w:tcPr>
          <w:p w14:paraId="235734E5" w14:textId="77777777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Driver</w:t>
            </w:r>
          </w:p>
        </w:tc>
        <w:tc>
          <w:tcPr>
            <w:tcW w:w="2856" w:type="pct"/>
            <w:hideMark/>
          </w:tcPr>
          <w:p w14:paraId="6394F926" w14:textId="445A4755" w:rsidR="00936B7D" w:rsidRPr="00936B7D" w:rsidRDefault="004D4771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Inundación costera </w:t>
            </w:r>
          </w:p>
        </w:tc>
      </w:tr>
      <w:tr w:rsidR="00936B7D" w:rsidRPr="00936B7D" w14:paraId="30306EBB" w14:textId="77777777" w:rsidTr="00936B7D">
        <w:trPr>
          <w:trHeight w:val="298"/>
          <w:jc w:val="center"/>
        </w:trPr>
        <w:tc>
          <w:tcPr>
            <w:tcW w:w="1040" w:type="pct"/>
            <w:vMerge/>
            <w:hideMark/>
          </w:tcPr>
          <w:p w14:paraId="289D7A15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C614B8D" w14:textId="6289DB14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Input</w:t>
            </w:r>
          </w:p>
        </w:tc>
        <w:tc>
          <w:tcPr>
            <w:tcW w:w="2856" w:type="pct"/>
            <w:hideMark/>
          </w:tcPr>
          <w:p w14:paraId="7B9C247B" w14:textId="77777777" w:rsidR="00936B7D" w:rsidRP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reguladas y los cánones concesionales.</w:t>
            </w:r>
          </w:p>
        </w:tc>
      </w:tr>
      <w:tr w:rsidR="00936B7D" w:rsidRPr="00936B7D" w14:paraId="220ED12B" w14:textId="77777777" w:rsidTr="00936B7D">
        <w:trPr>
          <w:trHeight w:val="2583"/>
          <w:jc w:val="center"/>
        </w:trPr>
        <w:tc>
          <w:tcPr>
            <w:tcW w:w="1040" w:type="pct"/>
            <w:vMerge/>
            <w:hideMark/>
          </w:tcPr>
          <w:p w14:paraId="4D14D313" w14:textId="77777777" w:rsidR="00936B7D" w:rsidRPr="00936B7D" w:rsidRDefault="00936B7D" w:rsidP="00936B7D">
            <w:pPr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  <w:tc>
          <w:tcPr>
            <w:tcW w:w="1104" w:type="pct"/>
            <w:vAlign w:val="center"/>
            <w:hideMark/>
          </w:tcPr>
          <w:p w14:paraId="32F26342" w14:textId="61D39BEA" w:rsidR="00936B7D" w:rsidRPr="00936B7D" w:rsidRDefault="00936B7D" w:rsidP="00936B7D">
            <w:pPr>
              <w:spacing w:line="36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Modelo</w:t>
            </w:r>
          </w:p>
        </w:tc>
        <w:tc>
          <w:tcPr>
            <w:tcW w:w="2856" w:type="pct"/>
            <w:hideMark/>
          </w:tcPr>
          <w:p w14:paraId="5E5CD9CC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r w:rsidRPr="00936B7D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Para cada escenario futuro se compara el número de horas de inoperatividad con el periodo histórico. Si la inoperatividad disminuye o se mantiene, la pérdida de ingresos se considera nula. Si aumenta, la pérdida se calcula multiplicando el incremento de horas no operativas por el ingreso horario medio de la terminal. </w:t>
            </w:r>
          </w:p>
          <w:p w14:paraId="25E16C39" w14:textId="77777777" w:rsidR="00936B7D" w:rsidRDefault="00936B7D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  <w:p w14:paraId="03C493F1" w14:textId="295275DA" w:rsidR="00CE4EC4" w:rsidRPr="00CE4EC4" w:rsidRDefault="00000000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bCs/>
                <w:iCs/>
                <w:sz w:val="22"/>
                <w:szCs w:val="22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bCs/>
                        <w:i/>
                        <w:iCs/>
                        <w:sz w:val="22"/>
                        <w:szCs w:val="22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ΔR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sz w:val="22"/>
                    <w:szCs w:val="22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b w:val="0"/>
                        <w:bCs/>
                        <w:iCs/>
                        <w:sz w:val="22"/>
                        <w:szCs w:val="22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2"/>
                        <w:szCs w:val="22"/>
                      </w:rPr>
                      <m:t>max</m:t>
                    </m:r>
                  </m:fName>
                  <m:e>
                    <m:d>
                      <m:dPr>
                        <m:begChr m:val="{"/>
                        <m:endChr m:val="}"/>
                        <m:ctrlPr>
                          <w:rPr>
                            <w:rFonts w:ascii="Cambria Math" w:hAnsi="Cambria Math"/>
                            <w:b w:val="0"/>
                            <w:bCs/>
                            <w:i/>
                            <w:sz w:val="22"/>
                            <w:szCs w:val="22"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0,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port</m:t>
                                </m:r>
                              </m:sub>
                            </m:s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b w:val="0"/>
                                    <w:bCs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  <w:sz w:val="22"/>
                                    <w:szCs w:val="22"/>
                                  </w:rPr>
                                  <m:t>conc</m:t>
                                </m:r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Arial"/>
                                    <w:sz w:val="22"/>
                                    <w:szCs w:val="22"/>
                                  </w:rPr>
                                  <m:t>​​</m:t>
                                </m:r>
                              </m:sub>
                            </m:sSub>
                          </m:num>
                          <m:den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365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Cambria Math"/>
                                <w:sz w:val="22"/>
                                <w:szCs w:val="22"/>
                              </w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24</m:t>
                            </m:r>
                          </m:den>
                        </m:f>
                        <m:r>
                          <m:rPr>
                            <m:sty m:val="bi"/>
                          </m:rPr>
                          <w:rPr>
                            <w:rFonts w:ascii="Cambria Math" w:hAnsi="Cambria Math" w:cs="Cambria Math"/>
                            <w:sz w:val="22"/>
                            <w:szCs w:val="22"/>
                          </w:rPr>
                          <m:t>⋅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iCs/>
                                <w:sz w:val="22"/>
                                <w:szCs w:val="22"/>
                              </w:rPr>
                            </m:ctrlPr>
                          </m:d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HFs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-HFhist</m:t>
                            </m:r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Arial"/>
                                <w:sz w:val="22"/>
                                <w:szCs w:val="22"/>
                              </w:rPr>
                              <m:t>​</m:t>
                            </m:r>
                            <m:ctrlPr>
                              <w:rPr>
                                <w:rFonts w:ascii="Cambria Math" w:hAnsi="Cambria Math"/>
                                <w:b w:val="0"/>
                                <w:bCs/>
                                <w:i/>
                                <w:sz w:val="22"/>
                                <w:szCs w:val="22"/>
                              </w:rPr>
                            </m:ctrlPr>
                          </m:e>
                        </m:d>
                      </m:e>
                    </m:d>
                  </m:e>
                </m:func>
              </m:oMath>
            </m:oMathPara>
          </w:p>
          <w:p w14:paraId="17D6AF46" w14:textId="2B1C4FDC" w:rsidR="00CE4EC4" w:rsidRPr="00936B7D" w:rsidRDefault="00CE4EC4" w:rsidP="00936B7D">
            <w:p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</w:p>
        </w:tc>
      </w:tr>
      <w:tr w:rsidR="00CE4EC4" w:rsidRPr="00936B7D" w14:paraId="4B9A7A05" w14:textId="77777777" w:rsidTr="00CE4EC4">
        <w:trPr>
          <w:trHeight w:val="2013"/>
          <w:jc w:val="center"/>
        </w:trPr>
        <w:tc>
          <w:tcPr>
            <w:tcW w:w="5000" w:type="pct"/>
            <w:gridSpan w:val="3"/>
          </w:tcPr>
          <w:p w14:paraId="16E84B6E" w14:textId="3221B87D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ΔRs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pérdida de ingresos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 al escenario futuro, expresada en euros. </w:t>
            </w:r>
          </w:p>
          <w:p w14:paraId="3B8783F2" w14:textId="0C62EDC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Tport</w:t>
            </w:r>
            <w:proofErr w:type="spellEnd"/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: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importe anual de las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tasas portuarias efectivamente recaudadas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asociadas a la actividad de la terminal. </w:t>
            </w:r>
          </w:p>
          <w:p w14:paraId="58DDA850" w14:textId="768FDDFA" w:rsidR="00CE4EC4" w:rsidRPr="00CE4EC4" w:rsidRDefault="00CE4EC4" w:rsidP="00CE4EC4">
            <w:pPr>
              <w:numPr>
                <w:ilvl w:val="0"/>
                <w:numId w:val="3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Ccon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importe anual de los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cánones concesionales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asociados a la terminal. </w:t>
            </w:r>
          </w:p>
          <w:p w14:paraId="2B4F89B6" w14:textId="24244B14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HFs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escenario futur</w:t>
            </w:r>
            <w:r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o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. </w:t>
            </w:r>
          </w:p>
          <w:p w14:paraId="361B2D02" w14:textId="2D0D7971" w:rsidR="00CE4EC4" w:rsidRPr="00CE4EC4" w:rsidRDefault="00CE4EC4" w:rsidP="00CE4EC4">
            <w:pPr>
              <w:numPr>
                <w:ilvl w:val="0"/>
                <w:numId w:val="4"/>
              </w:numPr>
              <w:spacing w:line="36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</w:pPr>
            <w:proofErr w:type="spellStart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HFhist</w:t>
            </w:r>
            <w:proofErr w:type="spellEnd"/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​: número anual de </w:t>
            </w:r>
            <w:r w:rsidRPr="00CE4EC4">
              <w:rPr>
                <w:rFonts w:ascii="Calibri" w:eastAsia="Times New Roman" w:hAnsi="Calibri" w:cs="Calibri"/>
                <w:bCs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>horas de inoperatividad</w:t>
            </w:r>
            <w:r w:rsidRPr="00CE4EC4">
              <w:rPr>
                <w:rFonts w:ascii="Calibri" w:eastAsia="Times New Roman" w:hAnsi="Calibri" w:cs="Calibri"/>
                <w:b w:val="0"/>
                <w:color w:val="000000"/>
                <w:kern w:val="0"/>
                <w:sz w:val="22"/>
                <w:szCs w:val="22"/>
                <w:lang w:eastAsia="es-ES"/>
                <w14:ligatures w14:val="none"/>
              </w:rPr>
              <w:t xml:space="preserve"> en el periodo histórico. </w:t>
            </w:r>
          </w:p>
        </w:tc>
      </w:tr>
    </w:tbl>
    <w:p w14:paraId="77B93AF1" w14:textId="77777777" w:rsidR="00936B7D" w:rsidRDefault="00936B7D">
      <w:pPr>
        <w:rPr>
          <w:rFonts w:eastAsiaTheme="minorEastAsia"/>
          <w:iCs/>
        </w:rPr>
      </w:pPr>
    </w:p>
    <w:p w14:paraId="092FAB90" w14:textId="09B5867B" w:rsidR="00644C93" w:rsidRDefault="00644C93"/>
    <w:p w14:paraId="32DC9B51" w14:textId="77777777" w:rsidR="00644C93" w:rsidRDefault="00644C93"/>
    <w:p w14:paraId="194F960B" w14:textId="77777777" w:rsidR="00644C93" w:rsidRDefault="00644C93"/>
    <w:p w14:paraId="1F7D83D3" w14:textId="77777777" w:rsidR="00644C93" w:rsidRDefault="00644C93"/>
    <w:p w14:paraId="3115AC15" w14:textId="32E5970B" w:rsidR="00644C93" w:rsidRDefault="00F53359">
      <w:r w:rsidRPr="00F53359">
        <w:rPr>
          <w:noProof/>
        </w:rPr>
        <w:lastRenderedPageBreak/>
        <w:drawing>
          <wp:inline distT="0" distB="0" distL="0" distR="0" wp14:anchorId="2CE05EF5" wp14:editId="4A58D6B4">
            <wp:extent cx="5400040" cy="22352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CE0F" w14:textId="77777777" w:rsidR="00644C93" w:rsidRDefault="00644C93"/>
    <w:p w14:paraId="621BC6E1" w14:textId="77777777" w:rsidR="00644C93" w:rsidRDefault="00644C93"/>
    <w:p w14:paraId="276AC41F" w14:textId="17DE7BA5" w:rsidR="00644C93" w:rsidRDefault="00644C93"/>
    <w:p w14:paraId="074446DC" w14:textId="68D69DCD" w:rsidR="00644C93" w:rsidRDefault="00644C93"/>
    <w:sectPr w:rsidR="00644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D701F"/>
    <w:multiLevelType w:val="multilevel"/>
    <w:tmpl w:val="2780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C66CB7"/>
    <w:multiLevelType w:val="multilevel"/>
    <w:tmpl w:val="DFE0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4709EE"/>
    <w:multiLevelType w:val="multilevel"/>
    <w:tmpl w:val="2DC0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7E1EB8"/>
    <w:multiLevelType w:val="multilevel"/>
    <w:tmpl w:val="5100C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656854">
    <w:abstractNumId w:val="2"/>
  </w:num>
  <w:num w:numId="2" w16cid:durableId="1295480774">
    <w:abstractNumId w:val="3"/>
  </w:num>
  <w:num w:numId="3" w16cid:durableId="642196051">
    <w:abstractNumId w:val="1"/>
  </w:num>
  <w:num w:numId="4" w16cid:durableId="1886529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716"/>
    <w:rsid w:val="00016FAE"/>
    <w:rsid w:val="0009057E"/>
    <w:rsid w:val="00196716"/>
    <w:rsid w:val="001A29FD"/>
    <w:rsid w:val="001F5997"/>
    <w:rsid w:val="002D0AA7"/>
    <w:rsid w:val="00382C95"/>
    <w:rsid w:val="003E2300"/>
    <w:rsid w:val="00446D1D"/>
    <w:rsid w:val="004D4771"/>
    <w:rsid w:val="00556B73"/>
    <w:rsid w:val="005F0294"/>
    <w:rsid w:val="005F38CA"/>
    <w:rsid w:val="0060073D"/>
    <w:rsid w:val="006125E9"/>
    <w:rsid w:val="006167E7"/>
    <w:rsid w:val="00644C93"/>
    <w:rsid w:val="00792914"/>
    <w:rsid w:val="00936B7D"/>
    <w:rsid w:val="00A158C5"/>
    <w:rsid w:val="00AA651A"/>
    <w:rsid w:val="00AA7C8C"/>
    <w:rsid w:val="00C57100"/>
    <w:rsid w:val="00C879F4"/>
    <w:rsid w:val="00C924E6"/>
    <w:rsid w:val="00CE4EC4"/>
    <w:rsid w:val="00DF4B63"/>
    <w:rsid w:val="00E527B2"/>
    <w:rsid w:val="00E53F65"/>
    <w:rsid w:val="00E6755E"/>
    <w:rsid w:val="00E92245"/>
    <w:rsid w:val="00F011E6"/>
    <w:rsid w:val="00F5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5C7669"/>
  <w15:chartTrackingRefBased/>
  <w15:docId w15:val="{51F70731-686C-46A5-8A9C-05DA7D3C9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ajorBidi"/>
        <w:b/>
        <w:kern w:val="2"/>
        <w:sz w:val="32"/>
        <w:szCs w:val="3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96716"/>
    <w:pPr>
      <w:keepNext/>
      <w:keepLines/>
      <w:spacing w:before="360" w:after="80"/>
      <w:outlineLvl w:val="0"/>
    </w:pPr>
    <w:rPr>
      <w:rFonts w:eastAsia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6716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671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671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671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671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671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671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671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6716"/>
    <w:rPr>
      <w:rFonts w:eastAsiaTheme="majorEastAsia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6716"/>
    <w:rPr>
      <w:rFonts w:eastAsiaTheme="majorEastAsia"/>
      <w:color w:val="0F4761" w:themeColor="accent1" w:themeShade="BF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6716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6716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6716"/>
    <w:rPr>
      <w:rFonts w:asciiTheme="minorHAnsi" w:eastAsiaTheme="majorEastAsia" w:hAnsiTheme="minorHAns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671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6716"/>
    <w:rPr>
      <w:rFonts w:asciiTheme="minorHAnsi" w:eastAsiaTheme="majorEastAsia" w:hAnsiTheme="minorHAns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671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6716"/>
    <w:rPr>
      <w:rFonts w:asciiTheme="minorHAnsi" w:eastAsiaTheme="majorEastAsia" w:hAnsiTheme="minorHAns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6716"/>
    <w:pPr>
      <w:spacing w:after="80" w:line="240" w:lineRule="auto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6716"/>
    <w:rPr>
      <w:rFonts w:eastAsiaTheme="majorEastAsia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671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671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67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67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67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67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67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67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6716"/>
    <w:rPr>
      <w:b w:val="0"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36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3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234</Words>
  <Characters>1290</Characters>
  <Application>Microsoft Office Word</Application>
  <DocSecurity>0</DocSecurity>
  <Lines>10</Lines>
  <Paragraphs>3</Paragraphs>
  <ScaleCrop>false</ScaleCrop>
  <Company>UC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Fernández González, Yailín</dc:creator>
  <cp:keywords/>
  <dc:description/>
  <cp:lastModifiedBy>Fernández González, Yailín</cp:lastModifiedBy>
  <cp:revision>11</cp:revision>
  <dcterms:created xsi:type="dcterms:W3CDTF">2026-08-03T11:45:00Z</dcterms:created>
  <dcterms:modified xsi:type="dcterms:W3CDTF">2026-08-04T10:14:00Z</dcterms:modified>
</cp:coreProperties>
</file>