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6482" w:type="pct"/>
        <w:jc w:val="center"/>
        <w:tblLook w:val="04A0" w:firstRow="1" w:lastRow="0" w:firstColumn="1" w:lastColumn="0" w:noHBand="0" w:noVBand="1"/>
      </w:tblPr>
      <w:tblGrid>
        <w:gridCol w:w="2291"/>
        <w:gridCol w:w="2431"/>
        <w:gridCol w:w="6290"/>
      </w:tblGrid>
      <w:tr w:rsidR="00936B7D" w:rsidRPr="00936B7D" w14:paraId="70EE57E3" w14:textId="77777777" w:rsidTr="00936B7D">
        <w:trPr>
          <w:trHeight w:val="654"/>
          <w:jc w:val="center"/>
        </w:trPr>
        <w:tc>
          <w:tcPr>
            <w:tcW w:w="5000" w:type="pct"/>
            <w:gridSpan w:val="3"/>
            <w:hideMark/>
          </w:tcPr>
          <w:p w14:paraId="2884278F" w14:textId="266FDAE5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FFFFFF"/>
                <w:kern w:val="0"/>
                <w:sz w:val="24"/>
                <w:szCs w:val="24"/>
                <w:u w:val="single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PI (ELO): PERDIDA DE</w:t>
            </w:r>
            <w:r w:rsidR="00A158C5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 xml:space="preserve"> </w:t>
            </w:r>
            <w:r w:rsidRPr="00936B7D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INGRESO D</w:t>
            </w:r>
            <w:r w:rsidR="008F55FB">
              <w:rPr>
                <w:rFonts w:ascii="Calibri" w:eastAsia="Times New Roman" w:hAnsi="Calibri" w:cs="Calibri"/>
                <w:bCs/>
                <w:kern w:val="0"/>
                <w:sz w:val="24"/>
                <w:szCs w:val="24"/>
                <w:u w:val="single"/>
                <w:lang w:eastAsia="es-ES"/>
                <w14:ligatures w14:val="none"/>
              </w:rPr>
              <w:t>EBIDO A LA  VISIBILIDAD REDUCIDA POR NIEBLA</w:t>
            </w:r>
          </w:p>
        </w:tc>
      </w:tr>
      <w:tr w:rsidR="00936B7D" w:rsidRPr="00936B7D" w14:paraId="058D132F" w14:textId="77777777" w:rsidTr="00936B7D">
        <w:trPr>
          <w:trHeight w:val="583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029A5B18" w14:textId="77777777" w:rsid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MODELO DE </w:t>
            </w:r>
          </w:p>
          <w:p w14:paraId="02AE9AFD" w14:textId="6C548C61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IMPACTO FÍSICO </w:t>
            </w:r>
          </w:p>
        </w:tc>
        <w:tc>
          <w:tcPr>
            <w:tcW w:w="1104" w:type="pct"/>
            <w:vMerge w:val="restart"/>
            <w:vAlign w:val="center"/>
            <w:hideMark/>
          </w:tcPr>
          <w:p w14:paraId="7F7C8CFC" w14:textId="1CC11F3B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 del modelo</w:t>
            </w:r>
          </w:p>
        </w:tc>
        <w:tc>
          <w:tcPr>
            <w:tcW w:w="2856" w:type="pct"/>
            <w:hideMark/>
          </w:tcPr>
          <w:p w14:paraId="68399EC6" w14:textId="1074C783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climáticas de peligrosidad: </w:t>
            </w:r>
            <w:r w:rsidR="008F55FB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Temperatura, humedad relativa, precipitación, radiación, presión atmosférica, salinidad</w:t>
            </w:r>
          </w:p>
        </w:tc>
      </w:tr>
      <w:tr w:rsidR="00936B7D" w:rsidRPr="00936B7D" w14:paraId="4CD7919F" w14:textId="77777777" w:rsidTr="00936B7D">
        <w:trPr>
          <w:trHeight w:val="696"/>
          <w:jc w:val="center"/>
        </w:trPr>
        <w:tc>
          <w:tcPr>
            <w:tcW w:w="1040" w:type="pct"/>
            <w:vMerge/>
            <w:vAlign w:val="center"/>
            <w:hideMark/>
          </w:tcPr>
          <w:p w14:paraId="1025B237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Merge/>
            <w:vAlign w:val="center"/>
            <w:hideMark/>
          </w:tcPr>
          <w:p w14:paraId="1132AE0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2856" w:type="pct"/>
            <w:hideMark/>
          </w:tcPr>
          <w:p w14:paraId="604B891A" w14:textId="1673DC24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Variables físicas: </w:t>
            </w:r>
            <w:r w:rsidR="004E22B8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-</w:t>
            </w:r>
          </w:p>
        </w:tc>
      </w:tr>
      <w:tr w:rsidR="00936B7D" w:rsidRPr="00936B7D" w14:paraId="33F66CFA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4FA5F2D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1421EFBB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Ecuación de verificación</w:t>
            </w:r>
          </w:p>
        </w:tc>
        <w:tc>
          <w:tcPr>
            <w:tcW w:w="2856" w:type="pct"/>
            <w:hideMark/>
          </w:tcPr>
          <w:p w14:paraId="74F69D1E" w14:textId="521EDA0E" w:rsidR="00936B7D" w:rsidRPr="00936B7D" w:rsidRDefault="004E22B8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E22B8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No aplica</w:t>
            </w:r>
          </w:p>
        </w:tc>
      </w:tr>
      <w:tr w:rsidR="00936B7D" w:rsidRPr="00936B7D" w14:paraId="6177A68D" w14:textId="77777777" w:rsidTr="00936B7D">
        <w:trPr>
          <w:trHeight w:val="298"/>
          <w:jc w:val="center"/>
        </w:trPr>
        <w:tc>
          <w:tcPr>
            <w:tcW w:w="1040" w:type="pct"/>
            <w:vMerge/>
            <w:vAlign w:val="center"/>
            <w:hideMark/>
          </w:tcPr>
          <w:p w14:paraId="0FBF8E0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42B7BEBD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Vulnerabilidad</w:t>
            </w:r>
          </w:p>
        </w:tc>
        <w:tc>
          <w:tcPr>
            <w:tcW w:w="2856" w:type="pct"/>
            <w:hideMark/>
          </w:tcPr>
          <w:p w14:paraId="1E1D3499" w14:textId="01B6B64F" w:rsidR="00936B7D" w:rsidRPr="00936B7D" w:rsidRDefault="008F55FB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Distancia de visibilidad mínima operativa.</w:t>
            </w:r>
          </w:p>
        </w:tc>
      </w:tr>
      <w:tr w:rsidR="00936B7D" w:rsidRPr="00936B7D" w14:paraId="6DA906E2" w14:textId="77777777" w:rsidTr="00936B7D">
        <w:trPr>
          <w:trHeight w:val="583"/>
          <w:jc w:val="center"/>
        </w:trPr>
        <w:tc>
          <w:tcPr>
            <w:tcW w:w="1040" w:type="pct"/>
            <w:vMerge/>
            <w:vAlign w:val="center"/>
            <w:hideMark/>
          </w:tcPr>
          <w:p w14:paraId="463D4850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80BFDC7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Output del modelo</w:t>
            </w:r>
          </w:p>
        </w:tc>
        <w:tc>
          <w:tcPr>
            <w:tcW w:w="2856" w:type="pct"/>
            <w:hideMark/>
          </w:tcPr>
          <w:p w14:paraId="3F139788" w14:textId="46C14AD8" w:rsidR="00936B7D" w:rsidRPr="00CA5CBF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Número de horas al año en la</w:t>
            </w:r>
            <w:r w:rsidR="008F55FB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 xml:space="preserve">s que la visibilidad horizontal es baja a una distancia determinada </w:t>
            </w:r>
            <w:r w:rsidR="00CE4EC4" w:rsidRPr="00CA5CBF">
              <w:rPr>
                <w:rFonts w:ascii="Calibri" w:eastAsia="Times New Roman" w:hAnsi="Calibri" w:cs="Calibri"/>
                <w:b w:val="0"/>
                <w:color w:val="FF0000"/>
                <w:kern w:val="0"/>
                <w:sz w:val="22"/>
                <w:szCs w:val="22"/>
                <w:lang w:eastAsia="es-ES"/>
                <w14:ligatures w14:val="none"/>
              </w:rPr>
              <w:t>(horas/año))</w:t>
            </w:r>
          </w:p>
        </w:tc>
      </w:tr>
      <w:tr w:rsidR="00936B7D" w:rsidRPr="00936B7D" w14:paraId="65271D57" w14:textId="77777777" w:rsidTr="008F55FB">
        <w:trPr>
          <w:trHeight w:val="124"/>
          <w:jc w:val="center"/>
        </w:trPr>
        <w:tc>
          <w:tcPr>
            <w:tcW w:w="1040" w:type="pct"/>
            <w:vMerge w:val="restart"/>
            <w:vAlign w:val="center"/>
            <w:hideMark/>
          </w:tcPr>
          <w:p w14:paraId="6AED0EA1" w14:textId="77777777" w:rsidR="00936B7D" w:rsidRPr="00936B7D" w:rsidRDefault="00936B7D" w:rsidP="00936B7D">
            <w:pPr>
              <w:jc w:val="center"/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 DE IMPACTO ECONOMICO</w:t>
            </w:r>
          </w:p>
        </w:tc>
        <w:tc>
          <w:tcPr>
            <w:tcW w:w="1104" w:type="pct"/>
            <w:vAlign w:val="center"/>
            <w:hideMark/>
          </w:tcPr>
          <w:p w14:paraId="235734E5" w14:textId="77777777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Driver</w:t>
            </w:r>
          </w:p>
        </w:tc>
        <w:tc>
          <w:tcPr>
            <w:tcW w:w="2856" w:type="pct"/>
            <w:hideMark/>
          </w:tcPr>
          <w:p w14:paraId="6394F926" w14:textId="00AD6D23" w:rsidR="00936B7D" w:rsidRPr="00936B7D" w:rsidRDefault="008F55FB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Disminución de la distancia de visibilidad</w:t>
            </w:r>
          </w:p>
        </w:tc>
      </w:tr>
      <w:tr w:rsidR="00936B7D" w:rsidRPr="00936B7D" w14:paraId="30306EBB" w14:textId="77777777" w:rsidTr="00936B7D">
        <w:trPr>
          <w:trHeight w:val="298"/>
          <w:jc w:val="center"/>
        </w:trPr>
        <w:tc>
          <w:tcPr>
            <w:tcW w:w="1040" w:type="pct"/>
            <w:vMerge/>
            <w:hideMark/>
          </w:tcPr>
          <w:p w14:paraId="289D7A15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C614B8D" w14:textId="6289DB14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Input</w:t>
            </w:r>
          </w:p>
        </w:tc>
        <w:tc>
          <w:tcPr>
            <w:tcW w:w="2856" w:type="pct"/>
            <w:hideMark/>
          </w:tcPr>
          <w:p w14:paraId="7B9C247B" w14:textId="77777777" w:rsidR="00936B7D" w:rsidRP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reguladas y los cánones concesionales.</w:t>
            </w:r>
          </w:p>
        </w:tc>
      </w:tr>
      <w:tr w:rsidR="00936B7D" w:rsidRPr="00936B7D" w14:paraId="220ED12B" w14:textId="77777777" w:rsidTr="00936B7D">
        <w:trPr>
          <w:trHeight w:val="2583"/>
          <w:jc w:val="center"/>
        </w:trPr>
        <w:tc>
          <w:tcPr>
            <w:tcW w:w="1040" w:type="pct"/>
            <w:vMerge/>
            <w:hideMark/>
          </w:tcPr>
          <w:p w14:paraId="4D14D313" w14:textId="77777777" w:rsidR="00936B7D" w:rsidRPr="00936B7D" w:rsidRDefault="00936B7D" w:rsidP="00936B7D">
            <w:pPr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</w:tc>
        <w:tc>
          <w:tcPr>
            <w:tcW w:w="1104" w:type="pct"/>
            <w:vAlign w:val="center"/>
            <w:hideMark/>
          </w:tcPr>
          <w:p w14:paraId="32F26342" w14:textId="61D39BEA" w:rsidR="00936B7D" w:rsidRPr="00936B7D" w:rsidRDefault="00936B7D" w:rsidP="00936B7D">
            <w:pPr>
              <w:spacing w:line="360" w:lineRule="auto"/>
              <w:jc w:val="center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Modelo</w:t>
            </w:r>
          </w:p>
        </w:tc>
        <w:tc>
          <w:tcPr>
            <w:tcW w:w="2856" w:type="pct"/>
            <w:hideMark/>
          </w:tcPr>
          <w:p w14:paraId="5E5CD9CC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936B7D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Para cada escenario futuro se compara el número de horas de inoperatividad con el periodo histórico. Si la inoperatividad disminuye o se mantiene, la pérdida de ingresos se considera nula. Si aumenta, la pérdida se calcula multiplicando el incremento de horas no operativas por el ingreso horario medio de la terminal. </w:t>
            </w:r>
          </w:p>
          <w:p w14:paraId="25E16C39" w14:textId="77777777" w:rsidR="00936B7D" w:rsidRDefault="00936B7D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</w:p>
          <w:p w14:paraId="17D6AF46" w14:textId="71A8A6FE" w:rsidR="00CE4EC4" w:rsidRPr="009D5C67" w:rsidRDefault="00000000" w:rsidP="00936B7D">
            <w:pPr>
              <w:spacing w:line="360" w:lineRule="auto"/>
              <w:jc w:val="both"/>
              <w:rPr>
                <w:rFonts w:ascii="Calibri" w:eastAsia="Times New Roman" w:hAnsi="Calibri" w:cs="Calibri"/>
                <w:b w:val="0"/>
                <w:bCs/>
                <w:iCs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/>
                        <w:i/>
                        <w:iCs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ΔR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  <w:b w:val="0"/>
                        <w:bCs/>
                        <w:iCs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fName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b w:val="0"/>
                            <w:bCs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0,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port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 w:val="0"/>
                                    <w:bCs/>
                                    <w:i/>
                                    <w:iCs/>
                                    <w:sz w:val="22"/>
                                    <w:szCs w:val="2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conc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ial"/>
                                    <w:sz w:val="22"/>
                                    <w:szCs w:val="22"/>
                                  </w:rPr>
                                  <m:t>​​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365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/>
                                <w:sz w:val="22"/>
                                <w:szCs w:val="22"/>
                              </w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/>
                            <w:sz w:val="22"/>
                            <w:szCs w:val="22"/>
                          </w:rPr>
                          <m:t>⋅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HFs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-HFhist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​</m:t>
                            </m:r>
                            <m:ctrlPr>
                              <w:rPr>
                                <w:rFonts w:ascii="Cambria Math" w:hAnsi="Cambria Math"/>
                                <w:b w:val="0"/>
                                <w:bCs/>
                                <w:i/>
                                <w:sz w:val="22"/>
                                <w:szCs w:val="22"/>
                              </w:rPr>
                            </m:ctrlPr>
                          </m:e>
                        </m:d>
                      </m:e>
                    </m:d>
                  </m:e>
                </m:func>
              </m:oMath>
            </m:oMathPara>
          </w:p>
        </w:tc>
      </w:tr>
      <w:tr w:rsidR="00CE4EC4" w:rsidRPr="00936B7D" w14:paraId="4B9A7A05" w14:textId="77777777" w:rsidTr="00CE4EC4">
        <w:trPr>
          <w:trHeight w:val="2013"/>
          <w:jc w:val="center"/>
        </w:trPr>
        <w:tc>
          <w:tcPr>
            <w:tcW w:w="5000" w:type="pct"/>
            <w:gridSpan w:val="3"/>
          </w:tcPr>
          <w:p w14:paraId="16E84B6E" w14:textId="3221B87D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ΔRs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pérdida de ingresos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 al escenario futuro, expresada en euros. </w:t>
            </w:r>
          </w:p>
          <w:p w14:paraId="3B8783F2" w14:textId="0C62EDC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Tport</w:t>
            </w:r>
            <w:proofErr w:type="spellEnd"/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: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importe anual de las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tasas portuarias efectivamente recaudadas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asociadas a la actividad de la terminal. </w:t>
            </w:r>
          </w:p>
          <w:p w14:paraId="58DDA850" w14:textId="768FDDFA" w:rsidR="00CE4EC4" w:rsidRPr="00CE4EC4" w:rsidRDefault="00CE4EC4" w:rsidP="00CE4EC4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Ccon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importe anual de los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cánones concesionales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asociados a la terminal. </w:t>
            </w:r>
          </w:p>
          <w:p w14:paraId="2B4F89B6" w14:textId="24244B14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HFs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escenario futur</w:t>
            </w:r>
            <w:r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o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. </w:t>
            </w:r>
          </w:p>
          <w:p w14:paraId="361B2D02" w14:textId="2D0D7971" w:rsidR="00CE4EC4" w:rsidRPr="00CE4EC4" w:rsidRDefault="00CE4EC4" w:rsidP="00CE4EC4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HFhist</w:t>
            </w:r>
            <w:proofErr w:type="spellEnd"/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​: número anual de </w:t>
            </w:r>
            <w:r w:rsidRPr="00CE4EC4">
              <w:rPr>
                <w:rFonts w:ascii="Calibri" w:eastAsia="Times New Roman" w:hAnsi="Calibri" w:cs="Calibri"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horas de inoperatividad</w:t>
            </w:r>
            <w:r w:rsidRPr="00CE4EC4">
              <w:rPr>
                <w:rFonts w:ascii="Calibri" w:eastAsia="Times New Roman" w:hAnsi="Calibri" w:cs="Calibri"/>
                <w:b w:val="0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en el periodo histórico. </w:t>
            </w:r>
          </w:p>
        </w:tc>
      </w:tr>
    </w:tbl>
    <w:p w14:paraId="77B93AF1" w14:textId="77777777" w:rsidR="00936B7D" w:rsidRDefault="00936B7D">
      <w:pPr>
        <w:rPr>
          <w:rFonts w:eastAsiaTheme="minorEastAsia"/>
          <w:iCs/>
        </w:rPr>
      </w:pPr>
    </w:p>
    <w:p w14:paraId="092FAB90" w14:textId="09B5867B" w:rsidR="00644C93" w:rsidRDefault="00644C93"/>
    <w:p w14:paraId="32DC9B51" w14:textId="77777777" w:rsidR="00644C93" w:rsidRDefault="00644C93"/>
    <w:p w14:paraId="194F960B" w14:textId="77777777" w:rsidR="00644C93" w:rsidRDefault="00644C93"/>
    <w:p w14:paraId="1F7D83D3" w14:textId="77777777" w:rsidR="00644C93" w:rsidRDefault="00644C93"/>
    <w:p w14:paraId="3115AC15" w14:textId="77777777" w:rsidR="00644C93" w:rsidRDefault="00644C93"/>
    <w:p w14:paraId="2975CE0F" w14:textId="77777777" w:rsidR="00644C93" w:rsidRDefault="00644C93"/>
    <w:p w14:paraId="621BC6E1" w14:textId="77777777" w:rsidR="00644C93" w:rsidRDefault="00644C93"/>
    <w:p w14:paraId="276AC41F" w14:textId="34629B4F" w:rsidR="00644C93" w:rsidRDefault="00644C93"/>
    <w:p w14:paraId="074446DC" w14:textId="77777777" w:rsidR="00644C93" w:rsidRDefault="00644C93"/>
    <w:sectPr w:rsidR="0064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D701F"/>
    <w:multiLevelType w:val="multilevel"/>
    <w:tmpl w:val="278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66CB7"/>
    <w:multiLevelType w:val="multilevel"/>
    <w:tmpl w:val="DFE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709EE"/>
    <w:multiLevelType w:val="multilevel"/>
    <w:tmpl w:val="2DC0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7E1EB8"/>
    <w:multiLevelType w:val="multilevel"/>
    <w:tmpl w:val="5100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656854">
    <w:abstractNumId w:val="2"/>
  </w:num>
  <w:num w:numId="2" w16cid:durableId="1295480774">
    <w:abstractNumId w:val="3"/>
  </w:num>
  <w:num w:numId="3" w16cid:durableId="642196051">
    <w:abstractNumId w:val="1"/>
  </w:num>
  <w:num w:numId="4" w16cid:durableId="188652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716"/>
    <w:rsid w:val="00016FAE"/>
    <w:rsid w:val="0009057E"/>
    <w:rsid w:val="00196716"/>
    <w:rsid w:val="001A29FD"/>
    <w:rsid w:val="002D0AA7"/>
    <w:rsid w:val="00382C95"/>
    <w:rsid w:val="003E2300"/>
    <w:rsid w:val="003F7319"/>
    <w:rsid w:val="004E22B8"/>
    <w:rsid w:val="00556B73"/>
    <w:rsid w:val="005F0294"/>
    <w:rsid w:val="005F38CA"/>
    <w:rsid w:val="0060073D"/>
    <w:rsid w:val="006125E9"/>
    <w:rsid w:val="006167E7"/>
    <w:rsid w:val="00644C93"/>
    <w:rsid w:val="007228DC"/>
    <w:rsid w:val="008F55FB"/>
    <w:rsid w:val="00936B7D"/>
    <w:rsid w:val="009D5C67"/>
    <w:rsid w:val="00A158C5"/>
    <w:rsid w:val="00AA651A"/>
    <w:rsid w:val="00AA7C8C"/>
    <w:rsid w:val="00C57100"/>
    <w:rsid w:val="00C879F4"/>
    <w:rsid w:val="00C924E6"/>
    <w:rsid w:val="00CA5CBF"/>
    <w:rsid w:val="00CD0425"/>
    <w:rsid w:val="00CE4EC4"/>
    <w:rsid w:val="00DC6A4F"/>
    <w:rsid w:val="00E04C2C"/>
    <w:rsid w:val="00E527B2"/>
    <w:rsid w:val="00E53F65"/>
    <w:rsid w:val="00E6755E"/>
    <w:rsid w:val="00E92245"/>
    <w:rsid w:val="00F0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C7669"/>
  <w15:chartTrackingRefBased/>
  <w15:docId w15:val="{51F70731-686C-46A5-8A9C-05DA7D3C9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b/>
        <w:kern w:val="2"/>
        <w:sz w:val="32"/>
        <w:szCs w:val="3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6716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6716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671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671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671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671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671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6716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6716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6716"/>
    <w:rPr>
      <w:rFonts w:eastAsiaTheme="majorEastAsia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6716"/>
    <w:rPr>
      <w:rFonts w:eastAsiaTheme="majorEastAsia"/>
      <w:color w:val="0F476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671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671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6716"/>
    <w:rPr>
      <w:rFonts w:asciiTheme="minorHAnsi" w:eastAsiaTheme="majorEastAsia" w:hAnsiTheme="minorHAns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671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6716"/>
    <w:rPr>
      <w:rFonts w:asciiTheme="minorHAnsi" w:eastAsiaTheme="majorEastAsia" w:hAnsiTheme="minorHAns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671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6716"/>
    <w:rPr>
      <w:rFonts w:asciiTheme="minorHAnsi" w:eastAsiaTheme="majorEastAsia" w:hAnsiTheme="minorHAns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6716"/>
    <w:pPr>
      <w:spacing w:after="80" w:line="240" w:lineRule="auto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6716"/>
    <w:rPr>
      <w:rFonts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6716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671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6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67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67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67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6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67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6716"/>
    <w:rPr>
      <w:b w:val="0"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3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UC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Fernández González, Yailín</dc:creator>
  <cp:keywords/>
  <dc:description/>
  <cp:lastModifiedBy>Fernández González, Yailín</cp:lastModifiedBy>
  <cp:revision>13</cp:revision>
  <dcterms:created xsi:type="dcterms:W3CDTF">2026-08-03T11:45:00Z</dcterms:created>
  <dcterms:modified xsi:type="dcterms:W3CDTF">2026-08-04T08:07:00Z</dcterms:modified>
</cp:coreProperties>
</file>