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6482" w:type="pct"/>
        <w:jc w:val="center"/>
        <w:tblLook w:val="04A0" w:firstRow="1" w:lastRow="0" w:firstColumn="1" w:lastColumn="0" w:noHBand="0" w:noVBand="1"/>
      </w:tblPr>
      <w:tblGrid>
        <w:gridCol w:w="2291"/>
        <w:gridCol w:w="2431"/>
        <w:gridCol w:w="6290"/>
      </w:tblGrid>
      <w:tr w:rsidR="00936B7D" w:rsidRPr="00936B7D" w14:paraId="70EE57E3" w14:textId="77777777" w:rsidTr="00936B7D">
        <w:trPr>
          <w:trHeight w:val="654"/>
          <w:jc w:val="center"/>
        </w:trPr>
        <w:tc>
          <w:tcPr>
            <w:tcW w:w="5000" w:type="pct"/>
            <w:gridSpan w:val="3"/>
            <w:hideMark/>
          </w:tcPr>
          <w:p w14:paraId="2884278F" w14:textId="66CE6328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FFFFFF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PI (ELO): PERDIDA DE</w:t>
            </w:r>
            <w:r w:rsidR="00A158C5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 </w:t>
            </w: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INGRESO DEBIDO </w:t>
            </w:r>
            <w:r w:rsidR="004E22B8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AL EXCESO DE </w:t>
            </w:r>
            <w:r w:rsidR="007228DC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VIENTO</w:t>
            </w:r>
          </w:p>
        </w:tc>
      </w:tr>
      <w:tr w:rsidR="00936B7D" w:rsidRPr="00936B7D" w14:paraId="058D132F" w14:textId="77777777" w:rsidTr="00936B7D">
        <w:trPr>
          <w:trHeight w:val="583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029A5B18" w14:textId="77777777" w:rsid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MODELO DE </w:t>
            </w:r>
          </w:p>
          <w:p w14:paraId="02AE9AFD" w14:textId="6C548C61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IMPACTO FÍSICO </w:t>
            </w:r>
          </w:p>
        </w:tc>
        <w:tc>
          <w:tcPr>
            <w:tcW w:w="1104" w:type="pct"/>
            <w:vMerge w:val="restart"/>
            <w:vAlign w:val="center"/>
            <w:hideMark/>
          </w:tcPr>
          <w:p w14:paraId="7F7C8CFC" w14:textId="1CC11F3B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 del modelo</w:t>
            </w:r>
          </w:p>
        </w:tc>
        <w:tc>
          <w:tcPr>
            <w:tcW w:w="2856" w:type="pct"/>
            <w:hideMark/>
          </w:tcPr>
          <w:p w14:paraId="68399EC6" w14:textId="7CEC85CA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climáticas de peligrosidad: </w:t>
            </w:r>
            <w:r w:rsidR="007228DC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Velocidad del viento a 10 m ráfagas de 1 minuto</w:t>
            </w:r>
          </w:p>
        </w:tc>
      </w:tr>
      <w:tr w:rsidR="00936B7D" w:rsidRPr="00936B7D" w14:paraId="4CD7919F" w14:textId="77777777" w:rsidTr="00936B7D">
        <w:trPr>
          <w:trHeight w:val="696"/>
          <w:jc w:val="center"/>
        </w:trPr>
        <w:tc>
          <w:tcPr>
            <w:tcW w:w="1040" w:type="pct"/>
            <w:vMerge/>
            <w:vAlign w:val="center"/>
            <w:hideMark/>
          </w:tcPr>
          <w:p w14:paraId="1025B237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Merge/>
            <w:vAlign w:val="center"/>
            <w:hideMark/>
          </w:tcPr>
          <w:p w14:paraId="1132AE0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2856" w:type="pct"/>
            <w:hideMark/>
          </w:tcPr>
          <w:p w14:paraId="604B891A" w14:textId="1673DC24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físicas: </w:t>
            </w:r>
            <w:r w:rsidR="004E22B8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-</w:t>
            </w:r>
          </w:p>
        </w:tc>
      </w:tr>
      <w:tr w:rsidR="00936B7D" w:rsidRPr="00936B7D" w14:paraId="33F66CFA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4FA5F2D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1421EFB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Ecuación de verificación</w:t>
            </w:r>
          </w:p>
        </w:tc>
        <w:tc>
          <w:tcPr>
            <w:tcW w:w="2856" w:type="pct"/>
            <w:hideMark/>
          </w:tcPr>
          <w:p w14:paraId="74F69D1E" w14:textId="521EDA0E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E22B8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No aplica</w:t>
            </w:r>
          </w:p>
        </w:tc>
      </w:tr>
      <w:tr w:rsidR="00936B7D" w:rsidRPr="00936B7D" w14:paraId="6177A68D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FBF8E0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42B7BEBD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Vulnerabilidad</w:t>
            </w:r>
          </w:p>
        </w:tc>
        <w:tc>
          <w:tcPr>
            <w:tcW w:w="2856" w:type="pct"/>
            <w:hideMark/>
          </w:tcPr>
          <w:p w14:paraId="1E1D3499" w14:textId="52AD4CB3" w:rsidR="00936B7D" w:rsidRPr="00936B7D" w:rsidRDefault="007228DC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Velocidad de viento máxima operativa</w:t>
            </w:r>
            <w:r w:rsidR="00936B7D"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936B7D" w:rsidRPr="00936B7D" w14:paraId="6DA906E2" w14:textId="77777777" w:rsidTr="00936B7D">
        <w:trPr>
          <w:trHeight w:val="583"/>
          <w:jc w:val="center"/>
        </w:trPr>
        <w:tc>
          <w:tcPr>
            <w:tcW w:w="1040" w:type="pct"/>
            <w:vMerge/>
            <w:vAlign w:val="center"/>
            <w:hideMark/>
          </w:tcPr>
          <w:p w14:paraId="463D4850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80BFDC7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Output del modelo</w:t>
            </w:r>
          </w:p>
        </w:tc>
        <w:tc>
          <w:tcPr>
            <w:tcW w:w="2856" w:type="pct"/>
            <w:hideMark/>
          </w:tcPr>
          <w:p w14:paraId="3F139788" w14:textId="64451F24" w:rsidR="00936B7D" w:rsidRPr="00CA5CBF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Número de horas al año en las que</w:t>
            </w:r>
            <w:r w:rsidR="004E22B8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el exceso de </w:t>
            </w:r>
            <w:r w:rsidR="007228DC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viento</w:t>
            </w:r>
            <w:r w:rsidR="004E22B8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es mayor </w:t>
            </w:r>
            <w:r w:rsidR="007228DC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a</w:t>
            </w:r>
            <w:r w:rsidR="004E22B8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r w:rsidR="007228DC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la </w:t>
            </w:r>
            <w:r w:rsidR="004E22B8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máxim</w:t>
            </w:r>
            <w:r w:rsidR="007228DC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a</w:t>
            </w:r>
            <w:r w:rsidR="004E22B8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operativ</w:t>
            </w:r>
            <w:r w:rsidR="007228DC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a</w:t>
            </w:r>
            <w:r w:rsidR="00CE4EC4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(horas/año))</w:t>
            </w:r>
          </w:p>
        </w:tc>
      </w:tr>
      <w:tr w:rsidR="00936B7D" w:rsidRPr="00936B7D" w14:paraId="65271D57" w14:textId="77777777" w:rsidTr="00936B7D">
        <w:trPr>
          <w:trHeight w:val="241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6AED0EA1" w14:textId="77777777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 DE IMPACTO ECONOMICO</w:t>
            </w:r>
          </w:p>
        </w:tc>
        <w:tc>
          <w:tcPr>
            <w:tcW w:w="1104" w:type="pct"/>
            <w:vAlign w:val="center"/>
            <w:hideMark/>
          </w:tcPr>
          <w:p w14:paraId="235734E5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Driver</w:t>
            </w:r>
          </w:p>
        </w:tc>
        <w:tc>
          <w:tcPr>
            <w:tcW w:w="2856" w:type="pct"/>
            <w:hideMark/>
          </w:tcPr>
          <w:p w14:paraId="6394F926" w14:textId="6EFF0FFB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Aumento de la </w:t>
            </w:r>
            <w:r w:rsidR="007228DC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velocidad de viento</w:t>
            </w:r>
          </w:p>
        </w:tc>
      </w:tr>
      <w:tr w:rsidR="00936B7D" w:rsidRPr="00936B7D" w14:paraId="30306EBB" w14:textId="77777777" w:rsidTr="00936B7D">
        <w:trPr>
          <w:trHeight w:val="298"/>
          <w:jc w:val="center"/>
        </w:trPr>
        <w:tc>
          <w:tcPr>
            <w:tcW w:w="1040" w:type="pct"/>
            <w:vMerge/>
            <w:hideMark/>
          </w:tcPr>
          <w:p w14:paraId="289D7A15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C614B8D" w14:textId="6289DB14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</w:t>
            </w:r>
          </w:p>
        </w:tc>
        <w:tc>
          <w:tcPr>
            <w:tcW w:w="2856" w:type="pct"/>
            <w:hideMark/>
          </w:tcPr>
          <w:p w14:paraId="7B9C247B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reguladas y los cánones concesionales.</w:t>
            </w:r>
          </w:p>
        </w:tc>
      </w:tr>
      <w:tr w:rsidR="00936B7D" w:rsidRPr="00936B7D" w14:paraId="220ED12B" w14:textId="77777777" w:rsidTr="00936B7D">
        <w:trPr>
          <w:trHeight w:val="2583"/>
          <w:jc w:val="center"/>
        </w:trPr>
        <w:tc>
          <w:tcPr>
            <w:tcW w:w="1040" w:type="pct"/>
            <w:vMerge/>
            <w:hideMark/>
          </w:tcPr>
          <w:p w14:paraId="4D14D31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2F26342" w14:textId="61D39BEA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</w:t>
            </w:r>
          </w:p>
        </w:tc>
        <w:tc>
          <w:tcPr>
            <w:tcW w:w="2856" w:type="pct"/>
            <w:hideMark/>
          </w:tcPr>
          <w:p w14:paraId="5E5CD9CC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Para cada escenario futuro se compara el número de horas de inoperatividad con el periodo histórico. Si la inoperatividad disminuye o se mantiene, la pérdida de ingresos se considera nula. Si aumenta, la pérdida se calcula multiplicando el incremento de horas no operativas por el ingreso horario medio de la terminal. </w:t>
            </w:r>
          </w:p>
          <w:p w14:paraId="25E16C39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17D6AF46" w14:textId="71A8A6FE" w:rsidR="00CE4EC4" w:rsidRPr="009D5C67" w:rsidRDefault="00000000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bCs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ΔR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 w:val="0"/>
                        <w:bCs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b w:val="0"/>
                            <w:bCs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port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conc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2"/>
                                    <w:szCs w:val="22"/>
                                  </w:rPr>
                                  <m:t>​​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365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2"/>
                            <w:szCs w:val="22"/>
                          </w:rPr>
                          <m:t>⋅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HFs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-HFhist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CE4EC4" w:rsidRPr="00936B7D" w14:paraId="4B9A7A05" w14:textId="77777777" w:rsidTr="00CE4EC4">
        <w:trPr>
          <w:trHeight w:val="2013"/>
          <w:jc w:val="center"/>
        </w:trPr>
        <w:tc>
          <w:tcPr>
            <w:tcW w:w="5000" w:type="pct"/>
            <w:gridSpan w:val="3"/>
          </w:tcPr>
          <w:p w14:paraId="16E84B6E" w14:textId="3221B87D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ΔRs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pérdida de ingresos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 al escenario futuro, expresada en euros. </w:t>
            </w:r>
          </w:p>
          <w:p w14:paraId="3B8783F2" w14:textId="0C62EDC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Tport</w:t>
            </w:r>
            <w:proofErr w:type="spellEnd"/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: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importe anual de las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recaudadas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asociadas a la actividad de la terminal. </w:t>
            </w:r>
          </w:p>
          <w:p w14:paraId="58DDA850" w14:textId="768FDDF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Ccon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importe anual de los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cánones concesionales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asociados a la terminal. </w:t>
            </w:r>
          </w:p>
          <w:p w14:paraId="2B4F89B6" w14:textId="24244B14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escenario futur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</w:t>
            </w:r>
          </w:p>
          <w:p w14:paraId="361B2D02" w14:textId="2D0D7971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HFhist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periodo histórico. </w:t>
            </w:r>
          </w:p>
        </w:tc>
      </w:tr>
    </w:tbl>
    <w:p w14:paraId="77B93AF1" w14:textId="77777777" w:rsidR="00936B7D" w:rsidRDefault="00936B7D">
      <w:pPr>
        <w:rPr>
          <w:rFonts w:eastAsiaTheme="minorEastAsia"/>
          <w:iCs/>
        </w:rPr>
      </w:pPr>
    </w:p>
    <w:p w14:paraId="092FAB90" w14:textId="09B5867B" w:rsidR="00644C93" w:rsidRDefault="00644C93"/>
    <w:p w14:paraId="32DC9B51" w14:textId="77777777" w:rsidR="00644C93" w:rsidRDefault="00644C93"/>
    <w:p w14:paraId="194F960B" w14:textId="77777777" w:rsidR="00644C93" w:rsidRDefault="00644C93"/>
    <w:p w14:paraId="1F7D83D3" w14:textId="77777777" w:rsidR="00644C93" w:rsidRDefault="00644C93"/>
    <w:p w14:paraId="3115AC15" w14:textId="77777777" w:rsidR="00644C93" w:rsidRDefault="00644C93"/>
    <w:p w14:paraId="2975CE0F" w14:textId="77777777" w:rsidR="00644C93" w:rsidRDefault="00644C93"/>
    <w:p w14:paraId="621BC6E1" w14:textId="77777777" w:rsidR="00644C93" w:rsidRDefault="00644C93"/>
    <w:p w14:paraId="276AC41F" w14:textId="558BAE0D" w:rsidR="00644C93" w:rsidRDefault="00DC6A4F">
      <w:r w:rsidRPr="00DC6A4F">
        <w:rPr>
          <w:noProof/>
        </w:rPr>
        <w:drawing>
          <wp:inline distT="0" distB="0" distL="0" distR="0" wp14:anchorId="6AA0FF56" wp14:editId="72CB2964">
            <wp:extent cx="5400040" cy="36150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46DC" w14:textId="77777777" w:rsidR="00644C93" w:rsidRDefault="00644C93"/>
    <w:sectPr w:rsidR="00644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D701F"/>
    <w:multiLevelType w:val="multilevel"/>
    <w:tmpl w:val="278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6CB7"/>
    <w:multiLevelType w:val="multilevel"/>
    <w:tmpl w:val="DFE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709EE"/>
    <w:multiLevelType w:val="multilevel"/>
    <w:tmpl w:val="2DC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1EB8"/>
    <w:multiLevelType w:val="multilevel"/>
    <w:tmpl w:val="510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6854">
    <w:abstractNumId w:val="2"/>
  </w:num>
  <w:num w:numId="2" w16cid:durableId="1295480774">
    <w:abstractNumId w:val="3"/>
  </w:num>
  <w:num w:numId="3" w16cid:durableId="642196051">
    <w:abstractNumId w:val="1"/>
  </w:num>
  <w:num w:numId="4" w16cid:durableId="18865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6"/>
    <w:rsid w:val="00016FAE"/>
    <w:rsid w:val="0009057E"/>
    <w:rsid w:val="00196716"/>
    <w:rsid w:val="001A29FD"/>
    <w:rsid w:val="002D0AA7"/>
    <w:rsid w:val="00382C95"/>
    <w:rsid w:val="003E2300"/>
    <w:rsid w:val="003F7319"/>
    <w:rsid w:val="004E22B8"/>
    <w:rsid w:val="00556B73"/>
    <w:rsid w:val="005F0294"/>
    <w:rsid w:val="005F38CA"/>
    <w:rsid w:val="0060073D"/>
    <w:rsid w:val="006125E9"/>
    <w:rsid w:val="006167E7"/>
    <w:rsid w:val="00644C93"/>
    <w:rsid w:val="007228DC"/>
    <w:rsid w:val="00936B7D"/>
    <w:rsid w:val="009D5C67"/>
    <w:rsid w:val="00A158C5"/>
    <w:rsid w:val="00AA651A"/>
    <w:rsid w:val="00AA7C8C"/>
    <w:rsid w:val="00C57100"/>
    <w:rsid w:val="00C879F4"/>
    <w:rsid w:val="00C924E6"/>
    <w:rsid w:val="00CA5CBF"/>
    <w:rsid w:val="00CE4EC4"/>
    <w:rsid w:val="00DC6A4F"/>
    <w:rsid w:val="00E04C2C"/>
    <w:rsid w:val="00E527B2"/>
    <w:rsid w:val="00E53F65"/>
    <w:rsid w:val="00E6755E"/>
    <w:rsid w:val="00E92245"/>
    <w:rsid w:val="00F0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7669"/>
  <w15:chartTrackingRefBased/>
  <w15:docId w15:val="{51F70731-686C-46A5-8A9C-05DA7D3C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kern w:val="2"/>
        <w:sz w:val="32"/>
        <w:szCs w:val="3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71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716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71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71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71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71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71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71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71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716"/>
    <w:rPr>
      <w:rFonts w:eastAsiaTheme="majorEastAsia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716"/>
    <w:rPr>
      <w:rFonts w:eastAsiaTheme="majorEastAsia"/>
      <w:color w:val="0F476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71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71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716"/>
    <w:rPr>
      <w:rFonts w:asciiTheme="minorHAnsi" w:eastAsiaTheme="majorEastAsia" w:hAnsiTheme="minorHAns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71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716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71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716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716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716"/>
    <w:rPr>
      <w:rFonts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716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71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716"/>
    <w:rPr>
      <w:b w:val="0"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Fernández González, Yailín</dc:creator>
  <cp:keywords/>
  <dc:description/>
  <cp:lastModifiedBy>Fernández González, Yailín</cp:lastModifiedBy>
  <cp:revision>11</cp:revision>
  <dcterms:created xsi:type="dcterms:W3CDTF">2026-08-03T11:45:00Z</dcterms:created>
  <dcterms:modified xsi:type="dcterms:W3CDTF">2026-08-04T06:50:00Z</dcterms:modified>
</cp:coreProperties>
</file>