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6482" w:type="pct"/>
        <w:jc w:val="center"/>
        <w:tblLook w:val="04A0" w:firstRow="1" w:lastRow="0" w:firstColumn="1" w:lastColumn="0" w:noHBand="0" w:noVBand="1"/>
      </w:tblPr>
      <w:tblGrid>
        <w:gridCol w:w="2291"/>
        <w:gridCol w:w="2431"/>
        <w:gridCol w:w="6290"/>
      </w:tblGrid>
      <w:tr w:rsidR="00936B7D" w:rsidRPr="00936B7D" w14:paraId="70EE57E3" w14:textId="77777777" w:rsidTr="00936B7D">
        <w:trPr>
          <w:trHeight w:val="654"/>
          <w:jc w:val="center"/>
        </w:trPr>
        <w:tc>
          <w:tcPr>
            <w:tcW w:w="5000" w:type="pct"/>
            <w:gridSpan w:val="3"/>
            <w:hideMark/>
          </w:tcPr>
          <w:p w14:paraId="2884278F" w14:textId="1220FC13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FFFFFF"/>
                <w:kern w:val="0"/>
                <w:sz w:val="24"/>
                <w:szCs w:val="24"/>
                <w:u w:val="single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PI (ELO): PERDIDA DE</w:t>
            </w:r>
            <w:r w:rsidR="00A158C5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 </w:t>
            </w: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INGRESO DEBIDO </w:t>
            </w:r>
            <w:r w:rsidR="00D04605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AL EXCESO DE PRECIPITACION</w:t>
            </w:r>
          </w:p>
        </w:tc>
      </w:tr>
      <w:tr w:rsidR="00936B7D" w:rsidRPr="00936B7D" w14:paraId="058D132F" w14:textId="77777777" w:rsidTr="00936B7D">
        <w:trPr>
          <w:trHeight w:val="583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029A5B18" w14:textId="77777777" w:rsid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MODELO DE </w:t>
            </w:r>
          </w:p>
          <w:p w14:paraId="02AE9AFD" w14:textId="6C548C61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IMPACTO FÍSICO </w:t>
            </w:r>
          </w:p>
        </w:tc>
        <w:tc>
          <w:tcPr>
            <w:tcW w:w="1104" w:type="pct"/>
            <w:vMerge w:val="restart"/>
            <w:vAlign w:val="center"/>
            <w:hideMark/>
          </w:tcPr>
          <w:p w14:paraId="7F7C8CFC" w14:textId="1CC11F3B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 del modelo</w:t>
            </w:r>
          </w:p>
        </w:tc>
        <w:tc>
          <w:tcPr>
            <w:tcW w:w="2856" w:type="pct"/>
            <w:hideMark/>
          </w:tcPr>
          <w:p w14:paraId="68399EC6" w14:textId="352E165A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climáticas de peligrosidad: </w:t>
            </w:r>
            <w:r w:rsidR="00D04605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Precipitación acumulada en 24 horas</w:t>
            </w:r>
          </w:p>
        </w:tc>
      </w:tr>
      <w:tr w:rsidR="00936B7D" w:rsidRPr="00936B7D" w14:paraId="4CD7919F" w14:textId="77777777" w:rsidTr="00936B7D">
        <w:trPr>
          <w:trHeight w:val="696"/>
          <w:jc w:val="center"/>
        </w:trPr>
        <w:tc>
          <w:tcPr>
            <w:tcW w:w="1040" w:type="pct"/>
            <w:vMerge/>
            <w:vAlign w:val="center"/>
            <w:hideMark/>
          </w:tcPr>
          <w:p w14:paraId="1025B237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Merge/>
            <w:vAlign w:val="center"/>
            <w:hideMark/>
          </w:tcPr>
          <w:p w14:paraId="1132AE0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2856" w:type="pct"/>
            <w:hideMark/>
          </w:tcPr>
          <w:p w14:paraId="604B891A" w14:textId="1673DC24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físicas: </w:t>
            </w:r>
            <w:r w:rsidR="004E22B8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-</w:t>
            </w:r>
          </w:p>
        </w:tc>
      </w:tr>
      <w:tr w:rsidR="00936B7D" w:rsidRPr="00936B7D" w14:paraId="33F66CFA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4FA5F2D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1421EFB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Ecuación de verificación</w:t>
            </w:r>
          </w:p>
        </w:tc>
        <w:tc>
          <w:tcPr>
            <w:tcW w:w="2856" w:type="pct"/>
            <w:hideMark/>
          </w:tcPr>
          <w:p w14:paraId="74F69D1E" w14:textId="521EDA0E" w:rsidR="00936B7D" w:rsidRPr="00936B7D" w:rsidRDefault="004E22B8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E22B8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No aplica</w:t>
            </w:r>
          </w:p>
        </w:tc>
      </w:tr>
      <w:tr w:rsidR="00936B7D" w:rsidRPr="00936B7D" w14:paraId="6177A68D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FBF8E0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42B7BEBD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Vulnerabilidad</w:t>
            </w:r>
          </w:p>
        </w:tc>
        <w:tc>
          <w:tcPr>
            <w:tcW w:w="2856" w:type="pct"/>
            <w:hideMark/>
          </w:tcPr>
          <w:p w14:paraId="1E1D3499" w14:textId="61DE346C" w:rsidR="00936B7D" w:rsidRPr="00936B7D" w:rsidRDefault="00D04605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1 mm, 20 </w:t>
            </w:r>
            <w:proofErr w:type="spellStart"/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mm</w:t>
            </w:r>
            <w:r w:rsidR="00936B7D"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  <w:proofErr w:type="spellEnd"/>
          </w:p>
        </w:tc>
      </w:tr>
      <w:tr w:rsidR="00D04605" w:rsidRPr="00936B7D" w14:paraId="6DA906E2" w14:textId="77777777" w:rsidTr="00936B7D">
        <w:trPr>
          <w:trHeight w:val="583"/>
          <w:jc w:val="center"/>
        </w:trPr>
        <w:tc>
          <w:tcPr>
            <w:tcW w:w="1040" w:type="pct"/>
            <w:vMerge/>
            <w:vAlign w:val="center"/>
            <w:hideMark/>
          </w:tcPr>
          <w:p w14:paraId="463D4850" w14:textId="77777777" w:rsidR="00D04605" w:rsidRPr="00936B7D" w:rsidRDefault="00D04605" w:rsidP="00D04605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80BFDC7" w14:textId="77777777" w:rsidR="00D04605" w:rsidRPr="00936B7D" w:rsidRDefault="00D04605" w:rsidP="00D04605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Output del modelo</w:t>
            </w:r>
          </w:p>
        </w:tc>
        <w:tc>
          <w:tcPr>
            <w:tcW w:w="2856" w:type="pct"/>
            <w:hideMark/>
          </w:tcPr>
          <w:p w14:paraId="628CECA7" w14:textId="30890144" w:rsidR="00D04605" w:rsidRDefault="00D04605" w:rsidP="00D04605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Número de horas al año en las que </w:t>
            </w:r>
            <w:r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la precipitación acumulada en 24 horas es de 1 mm </w:t>
            </w:r>
            <w:r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(horas/año)</w:t>
            </w:r>
          </w:p>
          <w:p w14:paraId="3F139788" w14:textId="0AB16412" w:rsidR="00D04605" w:rsidRPr="00CA5CBF" w:rsidRDefault="00D04605" w:rsidP="00D04605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Número de horas al año en las que </w:t>
            </w:r>
            <w:r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la precipitación acumulada en 24 horas es de 20 mm </w:t>
            </w:r>
            <w:r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(horas/año)</w:t>
            </w:r>
          </w:p>
        </w:tc>
      </w:tr>
      <w:tr w:rsidR="00D04605" w:rsidRPr="00936B7D" w14:paraId="65271D57" w14:textId="77777777" w:rsidTr="00936B7D">
        <w:trPr>
          <w:trHeight w:val="241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6AED0EA1" w14:textId="77777777" w:rsidR="00D04605" w:rsidRPr="00936B7D" w:rsidRDefault="00D04605" w:rsidP="00D04605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 DE IMPACTO ECONOMICO</w:t>
            </w:r>
          </w:p>
        </w:tc>
        <w:tc>
          <w:tcPr>
            <w:tcW w:w="1104" w:type="pct"/>
            <w:vAlign w:val="center"/>
            <w:hideMark/>
          </w:tcPr>
          <w:p w14:paraId="235734E5" w14:textId="77777777" w:rsidR="00D04605" w:rsidRPr="00936B7D" w:rsidRDefault="00D04605" w:rsidP="00D04605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Driver</w:t>
            </w:r>
          </w:p>
        </w:tc>
        <w:tc>
          <w:tcPr>
            <w:tcW w:w="2856" w:type="pct"/>
            <w:hideMark/>
          </w:tcPr>
          <w:p w14:paraId="6394F926" w14:textId="68A2E8C5" w:rsidR="00D04605" w:rsidRPr="00936B7D" w:rsidRDefault="00D04605" w:rsidP="00D04605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Aumento de la precipitación</w:t>
            </w:r>
          </w:p>
        </w:tc>
      </w:tr>
      <w:tr w:rsidR="00D04605" w:rsidRPr="00936B7D" w14:paraId="30306EBB" w14:textId="77777777" w:rsidTr="00936B7D">
        <w:trPr>
          <w:trHeight w:val="298"/>
          <w:jc w:val="center"/>
        </w:trPr>
        <w:tc>
          <w:tcPr>
            <w:tcW w:w="1040" w:type="pct"/>
            <w:vMerge/>
            <w:hideMark/>
          </w:tcPr>
          <w:p w14:paraId="289D7A15" w14:textId="77777777" w:rsidR="00D04605" w:rsidRPr="00936B7D" w:rsidRDefault="00D04605" w:rsidP="00D04605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C614B8D" w14:textId="6289DB14" w:rsidR="00D04605" w:rsidRPr="00936B7D" w:rsidRDefault="00D04605" w:rsidP="00D04605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</w:t>
            </w:r>
          </w:p>
        </w:tc>
        <w:tc>
          <w:tcPr>
            <w:tcW w:w="2856" w:type="pct"/>
            <w:hideMark/>
          </w:tcPr>
          <w:p w14:paraId="7B9C247B" w14:textId="77777777" w:rsidR="00D04605" w:rsidRPr="00936B7D" w:rsidRDefault="00D04605" w:rsidP="00D04605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reguladas y los cánones concesionales.</w:t>
            </w:r>
          </w:p>
        </w:tc>
      </w:tr>
      <w:tr w:rsidR="00D04605" w:rsidRPr="00936B7D" w14:paraId="220ED12B" w14:textId="77777777" w:rsidTr="00936B7D">
        <w:trPr>
          <w:trHeight w:val="2583"/>
          <w:jc w:val="center"/>
        </w:trPr>
        <w:tc>
          <w:tcPr>
            <w:tcW w:w="1040" w:type="pct"/>
            <w:vMerge/>
            <w:hideMark/>
          </w:tcPr>
          <w:p w14:paraId="4D14D313" w14:textId="77777777" w:rsidR="00D04605" w:rsidRPr="00936B7D" w:rsidRDefault="00D04605" w:rsidP="00D04605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2F26342" w14:textId="61D39BEA" w:rsidR="00D04605" w:rsidRPr="00936B7D" w:rsidRDefault="00D04605" w:rsidP="00D04605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</w:t>
            </w:r>
          </w:p>
        </w:tc>
        <w:tc>
          <w:tcPr>
            <w:tcW w:w="2856" w:type="pct"/>
            <w:hideMark/>
          </w:tcPr>
          <w:p w14:paraId="5E5CD9CC" w14:textId="77777777" w:rsidR="00D04605" w:rsidRDefault="00D04605" w:rsidP="00D04605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Para cada escenario futuro se compara el número de horas de inoperatividad con el periodo histórico. Si la inoperatividad disminuye o se mantiene, la pérdida de ingresos se considera nula. Si aumenta, la pérdida se calcula multiplicando el incremento de horas no operativas por el ingreso horario medio de la terminal. </w:t>
            </w:r>
          </w:p>
          <w:p w14:paraId="25E16C39" w14:textId="77777777" w:rsidR="00D04605" w:rsidRDefault="00D04605" w:rsidP="00D04605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17D6AF46" w14:textId="71A8A6FE" w:rsidR="00D04605" w:rsidRPr="009D5C67" w:rsidRDefault="00000000" w:rsidP="00D04605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bCs/>
                <w:i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ΔR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 w:val="0"/>
                        <w:bCs/>
                        <w:iCs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b w:val="0"/>
                            <w:bCs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port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conc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2"/>
                                    <w:szCs w:val="22"/>
                                  </w:rPr>
                                  <m:t>​​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365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2"/>
                            <w:szCs w:val="22"/>
                          </w:rPr>
                          <m:t>⋅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HFs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-HFhist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d>
                      </m:e>
                    </m:d>
                  </m:e>
                </m:func>
              </m:oMath>
            </m:oMathPara>
          </w:p>
        </w:tc>
      </w:tr>
      <w:tr w:rsidR="00D04605" w:rsidRPr="00936B7D" w14:paraId="4B9A7A05" w14:textId="77777777" w:rsidTr="00CE4EC4">
        <w:trPr>
          <w:trHeight w:val="2013"/>
          <w:jc w:val="center"/>
        </w:trPr>
        <w:tc>
          <w:tcPr>
            <w:tcW w:w="5000" w:type="pct"/>
            <w:gridSpan w:val="3"/>
          </w:tcPr>
          <w:p w14:paraId="16E84B6E" w14:textId="3221B87D" w:rsidR="00D04605" w:rsidRPr="00CE4EC4" w:rsidRDefault="00D04605" w:rsidP="00D04605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ΔRs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pérdida de ingresos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 al escenario futuro, expresada en euros. </w:t>
            </w:r>
          </w:p>
          <w:p w14:paraId="3B8783F2" w14:textId="0C62EDCA" w:rsidR="00D04605" w:rsidRPr="00CE4EC4" w:rsidRDefault="00D04605" w:rsidP="00D04605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Tport</w:t>
            </w:r>
            <w:proofErr w:type="spellEnd"/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: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importe anual de las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recaudadas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asociadas a la actividad de la terminal. </w:t>
            </w:r>
          </w:p>
          <w:p w14:paraId="58DDA850" w14:textId="768FDDFA" w:rsidR="00D04605" w:rsidRPr="00CE4EC4" w:rsidRDefault="00D04605" w:rsidP="00D04605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Ccon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importe anual de los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cánones concesionales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asociados a la terminal. </w:t>
            </w:r>
          </w:p>
          <w:p w14:paraId="2B4F89B6" w14:textId="24244B14" w:rsidR="00D04605" w:rsidRPr="00CE4EC4" w:rsidRDefault="00D04605" w:rsidP="00D04605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HFs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escenario futur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. </w:t>
            </w:r>
          </w:p>
          <w:p w14:paraId="361B2D02" w14:textId="2D0D7971" w:rsidR="00D04605" w:rsidRPr="00CE4EC4" w:rsidRDefault="00D04605" w:rsidP="00D04605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HFhist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periodo histórico. </w:t>
            </w:r>
          </w:p>
        </w:tc>
      </w:tr>
    </w:tbl>
    <w:p w14:paraId="77B93AF1" w14:textId="77777777" w:rsidR="00936B7D" w:rsidRDefault="00936B7D">
      <w:pPr>
        <w:rPr>
          <w:rFonts w:eastAsiaTheme="minorEastAsia"/>
          <w:iCs/>
        </w:rPr>
      </w:pPr>
    </w:p>
    <w:p w14:paraId="092FAB90" w14:textId="09B5867B" w:rsidR="00644C93" w:rsidRDefault="00644C93"/>
    <w:p w14:paraId="32DC9B51" w14:textId="77777777" w:rsidR="00644C93" w:rsidRDefault="00644C93"/>
    <w:p w14:paraId="194F960B" w14:textId="77777777" w:rsidR="00644C93" w:rsidRDefault="00644C93"/>
    <w:p w14:paraId="1F7D83D3" w14:textId="77777777" w:rsidR="00644C93" w:rsidRDefault="00644C93"/>
    <w:p w14:paraId="3115AC15" w14:textId="08CD9C1B" w:rsidR="00644C93" w:rsidRDefault="009D37B5">
      <w:r w:rsidRPr="009D37B5">
        <w:lastRenderedPageBreak/>
        <w:drawing>
          <wp:inline distT="0" distB="0" distL="0" distR="0" wp14:anchorId="52EA79D2" wp14:editId="0E6379E2">
            <wp:extent cx="5400040" cy="29356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CE0F" w14:textId="77777777" w:rsidR="00644C93" w:rsidRDefault="00644C93"/>
    <w:p w14:paraId="621BC6E1" w14:textId="77777777" w:rsidR="00644C93" w:rsidRDefault="00644C93"/>
    <w:p w14:paraId="276AC41F" w14:textId="4025F839" w:rsidR="00644C93" w:rsidRDefault="00644C93"/>
    <w:p w14:paraId="074446DC" w14:textId="77777777" w:rsidR="00644C93" w:rsidRDefault="00644C93"/>
    <w:sectPr w:rsidR="00644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D701F"/>
    <w:multiLevelType w:val="multilevel"/>
    <w:tmpl w:val="278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66CB7"/>
    <w:multiLevelType w:val="multilevel"/>
    <w:tmpl w:val="DFE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709EE"/>
    <w:multiLevelType w:val="multilevel"/>
    <w:tmpl w:val="2DC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E1EB8"/>
    <w:multiLevelType w:val="multilevel"/>
    <w:tmpl w:val="510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6854">
    <w:abstractNumId w:val="2"/>
  </w:num>
  <w:num w:numId="2" w16cid:durableId="1295480774">
    <w:abstractNumId w:val="3"/>
  </w:num>
  <w:num w:numId="3" w16cid:durableId="642196051">
    <w:abstractNumId w:val="1"/>
  </w:num>
  <w:num w:numId="4" w16cid:durableId="188652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16"/>
    <w:rsid w:val="00016FAE"/>
    <w:rsid w:val="0009057E"/>
    <w:rsid w:val="00196716"/>
    <w:rsid w:val="001A29FD"/>
    <w:rsid w:val="002D0AA7"/>
    <w:rsid w:val="00382C95"/>
    <w:rsid w:val="003E2300"/>
    <w:rsid w:val="003F7319"/>
    <w:rsid w:val="004E22B8"/>
    <w:rsid w:val="0052372D"/>
    <w:rsid w:val="00556B73"/>
    <w:rsid w:val="005F0294"/>
    <w:rsid w:val="005F38CA"/>
    <w:rsid w:val="0060073D"/>
    <w:rsid w:val="006125E9"/>
    <w:rsid w:val="006167E7"/>
    <w:rsid w:val="00644C93"/>
    <w:rsid w:val="007228DC"/>
    <w:rsid w:val="00936B7D"/>
    <w:rsid w:val="009D37B5"/>
    <w:rsid w:val="009D5C67"/>
    <w:rsid w:val="00A158C5"/>
    <w:rsid w:val="00AA651A"/>
    <w:rsid w:val="00AA7C8C"/>
    <w:rsid w:val="00C57100"/>
    <w:rsid w:val="00C879F4"/>
    <w:rsid w:val="00C924E6"/>
    <w:rsid w:val="00CA5CBF"/>
    <w:rsid w:val="00CE4EC4"/>
    <w:rsid w:val="00D04605"/>
    <w:rsid w:val="00DC6A4F"/>
    <w:rsid w:val="00E04C2C"/>
    <w:rsid w:val="00E527B2"/>
    <w:rsid w:val="00E53F65"/>
    <w:rsid w:val="00E6755E"/>
    <w:rsid w:val="00E92245"/>
    <w:rsid w:val="00F0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7669"/>
  <w15:chartTrackingRefBased/>
  <w15:docId w15:val="{51F70731-686C-46A5-8A9C-05DA7D3C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kern w:val="2"/>
        <w:sz w:val="32"/>
        <w:szCs w:val="3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716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716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71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71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71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71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71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716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716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716"/>
    <w:rPr>
      <w:rFonts w:eastAsiaTheme="majorEastAsia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716"/>
    <w:rPr>
      <w:rFonts w:eastAsiaTheme="majorEastAsia"/>
      <w:color w:val="0F476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71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71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716"/>
    <w:rPr>
      <w:rFonts w:asciiTheme="minorHAnsi" w:eastAsiaTheme="majorEastAsia" w:hAnsiTheme="minorHAns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71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716"/>
    <w:rPr>
      <w:rFonts w:asciiTheme="minorHAnsi" w:eastAsiaTheme="majorEastAsia" w:hAnsiTheme="minorHAns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71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716"/>
    <w:rPr>
      <w:rFonts w:asciiTheme="minorHAnsi" w:eastAsiaTheme="majorEastAsia" w:hAnsiTheme="minorHAns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716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716"/>
    <w:rPr>
      <w:rFonts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716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71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7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7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7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716"/>
    <w:rPr>
      <w:b w:val="0"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Fernández González, Yailín</dc:creator>
  <cp:keywords/>
  <dc:description/>
  <cp:lastModifiedBy>Fernández González, Yailín</cp:lastModifiedBy>
  <cp:revision>14</cp:revision>
  <dcterms:created xsi:type="dcterms:W3CDTF">2026-08-03T11:45:00Z</dcterms:created>
  <dcterms:modified xsi:type="dcterms:W3CDTF">2026-08-05T08:49:00Z</dcterms:modified>
</cp:coreProperties>
</file>