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B8AD" w14:textId="793D8047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Sapargali Temirlan</w:t>
      </w:r>
    </w:p>
    <w:p w14:paraId="35253104" w14:textId="17FA1B1D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Group: SE-2403</w:t>
      </w:r>
    </w:p>
    <w:p w14:paraId="179F64E4" w14:textId="532E6999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Instructor: Aigul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Adamova</w:t>
      </w:r>
      <w:proofErr w:type="spellEnd"/>
    </w:p>
    <w:p w14:paraId="0D870047" w14:textId="016FE785" w:rsidR="004163DF" w:rsidRPr="00217691" w:rsidRDefault="004163DF" w:rsidP="004163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</w:t>
      </w:r>
      <w:r w:rsidR="00217691" w:rsidRPr="00217691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61742B84" w14:textId="77777777" w:rsidR="00217691" w:rsidRPr="00217691" w:rsidRDefault="00217691" w:rsidP="0021769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b/>
          <w:bCs/>
          <w:sz w:val="28"/>
          <w:szCs w:val="28"/>
          <w:lang w:val="en-US"/>
        </w:rPr>
        <w:t>1. Why Direct RPC Exposure Is Dangerous</w:t>
      </w:r>
    </w:p>
    <w:p w14:paraId="40B65300" w14:textId="66AD2AD6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Remote Procedure Call (RPC) endpoints are the backbone of blockchain interaction. They allow clients to query chain state, broadcast transactions, and interact with smart contracts. Exposing RPC endpoints directly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691">
        <w:rPr>
          <w:rFonts w:ascii="Times New Roman" w:hAnsi="Times New Roman" w:cs="Times New Roman"/>
          <w:sz w:val="28"/>
          <w:szCs w:val="28"/>
          <w:lang w:val="en-US"/>
        </w:rPr>
        <w:t>especially without authentication, rate limiting, or filtering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691">
        <w:rPr>
          <w:rFonts w:ascii="Times New Roman" w:hAnsi="Times New Roman" w:cs="Times New Roman"/>
          <w:sz w:val="28"/>
          <w:szCs w:val="28"/>
          <w:lang w:val="en-US"/>
        </w:rPr>
        <w:t>creates significant security and operational risks.</w:t>
      </w:r>
    </w:p>
    <w:p w14:paraId="2D9AFDFE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 xml:space="preserve">First, unauthenticated RPC endpoints are susceptible to abuse. Attackers can spam expensive calls (e.g., </w:t>
      </w:r>
      <w:proofErr w:type="spellStart"/>
      <w:r w:rsidRPr="00217691">
        <w:rPr>
          <w:rFonts w:ascii="Times New Roman" w:hAnsi="Times New Roman" w:cs="Times New Roman"/>
          <w:sz w:val="28"/>
          <w:szCs w:val="28"/>
          <w:lang w:val="en-US"/>
        </w:rPr>
        <w:t>eth_call</w:t>
      </w:r>
      <w:proofErr w:type="spellEnd"/>
      <w:r w:rsidRPr="0021769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17691">
        <w:rPr>
          <w:rFonts w:ascii="Times New Roman" w:hAnsi="Times New Roman" w:cs="Times New Roman"/>
          <w:sz w:val="28"/>
          <w:szCs w:val="28"/>
          <w:lang w:val="en-US"/>
        </w:rPr>
        <w:t>eth_getLogs</w:t>
      </w:r>
      <w:proofErr w:type="spellEnd"/>
      <w:r w:rsidRPr="00217691">
        <w:rPr>
          <w:rFonts w:ascii="Times New Roman" w:hAnsi="Times New Roman" w:cs="Times New Roman"/>
          <w:sz w:val="28"/>
          <w:szCs w:val="28"/>
          <w:lang w:val="en-US"/>
        </w:rPr>
        <w:t>) to exhaust resources, leading to denial-of-service (DoS) conditions. This is particularly damaging for self-hosted nodes, which may be provisioned with limited CPU, memory, or bandwidth.</w:t>
      </w:r>
    </w:p>
    <w:p w14:paraId="2E0ECEB1" w14:textId="77777777" w:rsid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Second, direct RPC access can leak sensitive metadata. While blockchains are public, RPC usage patterns are not. Observing RPC requests can reveal:</w:t>
      </w:r>
    </w:p>
    <w:p w14:paraId="53063CAC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1C38D7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User IP addresses</w:t>
      </w:r>
    </w:p>
    <w:p w14:paraId="1ABD5019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Wallet interaction timing</w:t>
      </w:r>
    </w:p>
    <w:p w14:paraId="5A6D8754" w14:textId="77777777" w:rsid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Application-specific contract usage</w:t>
      </w:r>
    </w:p>
    <w:p w14:paraId="6BB68733" w14:textId="137DC14E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br/>
        <w:t>This information enables user deanonymization and targeted attacks.</w:t>
      </w:r>
    </w:p>
    <w:p w14:paraId="546DB19A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 xml:space="preserve">Third, transaction manipulation and front-running risks increase. If a backend or client submits transactions through an exposed RPC without proper protection, attackers monitoring the </w:t>
      </w:r>
      <w:proofErr w:type="spellStart"/>
      <w:r w:rsidRPr="00217691">
        <w:rPr>
          <w:rFonts w:ascii="Times New Roman" w:hAnsi="Times New Roman" w:cs="Times New Roman"/>
          <w:sz w:val="28"/>
          <w:szCs w:val="28"/>
          <w:lang w:val="en-US"/>
        </w:rPr>
        <w:t>mempool</w:t>
      </w:r>
      <w:proofErr w:type="spellEnd"/>
      <w:r w:rsidRPr="00217691">
        <w:rPr>
          <w:rFonts w:ascii="Times New Roman" w:hAnsi="Times New Roman" w:cs="Times New Roman"/>
          <w:sz w:val="28"/>
          <w:szCs w:val="28"/>
          <w:lang w:val="en-US"/>
        </w:rPr>
        <w:t xml:space="preserve"> or RPC traffic can front-run or sandwich transactions, especially in DeFi contexts.</w:t>
      </w:r>
    </w:p>
    <w:p w14:paraId="0F434760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 xml:space="preserve">Finally, misconfigured RPC methods can be catastrophic. Historically, exposed administrative RPC methods (e.g., </w:t>
      </w:r>
      <w:proofErr w:type="spellStart"/>
      <w:r w:rsidRPr="00217691">
        <w:rPr>
          <w:rFonts w:ascii="Times New Roman" w:hAnsi="Times New Roman" w:cs="Times New Roman"/>
          <w:sz w:val="28"/>
          <w:szCs w:val="28"/>
          <w:lang w:val="en-US"/>
        </w:rPr>
        <w:t>personal_unlockAccount</w:t>
      </w:r>
      <w:proofErr w:type="spellEnd"/>
      <w:r w:rsidRPr="00217691">
        <w:rPr>
          <w:rFonts w:ascii="Times New Roman" w:hAnsi="Times New Roman" w:cs="Times New Roman"/>
          <w:sz w:val="28"/>
          <w:szCs w:val="28"/>
          <w:lang w:val="en-US"/>
        </w:rPr>
        <w:t xml:space="preserve"> or debug APIs) have resulted in full node compromise and fund loss. Even when such methods are disabled by default today, misconfiguration remains a common failure mode.</w:t>
      </w:r>
    </w:p>
    <w:p w14:paraId="2315ECF7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Best practice dictates that RPC endpoints be treated as critical infrastructure: protected behind gateways, restricted by IP or authentication, monitored continuously, and abstracted away from direct end-user access.</w:t>
      </w:r>
    </w:p>
    <w:p w14:paraId="1B309753" w14:textId="3152814E" w:rsid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75B26D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2A0B98" w14:textId="3017B157" w:rsidR="00217691" w:rsidRPr="00217691" w:rsidRDefault="00217691" w:rsidP="0021769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2. XSS Risks in Decentralized Applications </w:t>
      </w:r>
    </w:p>
    <w:p w14:paraId="120B81CA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 xml:space="preserve">Cross-Site Scripting (XSS) remains one of the most dangerous threats to </w:t>
      </w:r>
      <w:proofErr w:type="spellStart"/>
      <w:r w:rsidRPr="00217691">
        <w:rPr>
          <w:rFonts w:ascii="Times New Roman" w:hAnsi="Times New Roman" w:cs="Times New Roman"/>
          <w:sz w:val="28"/>
          <w:szCs w:val="28"/>
          <w:lang w:val="en-US"/>
        </w:rPr>
        <w:t>dApps</w:t>
      </w:r>
      <w:proofErr w:type="spellEnd"/>
      <w:r w:rsidRPr="00217691">
        <w:rPr>
          <w:rFonts w:ascii="Times New Roman" w:hAnsi="Times New Roman" w:cs="Times New Roman"/>
          <w:sz w:val="28"/>
          <w:szCs w:val="28"/>
          <w:lang w:val="en-US"/>
        </w:rPr>
        <w:t>, despite the decentralized backend. The misconception that “blockchain = secure” often leads developers to underestimate traditional web attack vectors.</w:t>
      </w:r>
    </w:p>
    <w:p w14:paraId="5E7EE55E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 xml:space="preserve">In </w:t>
      </w:r>
      <w:proofErr w:type="spellStart"/>
      <w:r w:rsidRPr="00217691">
        <w:rPr>
          <w:rFonts w:ascii="Times New Roman" w:hAnsi="Times New Roman" w:cs="Times New Roman"/>
          <w:sz w:val="28"/>
          <w:szCs w:val="28"/>
          <w:lang w:val="en-US"/>
        </w:rPr>
        <w:t>dApps</w:t>
      </w:r>
      <w:proofErr w:type="spellEnd"/>
      <w:r w:rsidRPr="00217691">
        <w:rPr>
          <w:rFonts w:ascii="Times New Roman" w:hAnsi="Times New Roman" w:cs="Times New Roman"/>
          <w:sz w:val="28"/>
          <w:szCs w:val="28"/>
          <w:lang w:val="en-US"/>
        </w:rPr>
        <w:t>, XSS attacks are particularly severe because:</w:t>
      </w:r>
    </w:p>
    <w:p w14:paraId="45322FD3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proofErr w:type="gramStart"/>
      <w:r w:rsidRPr="00217691">
        <w:rPr>
          <w:rFonts w:ascii="Times New Roman" w:hAnsi="Times New Roman" w:cs="Times New Roman"/>
          <w:sz w:val="28"/>
          <w:szCs w:val="28"/>
          <w:lang w:val="en-US"/>
        </w:rPr>
        <w:t>frontend</w:t>
      </w:r>
      <w:proofErr w:type="gramEnd"/>
      <w:r w:rsidRPr="00217691">
        <w:rPr>
          <w:rFonts w:ascii="Times New Roman" w:hAnsi="Times New Roman" w:cs="Times New Roman"/>
          <w:sz w:val="28"/>
          <w:szCs w:val="28"/>
          <w:lang w:val="en-US"/>
        </w:rPr>
        <w:t xml:space="preserve"> is responsible for initiating wallet interactions</w:t>
      </w:r>
    </w:p>
    <w:p w14:paraId="316181FA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Injected scripts can modify transaction parameters</w:t>
      </w:r>
    </w:p>
    <w:p w14:paraId="04C422E0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Malicious code can prompt users to sign unintended messages or transactions</w:t>
      </w:r>
    </w:p>
    <w:p w14:paraId="737A90B0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 xml:space="preserve">A common scenario involves </w:t>
      </w:r>
      <w:proofErr w:type="spellStart"/>
      <w:r w:rsidRPr="00217691">
        <w:rPr>
          <w:rFonts w:ascii="Times New Roman" w:hAnsi="Times New Roman" w:cs="Times New Roman"/>
          <w:sz w:val="28"/>
          <w:szCs w:val="28"/>
          <w:lang w:val="en-US"/>
        </w:rPr>
        <w:t>unsanitized</w:t>
      </w:r>
      <w:proofErr w:type="spellEnd"/>
      <w:r w:rsidRPr="00217691">
        <w:rPr>
          <w:rFonts w:ascii="Times New Roman" w:hAnsi="Times New Roman" w:cs="Times New Roman"/>
          <w:sz w:val="28"/>
          <w:szCs w:val="28"/>
          <w:lang w:val="en-US"/>
        </w:rPr>
        <w:t xml:space="preserve"> on-chain or off-chain data rendered in the UI. Examples include:</w:t>
      </w:r>
    </w:p>
    <w:p w14:paraId="400D9B4F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Token names or symbols</w:t>
      </w:r>
    </w:p>
    <w:p w14:paraId="650C0AC7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NFT metadata (names, descriptions, SVGs)</w:t>
      </w:r>
    </w:p>
    <w:p w14:paraId="1A064F69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DAO proposal text</w:t>
      </w:r>
      <w:r w:rsidRPr="00217691">
        <w:rPr>
          <w:rFonts w:ascii="Times New Roman" w:hAnsi="Times New Roman" w:cs="Times New Roman"/>
          <w:sz w:val="28"/>
          <w:szCs w:val="28"/>
          <w:lang w:val="en-US"/>
        </w:rPr>
        <w:br/>
        <w:t xml:space="preserve">If malicious JavaScript is injected into these fields and rendered without proper escaping, the attacker gains execution context within the </w:t>
      </w:r>
      <w:proofErr w:type="spellStart"/>
      <w:r w:rsidRPr="00217691">
        <w:rPr>
          <w:rFonts w:ascii="Times New Roman" w:hAnsi="Times New Roman" w:cs="Times New Roman"/>
          <w:sz w:val="28"/>
          <w:szCs w:val="28"/>
          <w:lang w:val="en-US"/>
        </w:rPr>
        <w:t>dApp</w:t>
      </w:r>
      <w:proofErr w:type="spellEnd"/>
      <w:r w:rsidRPr="0021769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211DD2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Once executed, malicious scripts can:</w:t>
      </w:r>
    </w:p>
    <w:p w14:paraId="348207B6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Replace destination addresses before signing</w:t>
      </w:r>
    </w:p>
    <w:p w14:paraId="7B6EA5DC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 xml:space="preserve">Alter </w:t>
      </w:r>
      <w:proofErr w:type="spellStart"/>
      <w:r w:rsidRPr="00217691">
        <w:rPr>
          <w:rFonts w:ascii="Times New Roman" w:hAnsi="Times New Roman" w:cs="Times New Roman"/>
          <w:sz w:val="28"/>
          <w:szCs w:val="28"/>
          <w:lang w:val="en-US"/>
        </w:rPr>
        <w:t>calldata</w:t>
      </w:r>
      <w:proofErr w:type="spellEnd"/>
      <w:r w:rsidRPr="00217691">
        <w:rPr>
          <w:rFonts w:ascii="Times New Roman" w:hAnsi="Times New Roman" w:cs="Times New Roman"/>
          <w:sz w:val="28"/>
          <w:szCs w:val="28"/>
          <w:lang w:val="en-US"/>
        </w:rPr>
        <w:t xml:space="preserve"> while preserving UI appearance</w:t>
      </w:r>
    </w:p>
    <w:p w14:paraId="5EDDD378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Trigger hidden signature requests</w:t>
      </w:r>
    </w:p>
    <w:p w14:paraId="7F0687D1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Exfiltrate signed payloads or session data</w:t>
      </w:r>
    </w:p>
    <w:p w14:paraId="38956C57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Unlike Web2 XSS, Web3 XSS often leads directly to irreversible financial loss, since blockchain transactions cannot be rolled back.</w:t>
      </w:r>
    </w:p>
    <w:p w14:paraId="576A128E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Mitigation strategies include:</w:t>
      </w:r>
    </w:p>
    <w:p w14:paraId="1B56C055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Strict output encoding and sanitization</w:t>
      </w:r>
    </w:p>
    <w:p w14:paraId="6A1D422F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Content Security Policy (CSP) enforcement</w:t>
      </w:r>
    </w:p>
    <w:p w14:paraId="7F8105F3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 xml:space="preserve">Avoiding </w:t>
      </w:r>
      <w:proofErr w:type="spellStart"/>
      <w:r w:rsidRPr="00217691">
        <w:rPr>
          <w:rFonts w:ascii="Times New Roman" w:hAnsi="Times New Roman" w:cs="Times New Roman"/>
          <w:sz w:val="28"/>
          <w:szCs w:val="28"/>
          <w:lang w:val="en-US"/>
        </w:rPr>
        <w:t>dangerouslySetInnerHTML</w:t>
      </w:r>
      <w:proofErr w:type="spellEnd"/>
      <w:r w:rsidRPr="00217691">
        <w:rPr>
          <w:rFonts w:ascii="Times New Roman" w:hAnsi="Times New Roman" w:cs="Times New Roman"/>
          <w:sz w:val="28"/>
          <w:szCs w:val="28"/>
          <w:lang w:val="en-US"/>
        </w:rPr>
        <w:t>-style rendering</w:t>
      </w:r>
    </w:p>
    <w:p w14:paraId="13CE254E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Treating all on-chain data as untrusted input</w:t>
      </w:r>
    </w:p>
    <w:p w14:paraId="6679D5B5" w14:textId="6763F3C6" w:rsid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23F1BF" w14:textId="77777777" w:rsid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765377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087FAE" w14:textId="77777777" w:rsidR="00217691" w:rsidRPr="00217691" w:rsidRDefault="00217691" w:rsidP="0021769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3. Signature Replay Risks</w:t>
      </w:r>
    </w:p>
    <w:p w14:paraId="40172AE0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Signature replay attacks exploit the fact that cryptographic signatures are valid beyond their intended context if not properly scoped.</w:t>
      </w:r>
    </w:p>
    <w:p w14:paraId="53D4A62B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In Web3, this most commonly affects off-chain signatures, such as:</w:t>
      </w:r>
    </w:p>
    <w:p w14:paraId="1FF7B4D0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17691">
        <w:rPr>
          <w:rFonts w:ascii="Times New Roman" w:hAnsi="Times New Roman" w:cs="Times New Roman"/>
          <w:sz w:val="28"/>
          <w:szCs w:val="28"/>
          <w:lang w:val="en-US"/>
        </w:rPr>
        <w:t>eth_sign</w:t>
      </w:r>
      <w:proofErr w:type="spellEnd"/>
    </w:p>
    <w:p w14:paraId="7CE04655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17691">
        <w:rPr>
          <w:rFonts w:ascii="Times New Roman" w:hAnsi="Times New Roman" w:cs="Times New Roman"/>
          <w:sz w:val="28"/>
          <w:szCs w:val="28"/>
          <w:lang w:val="en-US"/>
        </w:rPr>
        <w:t>personal_sign</w:t>
      </w:r>
      <w:proofErr w:type="spellEnd"/>
    </w:p>
    <w:p w14:paraId="42F7229D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Poorly structured EIP-712 typed data</w:t>
      </w:r>
    </w:p>
    <w:p w14:paraId="1DF7C511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If a signed message does not include sufficient domain separation, an attacker may reuse it:</w:t>
      </w:r>
    </w:p>
    <w:p w14:paraId="454FE375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On a different contract</w:t>
      </w:r>
    </w:p>
    <w:p w14:paraId="24D5E7E2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On a different chain</w:t>
      </w:r>
    </w:p>
    <w:p w14:paraId="3D2D7D8D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17691">
        <w:rPr>
          <w:rFonts w:ascii="Times New Roman" w:hAnsi="Times New Roman" w:cs="Times New Roman"/>
          <w:sz w:val="28"/>
          <w:szCs w:val="28"/>
          <w:lang w:val="en-US"/>
        </w:rPr>
        <w:t>At a later time</w:t>
      </w:r>
      <w:proofErr w:type="gramEnd"/>
      <w:r w:rsidRPr="00217691">
        <w:rPr>
          <w:rFonts w:ascii="Times New Roman" w:hAnsi="Times New Roman" w:cs="Times New Roman"/>
          <w:sz w:val="28"/>
          <w:szCs w:val="28"/>
          <w:lang w:val="en-US"/>
        </w:rPr>
        <w:t xml:space="preserve"> than intended</w:t>
      </w:r>
    </w:p>
    <w:p w14:paraId="153669C2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For example, a signature intended to authorize a single action (“approve login”) might be reused to authorize token transfers if the message structure is ambiguous or overly generic.</w:t>
      </w:r>
    </w:p>
    <w:p w14:paraId="638401A7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Replay risks increase when:</w:t>
      </w:r>
    </w:p>
    <w:p w14:paraId="5A405D20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Nonces are omitted or reused</w:t>
      </w:r>
    </w:p>
    <w:p w14:paraId="72417F52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Chain IDs are not included</w:t>
      </w:r>
    </w:p>
    <w:p w14:paraId="55BE5FCE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 xml:space="preserve">Expiration </w:t>
      </w:r>
      <w:proofErr w:type="gramStart"/>
      <w:r w:rsidRPr="00217691">
        <w:rPr>
          <w:rFonts w:ascii="Times New Roman" w:hAnsi="Times New Roman" w:cs="Times New Roman"/>
          <w:sz w:val="28"/>
          <w:szCs w:val="28"/>
          <w:lang w:val="en-US"/>
        </w:rPr>
        <w:t>timestamps</w:t>
      </w:r>
      <w:proofErr w:type="gramEnd"/>
      <w:r w:rsidRPr="00217691">
        <w:rPr>
          <w:rFonts w:ascii="Times New Roman" w:hAnsi="Times New Roman" w:cs="Times New Roman"/>
          <w:sz w:val="28"/>
          <w:szCs w:val="28"/>
          <w:lang w:val="en-US"/>
        </w:rPr>
        <w:t xml:space="preserve"> are missing</w:t>
      </w:r>
    </w:p>
    <w:p w14:paraId="036E34C9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Messages are human-readable but not machine-enforced</w:t>
      </w:r>
    </w:p>
    <w:p w14:paraId="35EBB96B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Modern mitigations rely on:</w:t>
      </w:r>
    </w:p>
    <w:p w14:paraId="2F3512C4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EIP-712 structured data, which binds signatures to a specific domain (contract, chain, version)</w:t>
      </w:r>
    </w:p>
    <w:p w14:paraId="221DBB54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Nonce-based replay protection</w:t>
      </w:r>
    </w:p>
    <w:p w14:paraId="69A83BFC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Explicit expiry fields</w:t>
      </w:r>
    </w:p>
    <w:p w14:paraId="761234C5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Wallet-side warnings for ambiguous signing requests</w:t>
      </w:r>
    </w:p>
    <w:p w14:paraId="337F5DEE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Without these protections, users may unknowingly grant open-ended permissions.</w:t>
      </w:r>
    </w:p>
    <w:p w14:paraId="384350BF" w14:textId="3F77509D" w:rsid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2EFE5A" w14:textId="77777777" w:rsid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7C907F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7D8EB3" w14:textId="77777777" w:rsidR="00217691" w:rsidRPr="00217691" w:rsidRDefault="00217691" w:rsidP="0021769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4. Private Key Extraction via Malicious Web3 Injection</w:t>
      </w:r>
    </w:p>
    <w:p w14:paraId="30D81E4D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One of the most sophisticated and dangerous attack classes in the Web3 ecosystem involves malicious injection of Web3 providers.</w:t>
      </w:r>
    </w:p>
    <w:p w14:paraId="6E0F4F6E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This typically occurs through:</w:t>
      </w:r>
    </w:p>
    <w:p w14:paraId="5C671889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Compromised browser extensions</w:t>
      </w:r>
    </w:p>
    <w:p w14:paraId="7A25170F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 xml:space="preserve">Malicious </w:t>
      </w:r>
      <w:proofErr w:type="spellStart"/>
      <w:r w:rsidRPr="00217691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217691">
        <w:rPr>
          <w:rFonts w:ascii="Times New Roman" w:hAnsi="Times New Roman" w:cs="Times New Roman"/>
          <w:sz w:val="28"/>
          <w:szCs w:val="28"/>
          <w:lang w:val="en-US"/>
        </w:rPr>
        <w:t xml:space="preserve"> dependencies</w:t>
      </w:r>
    </w:p>
    <w:p w14:paraId="7BF28BBD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Supply-chain attacks on frontend bundles</w:t>
      </w:r>
    </w:p>
    <w:p w14:paraId="22E7C414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Fake wallet popups injected into the DOM</w:t>
      </w:r>
    </w:p>
    <w:p w14:paraId="3059F4D4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Attackers attempt to masquerade as a legitimate wallet provider, intercepting or manipulating:</w:t>
      </w:r>
    </w:p>
    <w:p w14:paraId="06124063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17691">
        <w:rPr>
          <w:rFonts w:ascii="Times New Roman" w:hAnsi="Times New Roman" w:cs="Times New Roman"/>
          <w:sz w:val="28"/>
          <w:szCs w:val="28"/>
          <w:lang w:val="en-US"/>
        </w:rPr>
        <w:t>window.ethereum</w:t>
      </w:r>
      <w:proofErr w:type="spellEnd"/>
    </w:p>
    <w:p w14:paraId="053CC181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Provider request flows</w:t>
      </w:r>
    </w:p>
    <w:p w14:paraId="06D8136F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Signature prompts</w:t>
      </w:r>
    </w:p>
    <w:p w14:paraId="2A6E4B30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While modern wallets do not expose private keys directly, attackers can still:</w:t>
      </w:r>
    </w:p>
    <w:p w14:paraId="64473D50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Trick users into exporting seed phrases</w:t>
      </w:r>
    </w:p>
    <w:p w14:paraId="1C080DD7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Capture signing material before user review</w:t>
      </w:r>
    </w:p>
    <w:p w14:paraId="7C07BA88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Downgrade signing methods to unsafe formats</w:t>
      </w:r>
    </w:p>
    <w:p w14:paraId="4F8BF3E8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Present deceptive UI overlays indistinguishable from real wallets</w:t>
      </w:r>
    </w:p>
    <w:p w14:paraId="4718F8E7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In extreme cases, users are guided through “recovery” flows that directly request mnemonic phrases under false pretenses (e.g., “wallet desync,” “network upgrade”).</w:t>
      </w:r>
    </w:p>
    <w:p w14:paraId="241185CB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Mitigation depends on strict separation between:</w:t>
      </w:r>
    </w:p>
    <w:p w14:paraId="4F468859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17691">
        <w:rPr>
          <w:rFonts w:ascii="Times New Roman" w:hAnsi="Times New Roman" w:cs="Times New Roman"/>
          <w:sz w:val="28"/>
          <w:szCs w:val="28"/>
          <w:lang w:val="en-US"/>
        </w:rPr>
        <w:t>dApp</w:t>
      </w:r>
      <w:proofErr w:type="spellEnd"/>
      <w:r w:rsidRPr="00217691">
        <w:rPr>
          <w:rFonts w:ascii="Times New Roman" w:hAnsi="Times New Roman" w:cs="Times New Roman"/>
          <w:sz w:val="28"/>
          <w:szCs w:val="28"/>
          <w:lang w:val="en-US"/>
        </w:rPr>
        <w:t xml:space="preserve"> execution context</w:t>
      </w:r>
    </w:p>
    <w:p w14:paraId="5FE9A2BC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Wallet execution context</w:t>
      </w:r>
    </w:p>
    <w:p w14:paraId="2114EF6C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This is why reputable wallets isolate key material in:</w:t>
      </w:r>
    </w:p>
    <w:p w14:paraId="3B31D601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Browser extension background processes</w:t>
      </w:r>
    </w:p>
    <w:p w14:paraId="01EBC10E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 xml:space="preserve">Secure </w:t>
      </w:r>
      <w:proofErr w:type="spellStart"/>
      <w:r w:rsidRPr="00217691">
        <w:rPr>
          <w:rFonts w:ascii="Times New Roman" w:hAnsi="Times New Roman" w:cs="Times New Roman"/>
          <w:sz w:val="28"/>
          <w:szCs w:val="28"/>
          <w:lang w:val="en-US"/>
        </w:rPr>
        <w:t>iframes</w:t>
      </w:r>
      <w:proofErr w:type="spellEnd"/>
    </w:p>
    <w:p w14:paraId="4C59DDA6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Mobile secure enclaves or hardware devices</w:t>
      </w:r>
    </w:p>
    <w:p w14:paraId="2E98FF8D" w14:textId="555D92CD" w:rsid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84131A" w14:textId="77777777" w:rsid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FE5C35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909153" w14:textId="77777777" w:rsidR="00217691" w:rsidRPr="00217691" w:rsidRDefault="00217691" w:rsidP="0021769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5. How Modern Wallet Providers Mitigate These Risks</w:t>
      </w:r>
    </w:p>
    <w:p w14:paraId="4B23F378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Modern wallet providers have evolved significantly in response to these attack vectors. Key mitigations include:</w:t>
      </w:r>
    </w:p>
    <w:p w14:paraId="3D402606" w14:textId="77777777" w:rsidR="00217691" w:rsidRPr="00217691" w:rsidRDefault="00217691" w:rsidP="002176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Provider Isolation</w:t>
      </w:r>
      <w:r w:rsidRPr="00217691">
        <w:rPr>
          <w:rFonts w:ascii="Times New Roman" w:hAnsi="Times New Roman" w:cs="Times New Roman"/>
          <w:sz w:val="28"/>
          <w:szCs w:val="28"/>
          <w:lang w:val="en-US"/>
        </w:rPr>
        <w:br/>
        <w:t xml:space="preserve">Wallets no longer inject raw key access into web pages. Instead, </w:t>
      </w:r>
      <w:proofErr w:type="spellStart"/>
      <w:r w:rsidRPr="00217691">
        <w:rPr>
          <w:rFonts w:ascii="Times New Roman" w:hAnsi="Times New Roman" w:cs="Times New Roman"/>
          <w:sz w:val="28"/>
          <w:szCs w:val="28"/>
          <w:lang w:val="en-US"/>
        </w:rPr>
        <w:t>dApps</w:t>
      </w:r>
      <w:proofErr w:type="spellEnd"/>
      <w:r w:rsidRPr="00217691">
        <w:rPr>
          <w:rFonts w:ascii="Times New Roman" w:hAnsi="Times New Roman" w:cs="Times New Roman"/>
          <w:sz w:val="28"/>
          <w:szCs w:val="28"/>
          <w:lang w:val="en-US"/>
        </w:rPr>
        <w:t xml:space="preserve"> communicate through restricted provider APIs that only expose high-level methods like request().</w:t>
      </w:r>
    </w:p>
    <w:p w14:paraId="60FF8F71" w14:textId="77777777" w:rsidR="00217691" w:rsidRPr="00217691" w:rsidRDefault="00217691" w:rsidP="002176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Transaction &amp; Signature Simulation</w:t>
      </w:r>
      <w:r w:rsidRPr="00217691">
        <w:rPr>
          <w:rFonts w:ascii="Times New Roman" w:hAnsi="Times New Roman" w:cs="Times New Roman"/>
          <w:sz w:val="28"/>
          <w:szCs w:val="28"/>
          <w:lang w:val="en-US"/>
        </w:rPr>
        <w:br/>
        <w:t>Before prompting the user, wallets simulate transactions to detect:</w:t>
      </w:r>
    </w:p>
    <w:p w14:paraId="472EC508" w14:textId="77777777" w:rsidR="00217691" w:rsidRPr="00217691" w:rsidRDefault="00217691" w:rsidP="002176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Token drains</w:t>
      </w:r>
    </w:p>
    <w:p w14:paraId="68499BB8" w14:textId="77777777" w:rsidR="00217691" w:rsidRPr="00217691" w:rsidRDefault="00217691" w:rsidP="002176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Approval abuse</w:t>
      </w:r>
    </w:p>
    <w:p w14:paraId="6AE7DD8C" w14:textId="77777777" w:rsidR="00217691" w:rsidRPr="00217691" w:rsidRDefault="00217691" w:rsidP="002176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Suspicious contract behavior</w:t>
      </w:r>
      <w:r w:rsidRPr="00217691">
        <w:rPr>
          <w:rFonts w:ascii="Times New Roman" w:hAnsi="Times New Roman" w:cs="Times New Roman"/>
          <w:sz w:val="28"/>
          <w:szCs w:val="28"/>
          <w:lang w:val="en-US"/>
        </w:rPr>
        <w:br/>
        <w:t>This provides human-readable warnings rather than opaque hex data.</w:t>
      </w:r>
    </w:p>
    <w:p w14:paraId="5C2B3FCA" w14:textId="77777777" w:rsidR="00217691" w:rsidRPr="00217691" w:rsidRDefault="00217691" w:rsidP="002176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Permissioned Access Models</w:t>
      </w:r>
      <w:r w:rsidRPr="00217691">
        <w:rPr>
          <w:rFonts w:ascii="Times New Roman" w:hAnsi="Times New Roman" w:cs="Times New Roman"/>
          <w:sz w:val="28"/>
          <w:szCs w:val="28"/>
          <w:lang w:val="en-US"/>
        </w:rPr>
        <w:br/>
        <w:t xml:space="preserve">Connections are scoped per site, limiting what each origin can request. Revocation is </w:t>
      </w:r>
      <w:proofErr w:type="gramStart"/>
      <w:r w:rsidRPr="00217691">
        <w:rPr>
          <w:rFonts w:ascii="Times New Roman" w:hAnsi="Times New Roman" w:cs="Times New Roman"/>
          <w:sz w:val="28"/>
          <w:szCs w:val="28"/>
          <w:lang w:val="en-US"/>
        </w:rPr>
        <w:t>supported,</w:t>
      </w:r>
      <w:proofErr w:type="gramEnd"/>
      <w:r w:rsidRPr="00217691">
        <w:rPr>
          <w:rFonts w:ascii="Times New Roman" w:hAnsi="Times New Roman" w:cs="Times New Roman"/>
          <w:sz w:val="28"/>
          <w:szCs w:val="28"/>
          <w:lang w:val="en-US"/>
        </w:rPr>
        <w:t xml:space="preserve"> reducing long-term risk.</w:t>
      </w:r>
    </w:p>
    <w:p w14:paraId="023B1303" w14:textId="77777777" w:rsidR="00217691" w:rsidRPr="00217691" w:rsidRDefault="00217691" w:rsidP="002176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Chain &amp; Domain Binding</w:t>
      </w:r>
      <w:r w:rsidRPr="00217691">
        <w:rPr>
          <w:rFonts w:ascii="Times New Roman" w:hAnsi="Times New Roman" w:cs="Times New Roman"/>
          <w:sz w:val="28"/>
          <w:szCs w:val="28"/>
          <w:lang w:val="en-US"/>
        </w:rPr>
        <w:br/>
        <w:t>Wallets enforce chain ID checks and EIP-712 domain separation to prevent cross-chain and cross-app replay.</w:t>
      </w:r>
    </w:p>
    <w:p w14:paraId="2F54F969" w14:textId="77777777" w:rsidR="00217691" w:rsidRPr="00217691" w:rsidRDefault="00217691" w:rsidP="002176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User Interface Hardening</w:t>
      </w:r>
      <w:r w:rsidRPr="00217691">
        <w:rPr>
          <w:rFonts w:ascii="Times New Roman" w:hAnsi="Times New Roman" w:cs="Times New Roman"/>
          <w:sz w:val="28"/>
          <w:szCs w:val="28"/>
          <w:lang w:val="en-US"/>
        </w:rPr>
        <w:br/>
        <w:t xml:space="preserve">Clear differentiation between message signing and transaction signing, explicit value display, and anti-phishing warnings </w:t>
      </w:r>
      <w:proofErr w:type="gramStart"/>
      <w:r w:rsidRPr="00217691">
        <w:rPr>
          <w:rFonts w:ascii="Times New Roman" w:hAnsi="Times New Roman" w:cs="Times New Roman"/>
          <w:sz w:val="28"/>
          <w:szCs w:val="28"/>
          <w:lang w:val="en-US"/>
        </w:rPr>
        <w:t>reduce</w:t>
      </w:r>
      <w:proofErr w:type="gramEnd"/>
      <w:r w:rsidRPr="00217691">
        <w:rPr>
          <w:rFonts w:ascii="Times New Roman" w:hAnsi="Times New Roman" w:cs="Times New Roman"/>
          <w:sz w:val="28"/>
          <w:szCs w:val="28"/>
          <w:lang w:val="en-US"/>
        </w:rPr>
        <w:t xml:space="preserve"> social engineering success.</w:t>
      </w:r>
    </w:p>
    <w:p w14:paraId="69F10823" w14:textId="77777777" w:rsidR="00217691" w:rsidRPr="00217691" w:rsidRDefault="00217691" w:rsidP="002176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7691">
        <w:rPr>
          <w:rFonts w:ascii="Times New Roman" w:hAnsi="Times New Roman" w:cs="Times New Roman"/>
          <w:sz w:val="28"/>
          <w:szCs w:val="28"/>
          <w:lang w:val="en-US"/>
        </w:rPr>
        <w:t>Hardware and Secure Enclave Support</w:t>
      </w:r>
      <w:r w:rsidRPr="00217691">
        <w:rPr>
          <w:rFonts w:ascii="Times New Roman" w:hAnsi="Times New Roman" w:cs="Times New Roman"/>
          <w:sz w:val="28"/>
          <w:szCs w:val="28"/>
          <w:lang w:val="en-US"/>
        </w:rPr>
        <w:br/>
        <w:t>Private keys never leave secure hardware, even if the host environment is compromised.</w:t>
      </w:r>
    </w:p>
    <w:p w14:paraId="1199E11F" w14:textId="4B6C4249" w:rsidR="005B77C0" w:rsidRPr="005B77C0" w:rsidRDefault="005B77C0" w:rsidP="00304AE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B77C0" w:rsidRPr="005B77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845"/>
    <w:multiLevelType w:val="multilevel"/>
    <w:tmpl w:val="455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A5490"/>
    <w:multiLevelType w:val="multilevel"/>
    <w:tmpl w:val="B828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A571D"/>
    <w:multiLevelType w:val="multilevel"/>
    <w:tmpl w:val="77E6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E2838"/>
    <w:multiLevelType w:val="multilevel"/>
    <w:tmpl w:val="4F48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9386B"/>
    <w:multiLevelType w:val="multilevel"/>
    <w:tmpl w:val="3804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A06F1"/>
    <w:multiLevelType w:val="multilevel"/>
    <w:tmpl w:val="1C94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4520D"/>
    <w:multiLevelType w:val="multilevel"/>
    <w:tmpl w:val="1CBC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D61B2"/>
    <w:multiLevelType w:val="multilevel"/>
    <w:tmpl w:val="788E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C46AC"/>
    <w:multiLevelType w:val="multilevel"/>
    <w:tmpl w:val="FC52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F545E"/>
    <w:multiLevelType w:val="multilevel"/>
    <w:tmpl w:val="D180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8137E"/>
    <w:multiLevelType w:val="multilevel"/>
    <w:tmpl w:val="16A8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FE257B"/>
    <w:multiLevelType w:val="multilevel"/>
    <w:tmpl w:val="530E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81EF4"/>
    <w:multiLevelType w:val="multilevel"/>
    <w:tmpl w:val="6122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016BF"/>
    <w:multiLevelType w:val="multilevel"/>
    <w:tmpl w:val="8404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A27084"/>
    <w:multiLevelType w:val="multilevel"/>
    <w:tmpl w:val="721E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13E4E"/>
    <w:multiLevelType w:val="multilevel"/>
    <w:tmpl w:val="0AF6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6F2E8B"/>
    <w:multiLevelType w:val="multilevel"/>
    <w:tmpl w:val="905A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24F62"/>
    <w:multiLevelType w:val="multilevel"/>
    <w:tmpl w:val="4DA6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CF4ADD"/>
    <w:multiLevelType w:val="multilevel"/>
    <w:tmpl w:val="9AF6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5C6097"/>
    <w:multiLevelType w:val="multilevel"/>
    <w:tmpl w:val="8812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0905B4"/>
    <w:multiLevelType w:val="multilevel"/>
    <w:tmpl w:val="E86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F3F1E"/>
    <w:multiLevelType w:val="multilevel"/>
    <w:tmpl w:val="4A92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3D729D"/>
    <w:multiLevelType w:val="multilevel"/>
    <w:tmpl w:val="984E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0527A0"/>
    <w:multiLevelType w:val="multilevel"/>
    <w:tmpl w:val="A198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0C3786"/>
    <w:multiLevelType w:val="multilevel"/>
    <w:tmpl w:val="B6B0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7A6D7F"/>
    <w:multiLevelType w:val="multilevel"/>
    <w:tmpl w:val="CFC0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7B72B2"/>
    <w:multiLevelType w:val="multilevel"/>
    <w:tmpl w:val="BD94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F6B43"/>
    <w:multiLevelType w:val="hybridMultilevel"/>
    <w:tmpl w:val="A0FA1D98"/>
    <w:lvl w:ilvl="0" w:tplc="2CFC4190">
      <w:start w:val="1"/>
      <w:numFmt w:val="decimal"/>
      <w:lvlText w:val="%1."/>
      <w:lvlJc w:val="left"/>
      <w:pPr>
        <w:ind w:left="433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0802093"/>
    <w:multiLevelType w:val="multilevel"/>
    <w:tmpl w:val="E24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9A34E2"/>
    <w:multiLevelType w:val="multilevel"/>
    <w:tmpl w:val="E0CC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0222AE"/>
    <w:multiLevelType w:val="multilevel"/>
    <w:tmpl w:val="3F2E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1752A4"/>
    <w:multiLevelType w:val="multilevel"/>
    <w:tmpl w:val="3BA4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AD68AE"/>
    <w:multiLevelType w:val="multilevel"/>
    <w:tmpl w:val="5B24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66390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3299831">
    <w:abstractNumId w:val="20"/>
  </w:num>
  <w:num w:numId="3" w16cid:durableId="363482544">
    <w:abstractNumId w:val="32"/>
  </w:num>
  <w:num w:numId="4" w16cid:durableId="46995196">
    <w:abstractNumId w:val="6"/>
  </w:num>
  <w:num w:numId="5" w16cid:durableId="1743329693">
    <w:abstractNumId w:val="2"/>
  </w:num>
  <w:num w:numId="6" w16cid:durableId="768155895">
    <w:abstractNumId w:val="22"/>
  </w:num>
  <w:num w:numId="7" w16cid:durableId="660474383">
    <w:abstractNumId w:val="24"/>
  </w:num>
  <w:num w:numId="8" w16cid:durableId="1783958876">
    <w:abstractNumId w:val="0"/>
  </w:num>
  <w:num w:numId="9" w16cid:durableId="1094203919">
    <w:abstractNumId w:val="19"/>
  </w:num>
  <w:num w:numId="10" w16cid:durableId="1221281143">
    <w:abstractNumId w:val="5"/>
  </w:num>
  <w:num w:numId="11" w16cid:durableId="1572734301">
    <w:abstractNumId w:val="13"/>
  </w:num>
  <w:num w:numId="12" w16cid:durableId="694186606">
    <w:abstractNumId w:val="28"/>
  </w:num>
  <w:num w:numId="13" w16cid:durableId="594824391">
    <w:abstractNumId w:val="17"/>
  </w:num>
  <w:num w:numId="14" w16cid:durableId="648440342">
    <w:abstractNumId w:val="10"/>
  </w:num>
  <w:num w:numId="15" w16cid:durableId="300966495">
    <w:abstractNumId w:val="14"/>
  </w:num>
  <w:num w:numId="16" w16cid:durableId="1439640309">
    <w:abstractNumId w:val="18"/>
  </w:num>
  <w:num w:numId="17" w16cid:durableId="743768698">
    <w:abstractNumId w:val="25"/>
  </w:num>
  <w:num w:numId="18" w16cid:durableId="642390874">
    <w:abstractNumId w:val="9"/>
  </w:num>
  <w:num w:numId="19" w16cid:durableId="1516650002">
    <w:abstractNumId w:val="11"/>
  </w:num>
  <w:num w:numId="20" w16cid:durableId="96365534">
    <w:abstractNumId w:val="29"/>
  </w:num>
  <w:num w:numId="21" w16cid:durableId="2049909556">
    <w:abstractNumId w:val="26"/>
  </w:num>
  <w:num w:numId="22" w16cid:durableId="1166477526">
    <w:abstractNumId w:val="16"/>
  </w:num>
  <w:num w:numId="23" w16cid:durableId="1457065557">
    <w:abstractNumId w:val="12"/>
  </w:num>
  <w:num w:numId="24" w16cid:durableId="585727037">
    <w:abstractNumId w:val="4"/>
  </w:num>
  <w:num w:numId="25" w16cid:durableId="1123767546">
    <w:abstractNumId w:val="30"/>
  </w:num>
  <w:num w:numId="26" w16cid:durableId="1155295549">
    <w:abstractNumId w:val="23"/>
  </w:num>
  <w:num w:numId="27" w16cid:durableId="993683286">
    <w:abstractNumId w:val="3"/>
  </w:num>
  <w:num w:numId="28" w16cid:durableId="697513021">
    <w:abstractNumId w:val="8"/>
  </w:num>
  <w:num w:numId="29" w16cid:durableId="580525411">
    <w:abstractNumId w:val="21"/>
  </w:num>
  <w:num w:numId="30" w16cid:durableId="1183475418">
    <w:abstractNumId w:val="15"/>
  </w:num>
  <w:num w:numId="31" w16cid:durableId="1496066430">
    <w:abstractNumId w:val="31"/>
  </w:num>
  <w:num w:numId="32" w16cid:durableId="68163582">
    <w:abstractNumId w:val="1"/>
  </w:num>
  <w:num w:numId="33" w16cid:durableId="10800544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134"/>
    <w:rsid w:val="00021645"/>
    <w:rsid w:val="00146FCA"/>
    <w:rsid w:val="00217691"/>
    <w:rsid w:val="00287D4E"/>
    <w:rsid w:val="00297D5A"/>
    <w:rsid w:val="00304AE9"/>
    <w:rsid w:val="004163DF"/>
    <w:rsid w:val="005044E4"/>
    <w:rsid w:val="00564074"/>
    <w:rsid w:val="005B77C0"/>
    <w:rsid w:val="00621218"/>
    <w:rsid w:val="00630C08"/>
    <w:rsid w:val="00681332"/>
    <w:rsid w:val="00840134"/>
    <w:rsid w:val="008A6470"/>
    <w:rsid w:val="00B47343"/>
    <w:rsid w:val="00B84C56"/>
    <w:rsid w:val="00BC66D1"/>
    <w:rsid w:val="00D97553"/>
    <w:rsid w:val="00DC6560"/>
    <w:rsid w:val="00E061F3"/>
    <w:rsid w:val="00E64F9B"/>
    <w:rsid w:val="00ED1B14"/>
    <w:rsid w:val="00ED2B11"/>
    <w:rsid w:val="00F148F1"/>
    <w:rsid w:val="00F6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EBFE5"/>
  <w15:chartTrackingRefBased/>
  <w15:docId w15:val="{D104C18D-6301-41E0-A3F9-4D9F29F24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7C0"/>
    <w:rPr>
      <w:rFonts w:eastAsiaTheme="minorEastAsia"/>
      <w:lang w:val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FCA"/>
    <w:pPr>
      <w:spacing w:after="200" w:line="276" w:lineRule="auto"/>
      <w:ind w:left="720"/>
      <w:contextualSpacing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5</Pages>
  <Words>903</Words>
  <Characters>5837</Characters>
  <Application>Microsoft Office Word</Application>
  <DocSecurity>0</DocSecurity>
  <Lines>110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Bakbergenov</dc:creator>
  <cp:keywords/>
  <dc:description/>
  <cp:lastModifiedBy>Temirlan Sapargali</cp:lastModifiedBy>
  <cp:revision>13</cp:revision>
  <dcterms:created xsi:type="dcterms:W3CDTF">2023-10-23T05:26:00Z</dcterms:created>
  <dcterms:modified xsi:type="dcterms:W3CDTF">2026-01-18T16:21:00Z</dcterms:modified>
</cp:coreProperties>
</file>