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C9C2A" w14:textId="77777777" w:rsidR="005746C6" w:rsidRDefault="005746C6" w:rsidP="005746C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316FC3D6" w14:textId="77777777" w:rsidR="005746C6" w:rsidRDefault="005746C6" w:rsidP="005746C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27B8B4A5" w14:textId="77777777" w:rsidR="005746C6" w:rsidRDefault="005746C6" w:rsidP="005746C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Instructor: </w:t>
      </w:r>
      <w:proofErr w:type="spellStart"/>
      <w:r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>Kozhakhmet</w:t>
      </w:r>
      <w:proofErr w:type="spellEnd"/>
      <w:r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>Zhaksylyk</w:t>
      </w:r>
      <w:proofErr w:type="spellEnd"/>
    </w:p>
    <w:p w14:paraId="73F6F7DA" w14:textId="31549E32" w:rsidR="005746C6" w:rsidRDefault="005746C6" w:rsidP="005746C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 w:rsidR="00C1029F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648F6532" w14:textId="6F710D1E" w:rsidR="005746C6" w:rsidRDefault="005746C6" w:rsidP="005746C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TASK </w:t>
      </w:r>
      <w:r w:rsidR="00C1029F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6C2A2ADE" w14:textId="77777777" w:rsidR="005746C6" w:rsidRDefault="005746C6" w:rsidP="005746C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Deriverables</w:t>
      </w:r>
      <w:proofErr w:type="spellEnd"/>
    </w:p>
    <w:p w14:paraId="384B3DA4" w14:textId="771B89A0" w:rsidR="0040247E" w:rsidRDefault="005746C6" w:rsidP="005746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All deliverables such as the contract files and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e.t.c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are inside same directory as this document.</w:t>
      </w:r>
    </w:p>
    <w:p w14:paraId="5B9D3BB8" w14:textId="5244A2AD" w:rsidR="00173E9D" w:rsidRDefault="00173E9D" w:rsidP="005746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Test suite:</w:t>
      </w:r>
    </w:p>
    <w:p w14:paraId="3F0D72B4" w14:textId="5C02AFD9" w:rsidR="00173E9D" w:rsidRDefault="00173E9D" w:rsidP="006336F5">
      <w:pPr>
        <w:rPr>
          <w:lang w:val="en-US"/>
        </w:rPr>
      </w:pPr>
      <w:r w:rsidRPr="00173E9D">
        <w:rPr>
          <w:lang w:val="en-US"/>
        </w:rPr>
        <w:drawing>
          <wp:inline distT="0" distB="0" distL="0" distR="0" wp14:anchorId="4FF50BC1" wp14:editId="06D0D969">
            <wp:extent cx="5420481" cy="3010320"/>
            <wp:effectExtent l="0" t="0" r="8890" b="0"/>
            <wp:docPr id="83379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98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2C7E" w14:textId="1DBE6103" w:rsidR="00173E9D" w:rsidRPr="00173E9D" w:rsidRDefault="00173E9D" w:rsidP="006336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sz w:val="28"/>
          <w:szCs w:val="28"/>
          <w:lang w:val="en-US"/>
        </w:rPr>
        <w:t>ERC-1155 vs separate ERC-20 + ERC-721</w:t>
      </w:r>
    </w:p>
    <w:p w14:paraId="25FC96E2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sz w:val="28"/>
          <w:szCs w:val="28"/>
          <w:lang w:val="en-US"/>
        </w:rPr>
        <w:t>Gas Efficiency Comparison</w:t>
      </w:r>
    </w:p>
    <w:p w14:paraId="66351FE9" w14:textId="542CB6BA" w:rsid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b/>
          <w:bCs/>
          <w:sz w:val="28"/>
          <w:szCs w:val="28"/>
          <w:lang w:val="en-US"/>
        </w:rPr>
        <w:t>ERC-1155's Key Innovation:</w:t>
      </w:r>
      <w:r w:rsidRPr="00173E9D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73E9D">
        <w:rPr>
          <w:rFonts w:ascii="Times New Roman" w:hAnsi="Times New Roman" w:cs="Times New Roman"/>
          <w:sz w:val="28"/>
          <w:szCs w:val="28"/>
          <w:lang w:val="en-US"/>
        </w:rPr>
        <w:t>Batch operations. A single </w:t>
      </w:r>
      <w:proofErr w:type="spellStart"/>
      <w:r w:rsidRPr="00173E9D">
        <w:rPr>
          <w:rFonts w:ascii="Times New Roman" w:hAnsi="Times New Roman" w:cs="Times New Roman"/>
          <w:sz w:val="28"/>
          <w:szCs w:val="28"/>
          <w:lang w:val="en-US"/>
        </w:rPr>
        <w:t>safeBatchTransferFrom</w:t>
      </w:r>
      <w:proofErr w:type="spellEnd"/>
      <w:r w:rsidRPr="00173E9D">
        <w:rPr>
          <w:rFonts w:ascii="Times New Roman" w:hAnsi="Times New Roman" w:cs="Times New Roman"/>
          <w:sz w:val="28"/>
          <w:szCs w:val="28"/>
          <w:lang w:val="en-US"/>
        </w:rPr>
        <w:t> call can transfer multiple token types simultaneously, while ERC-20 + ERC-721 would require separate contract calls for each token type.</w:t>
      </w:r>
    </w:p>
    <w:p w14:paraId="677AACF4" w14:textId="77777777" w:rsid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8E7229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16163F" w14:textId="77777777" w:rsidR="00173E9D" w:rsidRPr="00173E9D" w:rsidRDefault="00173E9D" w:rsidP="00173E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Deployment Gas</w:t>
      </w:r>
    </w:p>
    <w:p w14:paraId="2D60383E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b/>
          <w:bCs/>
          <w:sz w:val="28"/>
          <w:szCs w:val="28"/>
          <w:lang w:val="en-US"/>
        </w:rPr>
        <w:t>ERC-1155:</w:t>
      </w:r>
      <w:r w:rsidRPr="00173E9D">
        <w:rPr>
          <w:rFonts w:ascii="Times New Roman" w:hAnsi="Times New Roman" w:cs="Times New Roman"/>
          <w:sz w:val="28"/>
          <w:szCs w:val="28"/>
          <w:lang w:val="en-US"/>
        </w:rPr>
        <w:t> One contract (~2-3M gas) handles all token types (fungible, semi-fungible, non-fungible)</w:t>
      </w:r>
    </w:p>
    <w:p w14:paraId="5F5A75B1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b/>
          <w:bCs/>
          <w:sz w:val="28"/>
          <w:szCs w:val="28"/>
          <w:lang w:val="en-US"/>
        </w:rPr>
        <w:t>Separate contracts:</w:t>
      </w:r>
      <w:r w:rsidRPr="00173E9D">
        <w:rPr>
          <w:rFonts w:ascii="Times New Roman" w:hAnsi="Times New Roman" w:cs="Times New Roman"/>
          <w:sz w:val="28"/>
          <w:szCs w:val="28"/>
          <w:lang w:val="en-US"/>
        </w:rPr>
        <w:t> Each ERC-20 (~1.5M gas) + each ERC-721 (~2M gas) = significantly higher deployment costs for multiple token types</w:t>
      </w:r>
    </w:p>
    <w:p w14:paraId="2C61F8F8" w14:textId="77777777" w:rsidR="00173E9D" w:rsidRPr="00173E9D" w:rsidRDefault="00173E9D" w:rsidP="00173E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Transaction Gas (per operation)</w:t>
      </w:r>
    </w:p>
    <w:tbl>
      <w:tblPr>
        <w:tblStyle w:val="TableGrid"/>
        <w:tblW w:w="11280" w:type="dxa"/>
        <w:tblInd w:w="-532" w:type="dxa"/>
        <w:tblLook w:val="04A0" w:firstRow="1" w:lastRow="0" w:firstColumn="1" w:lastColumn="0" w:noHBand="0" w:noVBand="1"/>
      </w:tblPr>
      <w:tblGrid>
        <w:gridCol w:w="3776"/>
        <w:gridCol w:w="3398"/>
        <w:gridCol w:w="4106"/>
      </w:tblGrid>
      <w:tr w:rsidR="00173E9D" w:rsidRPr="00173E9D" w14:paraId="101E206F" w14:textId="77777777" w:rsidTr="00173E9D">
        <w:tc>
          <w:tcPr>
            <w:tcW w:w="0" w:type="auto"/>
            <w:hideMark/>
          </w:tcPr>
          <w:p w14:paraId="45990AA0" w14:textId="77777777" w:rsidR="00173E9D" w:rsidRPr="00173E9D" w:rsidRDefault="00173E9D" w:rsidP="00173E9D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3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Operation</w:t>
            </w:r>
          </w:p>
        </w:tc>
        <w:tc>
          <w:tcPr>
            <w:tcW w:w="0" w:type="auto"/>
            <w:hideMark/>
          </w:tcPr>
          <w:p w14:paraId="1B396F5F" w14:textId="77777777" w:rsidR="00173E9D" w:rsidRPr="00173E9D" w:rsidRDefault="00173E9D" w:rsidP="00173E9D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3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ERC-1155</w:t>
            </w:r>
          </w:p>
        </w:tc>
        <w:tc>
          <w:tcPr>
            <w:tcW w:w="0" w:type="auto"/>
            <w:hideMark/>
          </w:tcPr>
          <w:p w14:paraId="057261C9" w14:textId="77777777" w:rsidR="00173E9D" w:rsidRPr="00173E9D" w:rsidRDefault="00173E9D" w:rsidP="00173E9D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3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ERC-20 + ERC-721</w:t>
            </w:r>
          </w:p>
        </w:tc>
      </w:tr>
      <w:tr w:rsidR="00173E9D" w:rsidRPr="00173E9D" w14:paraId="527C0FA5" w14:textId="77777777" w:rsidTr="00173E9D">
        <w:tc>
          <w:tcPr>
            <w:tcW w:w="0" w:type="auto"/>
            <w:hideMark/>
          </w:tcPr>
          <w:p w14:paraId="6ECEEF94" w14:textId="77777777" w:rsidR="00173E9D" w:rsidRPr="00173E9D" w:rsidRDefault="00173E9D" w:rsidP="00173E9D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3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Transfer 1 fungible token</w:t>
            </w:r>
          </w:p>
        </w:tc>
        <w:tc>
          <w:tcPr>
            <w:tcW w:w="0" w:type="auto"/>
            <w:hideMark/>
          </w:tcPr>
          <w:p w14:paraId="13C9F5E2" w14:textId="77777777" w:rsidR="00173E9D" w:rsidRPr="00173E9D" w:rsidRDefault="00173E9D" w:rsidP="00173E9D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3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~45k gas</w:t>
            </w:r>
          </w:p>
        </w:tc>
        <w:tc>
          <w:tcPr>
            <w:tcW w:w="0" w:type="auto"/>
            <w:hideMark/>
          </w:tcPr>
          <w:p w14:paraId="45EA8EFB" w14:textId="77777777" w:rsidR="00173E9D" w:rsidRPr="00173E9D" w:rsidRDefault="00173E9D" w:rsidP="00173E9D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3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~50k gas (ERC-20)</w:t>
            </w:r>
          </w:p>
        </w:tc>
      </w:tr>
      <w:tr w:rsidR="00173E9D" w:rsidRPr="00173E9D" w14:paraId="7C95CC82" w14:textId="77777777" w:rsidTr="00173E9D">
        <w:tc>
          <w:tcPr>
            <w:tcW w:w="0" w:type="auto"/>
            <w:hideMark/>
          </w:tcPr>
          <w:p w14:paraId="7C710C52" w14:textId="77777777" w:rsidR="00173E9D" w:rsidRPr="00173E9D" w:rsidRDefault="00173E9D" w:rsidP="00173E9D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3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Transfer 5 fungible types</w:t>
            </w:r>
          </w:p>
        </w:tc>
        <w:tc>
          <w:tcPr>
            <w:tcW w:w="0" w:type="auto"/>
            <w:hideMark/>
          </w:tcPr>
          <w:p w14:paraId="17F2AEC3" w14:textId="77777777" w:rsidR="00173E9D" w:rsidRPr="00173E9D" w:rsidRDefault="00173E9D" w:rsidP="00173E9D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3E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~60k gas</w:t>
            </w:r>
            <w:r w:rsidRPr="00173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(batch)</w:t>
            </w:r>
          </w:p>
        </w:tc>
        <w:tc>
          <w:tcPr>
            <w:tcW w:w="0" w:type="auto"/>
            <w:hideMark/>
          </w:tcPr>
          <w:p w14:paraId="542723D0" w14:textId="77777777" w:rsidR="00173E9D" w:rsidRPr="00173E9D" w:rsidRDefault="00173E9D" w:rsidP="00173E9D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3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~250k gas (5 separate calls)</w:t>
            </w:r>
          </w:p>
        </w:tc>
      </w:tr>
      <w:tr w:rsidR="00173E9D" w:rsidRPr="00173E9D" w14:paraId="7D1BDA02" w14:textId="77777777" w:rsidTr="00173E9D">
        <w:tc>
          <w:tcPr>
            <w:tcW w:w="0" w:type="auto"/>
            <w:hideMark/>
          </w:tcPr>
          <w:p w14:paraId="19D3914A" w14:textId="77777777" w:rsidR="00173E9D" w:rsidRPr="00173E9D" w:rsidRDefault="00173E9D" w:rsidP="00173E9D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3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Transfer 1 NFT</w:t>
            </w:r>
          </w:p>
        </w:tc>
        <w:tc>
          <w:tcPr>
            <w:tcW w:w="0" w:type="auto"/>
            <w:hideMark/>
          </w:tcPr>
          <w:p w14:paraId="6479734F" w14:textId="77777777" w:rsidR="00173E9D" w:rsidRPr="00173E9D" w:rsidRDefault="00173E9D" w:rsidP="00173E9D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3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~45k gas</w:t>
            </w:r>
          </w:p>
        </w:tc>
        <w:tc>
          <w:tcPr>
            <w:tcW w:w="0" w:type="auto"/>
            <w:hideMark/>
          </w:tcPr>
          <w:p w14:paraId="22499D14" w14:textId="77777777" w:rsidR="00173E9D" w:rsidRPr="00173E9D" w:rsidRDefault="00173E9D" w:rsidP="00173E9D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3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~60k gas (ERC-721)</w:t>
            </w:r>
          </w:p>
        </w:tc>
      </w:tr>
      <w:tr w:rsidR="00173E9D" w:rsidRPr="00173E9D" w14:paraId="65A2BBAB" w14:textId="77777777" w:rsidTr="00173E9D">
        <w:tc>
          <w:tcPr>
            <w:tcW w:w="0" w:type="auto"/>
            <w:hideMark/>
          </w:tcPr>
          <w:p w14:paraId="30878573" w14:textId="77777777" w:rsidR="00173E9D" w:rsidRPr="00173E9D" w:rsidRDefault="00173E9D" w:rsidP="00173E9D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3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Transfer 5 NFTs</w:t>
            </w:r>
          </w:p>
        </w:tc>
        <w:tc>
          <w:tcPr>
            <w:tcW w:w="0" w:type="auto"/>
            <w:hideMark/>
          </w:tcPr>
          <w:p w14:paraId="5A175708" w14:textId="77777777" w:rsidR="00173E9D" w:rsidRPr="00173E9D" w:rsidRDefault="00173E9D" w:rsidP="00173E9D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3E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~60k gas</w:t>
            </w:r>
            <w:r w:rsidRPr="00173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(batch)</w:t>
            </w:r>
          </w:p>
        </w:tc>
        <w:tc>
          <w:tcPr>
            <w:tcW w:w="0" w:type="auto"/>
            <w:hideMark/>
          </w:tcPr>
          <w:p w14:paraId="4C72A7F8" w14:textId="77777777" w:rsidR="00173E9D" w:rsidRPr="00173E9D" w:rsidRDefault="00173E9D" w:rsidP="00173E9D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3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~300k gas (5 separate calls)</w:t>
            </w:r>
          </w:p>
        </w:tc>
      </w:tr>
      <w:tr w:rsidR="00173E9D" w:rsidRPr="00173E9D" w14:paraId="32B64D8D" w14:textId="77777777" w:rsidTr="00173E9D">
        <w:tc>
          <w:tcPr>
            <w:tcW w:w="0" w:type="auto"/>
            <w:hideMark/>
          </w:tcPr>
          <w:p w14:paraId="2F068283" w14:textId="77777777" w:rsidR="00173E9D" w:rsidRPr="00173E9D" w:rsidRDefault="00173E9D" w:rsidP="00173E9D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3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Approve operator</w:t>
            </w:r>
          </w:p>
        </w:tc>
        <w:tc>
          <w:tcPr>
            <w:tcW w:w="0" w:type="auto"/>
            <w:hideMark/>
          </w:tcPr>
          <w:p w14:paraId="27C9AAF1" w14:textId="77777777" w:rsidR="00173E9D" w:rsidRPr="00173E9D" w:rsidRDefault="00173E9D" w:rsidP="00173E9D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3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~45</w:t>
            </w:r>
            <w:proofErr w:type="gramStart"/>
            <w:r w:rsidRPr="00173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 gas</w:t>
            </w:r>
            <w:proofErr w:type="gramEnd"/>
            <w:r w:rsidRPr="00173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(once for all)</w:t>
            </w:r>
          </w:p>
        </w:tc>
        <w:tc>
          <w:tcPr>
            <w:tcW w:w="0" w:type="auto"/>
            <w:hideMark/>
          </w:tcPr>
          <w:p w14:paraId="7EAFA0BC" w14:textId="77777777" w:rsidR="00173E9D" w:rsidRPr="00173E9D" w:rsidRDefault="00173E9D" w:rsidP="00173E9D">
            <w:pPr>
              <w:spacing w:after="1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3E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~50k per contract</w:t>
            </w:r>
          </w:p>
        </w:tc>
      </w:tr>
    </w:tbl>
    <w:p w14:paraId="61725300" w14:textId="331CEFF8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b/>
          <w:bCs/>
          <w:sz w:val="28"/>
          <w:szCs w:val="28"/>
          <w:lang w:val="en-US"/>
        </w:rPr>
        <w:t>Bottom line:</w:t>
      </w:r>
      <w:r w:rsidRPr="00173E9D">
        <w:rPr>
          <w:rFonts w:ascii="Times New Roman" w:hAnsi="Times New Roman" w:cs="Times New Roman"/>
          <w:sz w:val="28"/>
          <w:szCs w:val="28"/>
          <w:lang w:val="en-US"/>
        </w:rPr>
        <w:t> ERC-1155 saves 70-80% gas when batching multiple token types.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697386D4" w14:textId="77777777" w:rsidR="00173E9D" w:rsidRPr="00173E9D" w:rsidRDefault="00173E9D" w:rsidP="00173E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b/>
          <w:bCs/>
          <w:sz w:val="28"/>
          <w:szCs w:val="28"/>
          <w:lang w:val="en-US"/>
        </w:rPr>
        <w:t>ERC-1155 Advantages</w:t>
      </w:r>
    </w:p>
    <w:p w14:paraId="10085A92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b/>
          <w:bCs/>
          <w:sz w:val="28"/>
          <w:szCs w:val="28"/>
          <w:lang w:val="en-US"/>
        </w:rPr>
        <w:t>Single contract:</w:t>
      </w:r>
      <w:r w:rsidRPr="00173E9D">
        <w:rPr>
          <w:rFonts w:ascii="Times New Roman" w:hAnsi="Times New Roman" w:cs="Times New Roman"/>
          <w:sz w:val="28"/>
          <w:szCs w:val="28"/>
          <w:lang w:val="en-US"/>
        </w:rPr>
        <w:t> Simpler upgrades, one address to track</w:t>
      </w:r>
    </w:p>
    <w:p w14:paraId="2B874791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Native batch operations:</w:t>
      </w:r>
      <w:r w:rsidRPr="00173E9D">
        <w:rPr>
          <w:rFonts w:ascii="Times New Roman" w:hAnsi="Times New Roman" w:cs="Times New Roman"/>
          <w:sz w:val="28"/>
          <w:szCs w:val="28"/>
          <w:lang w:val="en-US"/>
        </w:rPr>
        <w:t> Ideal for game inventories, marketplace bundles</w:t>
      </w:r>
    </w:p>
    <w:p w14:paraId="7FD145D0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b/>
          <w:bCs/>
          <w:sz w:val="28"/>
          <w:szCs w:val="28"/>
          <w:lang w:val="en-US"/>
        </w:rPr>
        <w:t>Unified approval:</w:t>
      </w:r>
      <w:r w:rsidRPr="00173E9D">
        <w:rPr>
          <w:rFonts w:ascii="Times New Roman" w:hAnsi="Times New Roman" w:cs="Times New Roman"/>
          <w:sz w:val="28"/>
          <w:szCs w:val="28"/>
          <w:lang w:val="en-US"/>
        </w:rPr>
        <w:t> One </w:t>
      </w:r>
      <w:proofErr w:type="spellStart"/>
      <w:r w:rsidRPr="00173E9D">
        <w:rPr>
          <w:rFonts w:ascii="Times New Roman" w:hAnsi="Times New Roman" w:cs="Times New Roman"/>
          <w:sz w:val="28"/>
          <w:szCs w:val="28"/>
          <w:lang w:val="en-US"/>
        </w:rPr>
        <w:t>setApprovalForAll</w:t>
      </w:r>
      <w:proofErr w:type="spellEnd"/>
      <w:r w:rsidRPr="00173E9D">
        <w:rPr>
          <w:rFonts w:ascii="Times New Roman" w:hAnsi="Times New Roman" w:cs="Times New Roman"/>
          <w:sz w:val="28"/>
          <w:szCs w:val="28"/>
          <w:lang w:val="en-US"/>
        </w:rPr>
        <w:t> covers all token types</w:t>
      </w:r>
    </w:p>
    <w:p w14:paraId="1A7028FD" w14:textId="782ED5E1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b/>
          <w:bCs/>
          <w:sz w:val="28"/>
          <w:szCs w:val="28"/>
          <w:lang w:val="en-US"/>
        </w:rPr>
        <w:t>Mixed token types:</w:t>
      </w:r>
      <w:r w:rsidRPr="00173E9D">
        <w:rPr>
          <w:rFonts w:ascii="Times New Roman" w:hAnsi="Times New Roman" w:cs="Times New Roman"/>
          <w:sz w:val="28"/>
          <w:szCs w:val="28"/>
          <w:lang w:val="en-US"/>
        </w:rPr>
        <w:t> Fungible (quantity &gt; 1) and non-fungible (quantity = 1) in same interface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5BE11F17" w14:textId="77777777" w:rsidR="00173E9D" w:rsidRPr="00173E9D" w:rsidRDefault="00173E9D" w:rsidP="00173E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b/>
          <w:bCs/>
          <w:sz w:val="28"/>
          <w:szCs w:val="28"/>
          <w:lang w:val="en-US"/>
        </w:rPr>
        <w:t>ERC-1155 Disadvantages</w:t>
      </w:r>
    </w:p>
    <w:p w14:paraId="6672A37F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b/>
          <w:bCs/>
          <w:sz w:val="28"/>
          <w:szCs w:val="28"/>
          <w:lang w:val="en-US"/>
        </w:rPr>
        <w:t>Less standard tooling:</w:t>
      </w:r>
      <w:r w:rsidRPr="00173E9D">
        <w:rPr>
          <w:rFonts w:ascii="Times New Roman" w:hAnsi="Times New Roman" w:cs="Times New Roman"/>
          <w:sz w:val="28"/>
          <w:szCs w:val="28"/>
          <w:lang w:val="en-US"/>
        </w:rPr>
        <w:t> Fewer wallets/exchanges support ERC-1155 vs ERC-20</w:t>
      </w:r>
    </w:p>
    <w:p w14:paraId="56F73FCA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b/>
          <w:bCs/>
          <w:sz w:val="28"/>
          <w:szCs w:val="28"/>
          <w:lang w:val="en-US"/>
        </w:rPr>
        <w:t>No native decimals:</w:t>
      </w:r>
      <w:r w:rsidRPr="00173E9D">
        <w:rPr>
          <w:rFonts w:ascii="Times New Roman" w:hAnsi="Times New Roman" w:cs="Times New Roman"/>
          <w:sz w:val="28"/>
          <w:szCs w:val="28"/>
          <w:lang w:val="en-US"/>
        </w:rPr>
        <w:t> Fungible tokens lack ERC-20's decimals() convention</w:t>
      </w:r>
    </w:p>
    <w:p w14:paraId="6656FD80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b/>
          <w:bCs/>
          <w:sz w:val="28"/>
          <w:szCs w:val="28"/>
          <w:lang w:val="en-US"/>
        </w:rPr>
        <w:t>URI complexity:</w:t>
      </w:r>
      <w:r w:rsidRPr="00173E9D">
        <w:rPr>
          <w:rFonts w:ascii="Times New Roman" w:hAnsi="Times New Roman" w:cs="Times New Roman"/>
          <w:sz w:val="28"/>
          <w:szCs w:val="28"/>
          <w:lang w:val="en-US"/>
        </w:rPr>
        <w:t> Metadata URI often requires ID substitution patterns</w:t>
      </w:r>
    </w:p>
    <w:p w14:paraId="3247FE87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b/>
          <w:bCs/>
          <w:sz w:val="28"/>
          <w:szCs w:val="28"/>
          <w:lang w:val="en-US"/>
        </w:rPr>
        <w:t>Overkill for simple cases:</w:t>
      </w:r>
      <w:r w:rsidRPr="00173E9D">
        <w:rPr>
          <w:rFonts w:ascii="Times New Roman" w:hAnsi="Times New Roman" w:cs="Times New Roman"/>
          <w:sz w:val="28"/>
          <w:szCs w:val="28"/>
          <w:lang w:val="en-US"/>
        </w:rPr>
        <w:t> If you only need one fungible token, ERC-20 is simpler</w:t>
      </w:r>
    </w:p>
    <w:p w14:paraId="46C0F70F" w14:textId="77777777" w:rsidR="00173E9D" w:rsidRDefault="00173E9D" w:rsidP="00173E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D011F1" w14:textId="37D0224F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Use ERC-1155 when:</w:t>
      </w:r>
    </w:p>
    <w:p w14:paraId="494D0DFC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sz w:val="28"/>
          <w:szCs w:val="28"/>
          <w:lang w:val="en-US"/>
        </w:rPr>
        <w:t>Building games with multiple resource types and items</w:t>
      </w:r>
    </w:p>
    <w:p w14:paraId="2C1E68AC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sz w:val="28"/>
          <w:szCs w:val="28"/>
          <w:lang w:val="en-US"/>
        </w:rPr>
        <w:t>Need batch transfers (marketplace checkouts, inventory management)</w:t>
      </w:r>
    </w:p>
    <w:p w14:paraId="25A2518C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sz w:val="28"/>
          <w:szCs w:val="28"/>
          <w:lang w:val="en-US"/>
        </w:rPr>
        <w:t>Combining fungible currencies with NFTs in same ecosystem</w:t>
      </w:r>
    </w:p>
    <w:p w14:paraId="5F1F3123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sz w:val="28"/>
          <w:szCs w:val="28"/>
          <w:lang w:val="en-US"/>
        </w:rPr>
        <w:t>Managing semi-fungible assets (event tickets, limited editions)</w:t>
      </w:r>
    </w:p>
    <w:p w14:paraId="4AACFE48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b/>
          <w:bCs/>
          <w:sz w:val="28"/>
          <w:szCs w:val="28"/>
          <w:lang w:val="en-US"/>
        </w:rPr>
        <w:t>Use separate ERC-20 + ERC-721 when:</w:t>
      </w:r>
    </w:p>
    <w:p w14:paraId="69A3DF94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sz w:val="28"/>
          <w:szCs w:val="28"/>
          <w:lang w:val="en-US"/>
        </w:rPr>
        <w:t>Only one fungible token needed (standard token)</w:t>
      </w:r>
    </w:p>
    <w:p w14:paraId="4EC51F49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sz w:val="28"/>
          <w:szCs w:val="28"/>
          <w:lang w:val="en-US"/>
        </w:rPr>
        <w:t>Integration with existing ERC-20/ERC-721 infrastructure required</w:t>
      </w:r>
    </w:p>
    <w:p w14:paraId="7B4E0A48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sz w:val="28"/>
          <w:szCs w:val="28"/>
          <w:lang w:val="en-US"/>
        </w:rPr>
        <w:t>Clear separation of concerns preferred</w:t>
      </w:r>
    </w:p>
    <w:p w14:paraId="7BED7965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sz w:val="28"/>
          <w:szCs w:val="28"/>
          <w:lang w:val="en-US"/>
        </w:rPr>
        <w:t>Simpler auditing surface desired</w:t>
      </w:r>
    </w:p>
    <w:p w14:paraId="04C16608" w14:textId="2810B77A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b/>
          <w:bCs/>
          <w:sz w:val="28"/>
          <w:szCs w:val="28"/>
          <w:lang w:val="en-US"/>
        </w:rPr>
        <w:t>Real-World Example: Game Items</w:t>
      </w:r>
    </w:p>
    <w:p w14:paraId="0A740671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sz w:val="28"/>
          <w:szCs w:val="28"/>
          <w:lang w:val="en-US"/>
        </w:rPr>
        <w:t xml:space="preserve">// ERC-1155: One contract handles GOLD (fungible), WOOD (fungible), </w:t>
      </w:r>
    </w:p>
    <w:p w14:paraId="2027E61C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sz w:val="28"/>
          <w:szCs w:val="28"/>
          <w:lang w:val="en-US"/>
        </w:rPr>
        <w:t>// LEGENDARY_SWORD (non-fungible), DRAGON_SHIELD (non-fungible)</w:t>
      </w:r>
    </w:p>
    <w:p w14:paraId="35B37778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FB1262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sz w:val="28"/>
          <w:szCs w:val="28"/>
          <w:lang w:val="en-US"/>
        </w:rPr>
        <w:t>// Batch mint all starting items in ONE transaction</w:t>
      </w:r>
    </w:p>
    <w:p w14:paraId="7AFD00A1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173E9D">
        <w:rPr>
          <w:rFonts w:ascii="Times New Roman" w:hAnsi="Times New Roman" w:cs="Times New Roman"/>
          <w:sz w:val="28"/>
          <w:szCs w:val="28"/>
          <w:lang w:val="en-US"/>
        </w:rPr>
        <w:t>startGame</w:t>
      </w:r>
      <w:proofErr w:type="spellEnd"/>
      <w:r w:rsidRPr="00173E9D">
        <w:rPr>
          <w:rFonts w:ascii="Times New Roman" w:hAnsi="Times New Roman" w:cs="Times New Roman"/>
          <w:sz w:val="28"/>
          <w:szCs w:val="28"/>
          <w:lang w:val="en-US"/>
        </w:rPr>
        <w:t>(address player) external {</w:t>
      </w:r>
    </w:p>
    <w:p w14:paraId="570E282F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sz w:val="28"/>
          <w:szCs w:val="28"/>
          <w:lang w:val="en-US"/>
        </w:rPr>
        <w:t xml:space="preserve">    uint256[] memory ids = [GOLD, WOOD, LEGENDARY_SWORD</w:t>
      </w:r>
      <w:proofErr w:type="gramStart"/>
      <w:r w:rsidRPr="00173E9D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55286B1D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sz w:val="28"/>
          <w:szCs w:val="28"/>
          <w:lang w:val="en-US"/>
        </w:rPr>
        <w:t xml:space="preserve">    uint256[] memory amounts = [1000, 500, 1</w:t>
      </w:r>
      <w:proofErr w:type="gramStart"/>
      <w:r w:rsidRPr="00173E9D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0AA221C9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sz w:val="28"/>
          <w:szCs w:val="28"/>
          <w:lang w:val="en-US"/>
        </w:rPr>
        <w:t xml:space="preserve">    _</w:t>
      </w:r>
      <w:proofErr w:type="spellStart"/>
      <w:r w:rsidRPr="00173E9D">
        <w:rPr>
          <w:rFonts w:ascii="Times New Roman" w:hAnsi="Times New Roman" w:cs="Times New Roman"/>
          <w:sz w:val="28"/>
          <w:szCs w:val="28"/>
          <w:lang w:val="en-US"/>
        </w:rPr>
        <w:t>mintBatch</w:t>
      </w:r>
      <w:proofErr w:type="spellEnd"/>
      <w:r w:rsidRPr="00173E9D">
        <w:rPr>
          <w:rFonts w:ascii="Times New Roman" w:hAnsi="Times New Roman" w:cs="Times New Roman"/>
          <w:sz w:val="28"/>
          <w:szCs w:val="28"/>
          <w:lang w:val="en-US"/>
        </w:rPr>
        <w:t>(player, ids, amounts, "");  // ~90k gas</w:t>
      </w:r>
    </w:p>
    <w:p w14:paraId="08F6E53A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2C4A74F" w14:textId="77777777" w:rsidR="00173E9D" w:rsidRPr="00173E9D" w:rsidRDefault="00173E9D" w:rsidP="00173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sz w:val="28"/>
          <w:szCs w:val="28"/>
          <w:lang w:val="en-US"/>
        </w:rPr>
        <w:t>With separate contracts, this would require 3 separate mint calls across 2-3 contracts, costing 3-4x more gas and more complex code.</w:t>
      </w:r>
    </w:p>
    <w:p w14:paraId="4D532EE1" w14:textId="77777777" w:rsidR="00173E9D" w:rsidRPr="00173E9D" w:rsidRDefault="00173E9D" w:rsidP="00173E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</w:t>
      </w:r>
    </w:p>
    <w:p w14:paraId="59465801" w14:textId="6C0712ED" w:rsidR="00C344DA" w:rsidRDefault="00173E9D" w:rsidP="005746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E9D">
        <w:rPr>
          <w:rFonts w:ascii="Times New Roman" w:hAnsi="Times New Roman" w:cs="Times New Roman"/>
          <w:sz w:val="28"/>
          <w:szCs w:val="28"/>
          <w:lang w:val="en-US"/>
        </w:rPr>
        <w:t>ERC-1155 offers superior gas efficiency for multi-token systems at the cost of some ecosystem maturity. For single-token needs, stick with ERC-20/ERC-721. For games, marketplaces, or any system with 3+ token types, ERC-1155 is the clear winner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81557FD" w14:textId="77777777" w:rsidR="00C344DA" w:rsidRDefault="00C344DA" w:rsidP="00C344D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PART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05DD3ED5" w14:textId="190113F7" w:rsidR="00C344DA" w:rsidRDefault="00C344DA" w:rsidP="00C344D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TASK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13C03485" w14:textId="77777777" w:rsidR="00C344DA" w:rsidRDefault="00C344DA" w:rsidP="00C344D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Deriverables</w:t>
      </w:r>
      <w:proofErr w:type="spellEnd"/>
    </w:p>
    <w:p w14:paraId="3E80C325" w14:textId="77777777" w:rsidR="00C344DA" w:rsidRDefault="00C344DA" w:rsidP="00C344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All deliverables such as the contract files and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e.t.c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are inside same directory as this document.</w:t>
      </w:r>
    </w:p>
    <w:p w14:paraId="247E3072" w14:textId="4497470F" w:rsidR="00C344DA" w:rsidRDefault="00C344DA" w:rsidP="005746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Test suite: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344D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A8DE82E" wp14:editId="311135D5">
            <wp:extent cx="5506218" cy="1933845"/>
            <wp:effectExtent l="0" t="0" r="0" b="9525"/>
            <wp:docPr id="1938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EB80" w14:textId="77777777" w:rsidR="00C344DA" w:rsidRPr="00C344DA" w:rsidRDefault="00C344DA" w:rsidP="00C344D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44DA">
        <w:rPr>
          <w:rFonts w:ascii="Times New Roman" w:hAnsi="Times New Roman" w:cs="Times New Roman"/>
          <w:sz w:val="28"/>
          <w:szCs w:val="28"/>
          <w:lang w:val="en-US"/>
        </w:rPr>
        <w:t>Real-World Use Cases of ERC-4626</w:t>
      </w:r>
    </w:p>
    <w:p w14:paraId="0B8A707C" w14:textId="77777777" w:rsidR="00C344DA" w:rsidRPr="00C344DA" w:rsidRDefault="00C344DA" w:rsidP="00C344D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44DA">
        <w:rPr>
          <w:rFonts w:ascii="Times New Roman" w:hAnsi="Times New Roman" w:cs="Times New Roman"/>
          <w:b/>
          <w:bCs/>
          <w:sz w:val="28"/>
          <w:szCs w:val="28"/>
          <w:lang w:val="en-US"/>
        </w:rPr>
        <w:t>ERC-4626</w:t>
      </w:r>
      <w:r w:rsidRPr="00C344DA">
        <w:rPr>
          <w:rFonts w:ascii="Times New Roman" w:hAnsi="Times New Roman" w:cs="Times New Roman"/>
          <w:sz w:val="28"/>
          <w:szCs w:val="28"/>
          <w:lang w:val="en-US"/>
        </w:rPr>
        <w:t> is a standardized interface for tokenized vaults that has revolutionized DeFi composability. Here are three major real-world applications:</w:t>
      </w:r>
    </w:p>
    <w:p w14:paraId="5909F680" w14:textId="01FB6F0E" w:rsidR="00C344DA" w:rsidRPr="00C344DA" w:rsidRDefault="00C344DA" w:rsidP="00C344D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344DA">
        <w:rPr>
          <w:rFonts w:ascii="Times New Roman" w:hAnsi="Times New Roman" w:cs="Times New Roman"/>
          <w:b/>
          <w:bCs/>
          <w:sz w:val="28"/>
          <w:szCs w:val="28"/>
          <w:lang w:val="en-US"/>
        </w:rPr>
        <w:t>Yearn Finance Vaults</w:t>
      </w:r>
    </w:p>
    <w:p w14:paraId="6E4261D7" w14:textId="55F89ABB" w:rsidR="00C344DA" w:rsidRPr="00C344DA" w:rsidRDefault="00C344DA" w:rsidP="00C344D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44DA">
        <w:rPr>
          <w:rFonts w:ascii="Times New Roman" w:hAnsi="Times New Roman" w:cs="Times New Roman"/>
          <w:sz w:val="28"/>
          <w:szCs w:val="28"/>
          <w:lang w:val="en-US"/>
        </w:rPr>
        <w:t xml:space="preserve">Yearn was the pioneer of yield aggregators, and their v3 vaults are fully ERC-4626 compliant. Each vault accepts a single underlying asset (e.g., DAI, USDC, </w:t>
      </w:r>
      <w:proofErr w:type="spellStart"/>
      <w:r w:rsidRPr="00C344DA">
        <w:rPr>
          <w:rFonts w:ascii="Times New Roman" w:hAnsi="Times New Roman" w:cs="Times New Roman"/>
          <w:sz w:val="28"/>
          <w:szCs w:val="28"/>
          <w:lang w:val="en-US"/>
        </w:rPr>
        <w:t>stETH</w:t>
      </w:r>
      <w:proofErr w:type="spellEnd"/>
      <w:r w:rsidRPr="00C344DA">
        <w:rPr>
          <w:rFonts w:ascii="Times New Roman" w:hAnsi="Times New Roman" w:cs="Times New Roman"/>
          <w:sz w:val="28"/>
          <w:szCs w:val="28"/>
          <w:lang w:val="en-US"/>
        </w:rPr>
        <w:t>) and automatically deploys it across multiple lending protocols, liquidity pools, and strategies to maximize yield. The standard allows other protocols to seamlessly integrate with Yearn vaults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44DA">
        <w:rPr>
          <w:rFonts w:ascii="Times New Roman" w:hAnsi="Times New Roman" w:cs="Times New Roman"/>
          <w:sz w:val="28"/>
          <w:szCs w:val="28"/>
          <w:lang w:val="en-US"/>
        </w:rPr>
        <w:t xml:space="preserve">for example, a lending protocol can accept </w:t>
      </w:r>
      <w:proofErr w:type="spellStart"/>
      <w:r w:rsidRPr="00C344DA">
        <w:rPr>
          <w:rFonts w:ascii="Times New Roman" w:hAnsi="Times New Roman" w:cs="Times New Roman"/>
          <w:sz w:val="28"/>
          <w:szCs w:val="28"/>
          <w:lang w:val="en-US"/>
        </w:rPr>
        <w:t>yvDAI</w:t>
      </w:r>
      <w:proofErr w:type="spellEnd"/>
      <w:r w:rsidRPr="00C344DA">
        <w:rPr>
          <w:rFonts w:ascii="Times New Roman" w:hAnsi="Times New Roman" w:cs="Times New Roman"/>
          <w:sz w:val="28"/>
          <w:szCs w:val="28"/>
          <w:lang w:val="en-US"/>
        </w:rPr>
        <w:t xml:space="preserve"> (Yearn's DAI vault shares) as collateral, knowing exactly how to convert between shares and underlying DAI using </w:t>
      </w:r>
      <w:proofErr w:type="spellStart"/>
      <w:r w:rsidRPr="00C344DA">
        <w:rPr>
          <w:rFonts w:ascii="Times New Roman" w:hAnsi="Times New Roman" w:cs="Times New Roman"/>
          <w:sz w:val="28"/>
          <w:szCs w:val="28"/>
          <w:lang w:val="en-US"/>
        </w:rPr>
        <w:t>convertToAssets</w:t>
      </w:r>
      <w:proofErr w:type="spellEnd"/>
      <w:r w:rsidRPr="00C344DA">
        <w:rPr>
          <w:rFonts w:ascii="Times New Roman" w:hAnsi="Times New Roman" w:cs="Times New Roman"/>
          <w:sz w:val="28"/>
          <w:szCs w:val="28"/>
          <w:lang w:val="en-US"/>
        </w:rPr>
        <w:t>().</w:t>
      </w:r>
    </w:p>
    <w:p w14:paraId="03B0710A" w14:textId="528CEA72" w:rsidR="00C344DA" w:rsidRPr="00C344DA" w:rsidRDefault="00C344DA" w:rsidP="00C344D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344DA">
        <w:rPr>
          <w:rFonts w:ascii="Times New Roman" w:hAnsi="Times New Roman" w:cs="Times New Roman"/>
          <w:b/>
          <w:bCs/>
          <w:sz w:val="28"/>
          <w:szCs w:val="28"/>
          <w:lang w:val="en-US"/>
        </w:rPr>
        <w:t>Aave</w:t>
      </w:r>
      <w:proofErr w:type="spellEnd"/>
      <w:r w:rsidRPr="00C344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44DA">
        <w:rPr>
          <w:rFonts w:ascii="Times New Roman" w:hAnsi="Times New Roman" w:cs="Times New Roman"/>
          <w:b/>
          <w:bCs/>
          <w:sz w:val="28"/>
          <w:szCs w:val="28"/>
          <w:lang w:val="en-US"/>
        </w:rPr>
        <w:t>aTokens</w:t>
      </w:r>
      <w:proofErr w:type="spellEnd"/>
    </w:p>
    <w:p w14:paraId="22ED50E5" w14:textId="77777777" w:rsidR="00C344DA" w:rsidRPr="00C344DA" w:rsidRDefault="00C344DA" w:rsidP="00C344D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44DA">
        <w:rPr>
          <w:rFonts w:ascii="Times New Roman" w:hAnsi="Times New Roman" w:cs="Times New Roman"/>
          <w:sz w:val="28"/>
          <w:szCs w:val="28"/>
          <w:lang w:val="en-US"/>
        </w:rPr>
        <w:t>Aave's</w:t>
      </w:r>
      <w:proofErr w:type="spellEnd"/>
      <w:r w:rsidRPr="00C344DA">
        <w:rPr>
          <w:rFonts w:ascii="Times New Roman" w:hAnsi="Times New Roman" w:cs="Times New Roman"/>
          <w:sz w:val="28"/>
          <w:szCs w:val="28"/>
          <w:lang w:val="en-US"/>
        </w:rPr>
        <w:t xml:space="preserve"> interest-bearing </w:t>
      </w:r>
      <w:proofErr w:type="spellStart"/>
      <w:r w:rsidRPr="00C344DA">
        <w:rPr>
          <w:rFonts w:ascii="Times New Roman" w:hAnsi="Times New Roman" w:cs="Times New Roman"/>
          <w:sz w:val="28"/>
          <w:szCs w:val="28"/>
          <w:lang w:val="en-US"/>
        </w:rPr>
        <w:t>aTokens</w:t>
      </w:r>
      <w:proofErr w:type="spellEnd"/>
      <w:r w:rsidRPr="00C344DA">
        <w:rPr>
          <w:rFonts w:ascii="Times New Roman" w:hAnsi="Times New Roman" w:cs="Times New Roman"/>
          <w:sz w:val="28"/>
          <w:szCs w:val="28"/>
          <w:lang w:val="en-US"/>
        </w:rPr>
        <w:t xml:space="preserve"> (e.g., </w:t>
      </w:r>
      <w:proofErr w:type="spellStart"/>
      <w:r w:rsidRPr="00C344DA">
        <w:rPr>
          <w:rFonts w:ascii="Times New Roman" w:hAnsi="Times New Roman" w:cs="Times New Roman"/>
          <w:sz w:val="28"/>
          <w:szCs w:val="28"/>
          <w:lang w:val="en-US"/>
        </w:rPr>
        <w:t>aUSDC</w:t>
      </w:r>
      <w:proofErr w:type="spellEnd"/>
      <w:r w:rsidRPr="00C344D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44DA">
        <w:rPr>
          <w:rFonts w:ascii="Times New Roman" w:hAnsi="Times New Roman" w:cs="Times New Roman"/>
          <w:sz w:val="28"/>
          <w:szCs w:val="28"/>
          <w:lang w:val="en-US"/>
        </w:rPr>
        <w:t>aETH</w:t>
      </w:r>
      <w:proofErr w:type="spellEnd"/>
      <w:r w:rsidRPr="00C344DA">
        <w:rPr>
          <w:rFonts w:ascii="Times New Roman" w:hAnsi="Times New Roman" w:cs="Times New Roman"/>
          <w:sz w:val="28"/>
          <w:szCs w:val="28"/>
          <w:lang w:val="en-US"/>
        </w:rPr>
        <w:t xml:space="preserve">) follow the ERC-4626 pattern. When users deposit assets into </w:t>
      </w:r>
      <w:proofErr w:type="spellStart"/>
      <w:r w:rsidRPr="00C344DA">
        <w:rPr>
          <w:rFonts w:ascii="Times New Roman" w:hAnsi="Times New Roman" w:cs="Times New Roman"/>
          <w:sz w:val="28"/>
          <w:szCs w:val="28"/>
          <w:lang w:val="en-US"/>
        </w:rPr>
        <w:t>Aave</w:t>
      </w:r>
      <w:proofErr w:type="spellEnd"/>
      <w:r w:rsidRPr="00C344DA">
        <w:rPr>
          <w:rFonts w:ascii="Times New Roman" w:hAnsi="Times New Roman" w:cs="Times New Roman"/>
          <w:sz w:val="28"/>
          <w:szCs w:val="28"/>
          <w:lang w:val="en-US"/>
        </w:rPr>
        <w:t xml:space="preserve">, they receive </w:t>
      </w:r>
      <w:proofErr w:type="spellStart"/>
      <w:r w:rsidRPr="00C344DA">
        <w:rPr>
          <w:rFonts w:ascii="Times New Roman" w:hAnsi="Times New Roman" w:cs="Times New Roman"/>
          <w:sz w:val="28"/>
          <w:szCs w:val="28"/>
          <w:lang w:val="en-US"/>
        </w:rPr>
        <w:t>aTokens</w:t>
      </w:r>
      <w:proofErr w:type="spellEnd"/>
      <w:r w:rsidRPr="00C344DA">
        <w:rPr>
          <w:rFonts w:ascii="Times New Roman" w:hAnsi="Times New Roman" w:cs="Times New Roman"/>
          <w:sz w:val="28"/>
          <w:szCs w:val="28"/>
          <w:lang w:val="en-US"/>
        </w:rPr>
        <w:t xml:space="preserve"> that accrue interest in real-time through a rebasing mechanism. While </w:t>
      </w:r>
      <w:proofErr w:type="spellStart"/>
      <w:r w:rsidRPr="00C344DA">
        <w:rPr>
          <w:rFonts w:ascii="Times New Roman" w:hAnsi="Times New Roman" w:cs="Times New Roman"/>
          <w:sz w:val="28"/>
          <w:szCs w:val="28"/>
          <w:lang w:val="en-US"/>
        </w:rPr>
        <w:t>aTokens</w:t>
      </w:r>
      <w:proofErr w:type="spellEnd"/>
      <w:r w:rsidRPr="00C344DA">
        <w:rPr>
          <w:rFonts w:ascii="Times New Roman" w:hAnsi="Times New Roman" w:cs="Times New Roman"/>
          <w:sz w:val="28"/>
          <w:szCs w:val="28"/>
          <w:lang w:val="en-US"/>
        </w:rPr>
        <w:t xml:space="preserve"> don't implement the full ERC-4626 interface natively, wrappers like AaveV3ERC4626 bridge the gap. These vaults enable </w:t>
      </w:r>
      <w:proofErr w:type="spellStart"/>
      <w:r w:rsidRPr="00C344DA">
        <w:rPr>
          <w:rFonts w:ascii="Times New Roman" w:hAnsi="Times New Roman" w:cs="Times New Roman"/>
          <w:sz w:val="28"/>
          <w:szCs w:val="28"/>
          <w:lang w:val="en-US"/>
        </w:rPr>
        <w:t>aTokens</w:t>
      </w:r>
      <w:proofErr w:type="spellEnd"/>
      <w:r w:rsidRPr="00C344DA">
        <w:rPr>
          <w:rFonts w:ascii="Times New Roman" w:hAnsi="Times New Roman" w:cs="Times New Roman"/>
          <w:sz w:val="28"/>
          <w:szCs w:val="28"/>
          <w:lang w:val="en-US"/>
        </w:rPr>
        <w:t xml:space="preserve"> to be used in any protocol that supports ERC-4626, from </w:t>
      </w:r>
      <w:r w:rsidRPr="00C344DA">
        <w:rPr>
          <w:rFonts w:ascii="Times New Roman" w:hAnsi="Times New Roman" w:cs="Times New Roman"/>
          <w:sz w:val="28"/>
          <w:szCs w:val="28"/>
          <w:lang w:val="en-US"/>
        </w:rPr>
        <w:lastRenderedPageBreak/>
        <w:t>liquidity pools to collateral managers, creating a unified interface for interest-bearing assets.</w:t>
      </w:r>
    </w:p>
    <w:p w14:paraId="054526E1" w14:textId="36F0FC7D" w:rsidR="00C344DA" w:rsidRPr="00C344DA" w:rsidRDefault="00C344DA" w:rsidP="00C344D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344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Compound </w:t>
      </w:r>
      <w:proofErr w:type="spellStart"/>
      <w:r w:rsidRPr="00C344DA">
        <w:rPr>
          <w:rFonts w:ascii="Times New Roman" w:hAnsi="Times New Roman" w:cs="Times New Roman"/>
          <w:b/>
          <w:bCs/>
          <w:sz w:val="28"/>
          <w:szCs w:val="28"/>
          <w:lang w:val="en-US"/>
        </w:rPr>
        <w:t>cTokens</w:t>
      </w:r>
      <w:proofErr w:type="spellEnd"/>
      <w:r w:rsidRPr="00C344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&amp; Euler </w:t>
      </w:r>
      <w:proofErr w:type="spellStart"/>
      <w:r w:rsidRPr="00C344DA">
        <w:rPr>
          <w:rFonts w:ascii="Times New Roman" w:hAnsi="Times New Roman" w:cs="Times New Roman"/>
          <w:b/>
          <w:bCs/>
          <w:sz w:val="28"/>
          <w:szCs w:val="28"/>
          <w:lang w:val="en-US"/>
        </w:rPr>
        <w:t>eTokens</w:t>
      </w:r>
      <w:proofErr w:type="spellEnd"/>
    </w:p>
    <w:p w14:paraId="48F1365E" w14:textId="77777777" w:rsidR="00C344DA" w:rsidRPr="00C344DA" w:rsidRDefault="00C344DA" w:rsidP="00C344D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44DA">
        <w:rPr>
          <w:rFonts w:ascii="Times New Roman" w:hAnsi="Times New Roman" w:cs="Times New Roman"/>
          <w:sz w:val="28"/>
          <w:szCs w:val="28"/>
          <w:lang w:val="en-US"/>
        </w:rPr>
        <w:t xml:space="preserve">Compound Finance's </w:t>
      </w:r>
      <w:proofErr w:type="spellStart"/>
      <w:r w:rsidRPr="00C344DA">
        <w:rPr>
          <w:rFonts w:ascii="Times New Roman" w:hAnsi="Times New Roman" w:cs="Times New Roman"/>
          <w:sz w:val="28"/>
          <w:szCs w:val="28"/>
          <w:lang w:val="en-US"/>
        </w:rPr>
        <w:t>cTokens</w:t>
      </w:r>
      <w:proofErr w:type="spellEnd"/>
      <w:r w:rsidRPr="00C344DA">
        <w:rPr>
          <w:rFonts w:ascii="Times New Roman" w:hAnsi="Times New Roman" w:cs="Times New Roman"/>
          <w:sz w:val="28"/>
          <w:szCs w:val="28"/>
          <w:lang w:val="en-US"/>
        </w:rPr>
        <w:t xml:space="preserve"> and Euler's </w:t>
      </w:r>
      <w:proofErr w:type="spellStart"/>
      <w:r w:rsidRPr="00C344DA">
        <w:rPr>
          <w:rFonts w:ascii="Times New Roman" w:hAnsi="Times New Roman" w:cs="Times New Roman"/>
          <w:sz w:val="28"/>
          <w:szCs w:val="28"/>
          <w:lang w:val="en-US"/>
        </w:rPr>
        <w:t>eTokens</w:t>
      </w:r>
      <w:proofErr w:type="spellEnd"/>
      <w:r w:rsidRPr="00C344DA">
        <w:rPr>
          <w:rFonts w:ascii="Times New Roman" w:hAnsi="Times New Roman" w:cs="Times New Roman"/>
          <w:sz w:val="28"/>
          <w:szCs w:val="28"/>
          <w:lang w:val="en-US"/>
        </w:rPr>
        <w:t xml:space="preserve"> are early examples of tokenized vaults. ERC-4626 formalizes what these protocols already did: represent a claim on deposited assets plus accrued interest. The standard's key innovation is its </w:t>
      </w:r>
      <w:r w:rsidRPr="00C344DA">
        <w:rPr>
          <w:rFonts w:ascii="Times New Roman" w:hAnsi="Times New Roman" w:cs="Times New Roman"/>
          <w:b/>
          <w:bCs/>
          <w:sz w:val="28"/>
          <w:szCs w:val="28"/>
          <w:lang w:val="en-US"/>
        </w:rPr>
        <w:t>rounding specification</w:t>
      </w:r>
      <w:r w:rsidRPr="00C344DA">
        <w:rPr>
          <w:rFonts w:ascii="Times New Roman" w:hAnsi="Times New Roman" w:cs="Times New Roman"/>
          <w:sz w:val="28"/>
          <w:szCs w:val="28"/>
          <w:lang w:val="en-US"/>
        </w:rPr>
        <w:t> (</w:t>
      </w:r>
      <w:proofErr w:type="spellStart"/>
      <w:r w:rsidRPr="00C344DA">
        <w:rPr>
          <w:rFonts w:ascii="Times New Roman" w:hAnsi="Times New Roman" w:cs="Times New Roman"/>
          <w:sz w:val="28"/>
          <w:szCs w:val="28"/>
          <w:lang w:val="en-US"/>
        </w:rPr>
        <w:t>previewDeposit</w:t>
      </w:r>
      <w:proofErr w:type="spellEnd"/>
      <w:r w:rsidRPr="00C344DA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C344DA">
        <w:rPr>
          <w:rFonts w:ascii="Times New Roman" w:hAnsi="Times New Roman" w:cs="Times New Roman"/>
          <w:sz w:val="28"/>
          <w:szCs w:val="28"/>
          <w:lang w:val="en-US"/>
        </w:rPr>
        <w:t>previewMint</w:t>
      </w:r>
      <w:proofErr w:type="spellEnd"/>
      <w:r w:rsidRPr="00C344DA">
        <w:rPr>
          <w:rFonts w:ascii="Times New Roman" w:hAnsi="Times New Roman" w:cs="Times New Roman"/>
          <w:sz w:val="28"/>
          <w:szCs w:val="28"/>
          <w:lang w:val="en-US"/>
        </w:rPr>
        <w:t>, etc.), which ensures predictable behavior for smart contracts. For example, a protocol building a leveraged yield strategy can precisely calculate how many shares to mint for a given deposit, preventing rounding errors that could be exploited.</w:t>
      </w:r>
    </w:p>
    <w:p w14:paraId="68BF8991" w14:textId="77777777" w:rsidR="00C344DA" w:rsidRPr="00C344DA" w:rsidRDefault="00C344DA" w:rsidP="00C344D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344DA">
        <w:rPr>
          <w:rFonts w:ascii="Times New Roman" w:hAnsi="Times New Roman" w:cs="Times New Roman"/>
          <w:b/>
          <w:bCs/>
          <w:sz w:val="28"/>
          <w:szCs w:val="28"/>
          <w:lang w:val="en-US"/>
        </w:rPr>
        <w:t>Why Standardization Matters</w:t>
      </w:r>
    </w:p>
    <w:p w14:paraId="170D5C37" w14:textId="38315770" w:rsidR="00C344DA" w:rsidRPr="00C344DA" w:rsidRDefault="00C344DA" w:rsidP="00C344D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44DA">
        <w:rPr>
          <w:rFonts w:ascii="Times New Roman" w:hAnsi="Times New Roman" w:cs="Times New Roman"/>
          <w:sz w:val="28"/>
          <w:szCs w:val="28"/>
          <w:lang w:val="en-US"/>
        </w:rPr>
        <w:t>Before ERC-4626, every yield-bearing token had different interfaces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44DA">
        <w:rPr>
          <w:rFonts w:ascii="Times New Roman" w:hAnsi="Times New Roman" w:cs="Times New Roman"/>
          <w:sz w:val="28"/>
          <w:szCs w:val="28"/>
          <w:lang w:val="en-US"/>
        </w:rPr>
        <w:t>Yearn had </w:t>
      </w:r>
      <w:proofErr w:type="spellStart"/>
      <w:r w:rsidRPr="00C344DA">
        <w:rPr>
          <w:rFonts w:ascii="Times New Roman" w:hAnsi="Times New Roman" w:cs="Times New Roman"/>
          <w:sz w:val="28"/>
          <w:szCs w:val="28"/>
          <w:lang w:val="en-US"/>
        </w:rPr>
        <w:t>pricePerShare</w:t>
      </w:r>
      <w:proofErr w:type="spellEnd"/>
      <w:r w:rsidRPr="00C344D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44DA">
        <w:rPr>
          <w:rFonts w:ascii="Times New Roman" w:hAnsi="Times New Roman" w:cs="Times New Roman"/>
          <w:sz w:val="28"/>
          <w:szCs w:val="28"/>
          <w:lang w:val="en-US"/>
        </w:rPr>
        <w:t>Aave</w:t>
      </w:r>
      <w:proofErr w:type="spellEnd"/>
      <w:r w:rsidRPr="00C344DA">
        <w:rPr>
          <w:rFonts w:ascii="Times New Roman" w:hAnsi="Times New Roman" w:cs="Times New Roman"/>
          <w:sz w:val="28"/>
          <w:szCs w:val="28"/>
          <w:lang w:val="en-US"/>
        </w:rPr>
        <w:t xml:space="preserve"> used </w:t>
      </w:r>
      <w:proofErr w:type="spellStart"/>
      <w:r w:rsidRPr="00C344DA">
        <w:rPr>
          <w:rFonts w:ascii="Times New Roman" w:hAnsi="Times New Roman" w:cs="Times New Roman"/>
          <w:sz w:val="28"/>
          <w:szCs w:val="28"/>
          <w:lang w:val="en-US"/>
        </w:rPr>
        <w:t>balanceOf</w:t>
      </w:r>
      <w:proofErr w:type="spellEnd"/>
      <w:r w:rsidRPr="00C344DA">
        <w:rPr>
          <w:rFonts w:ascii="Times New Roman" w:hAnsi="Times New Roman" w:cs="Times New Roman"/>
          <w:sz w:val="28"/>
          <w:szCs w:val="28"/>
          <w:lang w:val="en-US"/>
        </w:rPr>
        <w:t> with rebasing, Compound had </w:t>
      </w:r>
      <w:proofErr w:type="spellStart"/>
      <w:r w:rsidRPr="00C344DA">
        <w:rPr>
          <w:rFonts w:ascii="Times New Roman" w:hAnsi="Times New Roman" w:cs="Times New Roman"/>
          <w:sz w:val="28"/>
          <w:szCs w:val="28"/>
          <w:lang w:val="en-US"/>
        </w:rPr>
        <w:t>exchangeRateCurrent</w:t>
      </w:r>
      <w:proofErr w:type="spellEnd"/>
      <w:r w:rsidRPr="00C344DA">
        <w:rPr>
          <w:rFonts w:ascii="Times New Roman" w:hAnsi="Times New Roman" w:cs="Times New Roman"/>
          <w:sz w:val="28"/>
          <w:szCs w:val="28"/>
          <w:lang w:val="en-US"/>
        </w:rPr>
        <w:t xml:space="preserve">. This fragmentation made composability difficult. With ERC-4626, any vault can be plugged into any protocol that understands the standard, enabling "vault </w:t>
      </w:r>
      <w:proofErr w:type="spellStart"/>
      <w:r w:rsidRPr="00C344DA">
        <w:rPr>
          <w:rFonts w:ascii="Times New Roman" w:hAnsi="Times New Roman" w:cs="Times New Roman"/>
          <w:sz w:val="28"/>
          <w:szCs w:val="28"/>
          <w:lang w:val="en-US"/>
        </w:rPr>
        <w:t>legos</w:t>
      </w:r>
      <w:proofErr w:type="spellEnd"/>
      <w:r w:rsidRPr="00C344DA">
        <w:rPr>
          <w:rFonts w:ascii="Times New Roman" w:hAnsi="Times New Roman" w:cs="Times New Roman"/>
          <w:sz w:val="28"/>
          <w:szCs w:val="28"/>
          <w:lang w:val="en-US"/>
        </w:rPr>
        <w:t>" where strategies can be nested and combined without custom adapters. The standard has been adopted by over 100 protocols and is considered the gold standard for tokenized vaults in DeFi.</w:t>
      </w:r>
    </w:p>
    <w:p w14:paraId="61D08B54" w14:textId="77777777" w:rsidR="00C344DA" w:rsidRPr="00173E9D" w:rsidRDefault="00C344DA" w:rsidP="005746C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344DA" w:rsidRPr="00173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728D0"/>
    <w:multiLevelType w:val="multilevel"/>
    <w:tmpl w:val="C0EC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309A1"/>
    <w:multiLevelType w:val="multilevel"/>
    <w:tmpl w:val="42EA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2207B"/>
    <w:multiLevelType w:val="multilevel"/>
    <w:tmpl w:val="90D2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A5B63"/>
    <w:multiLevelType w:val="multilevel"/>
    <w:tmpl w:val="3A94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759CE"/>
    <w:multiLevelType w:val="multilevel"/>
    <w:tmpl w:val="111A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128D5"/>
    <w:multiLevelType w:val="multilevel"/>
    <w:tmpl w:val="7608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327705">
    <w:abstractNumId w:val="0"/>
  </w:num>
  <w:num w:numId="2" w16cid:durableId="1106652640">
    <w:abstractNumId w:val="2"/>
  </w:num>
  <w:num w:numId="3" w16cid:durableId="1175532015">
    <w:abstractNumId w:val="4"/>
  </w:num>
  <w:num w:numId="4" w16cid:durableId="429592282">
    <w:abstractNumId w:val="1"/>
  </w:num>
  <w:num w:numId="5" w16cid:durableId="1244753633">
    <w:abstractNumId w:val="3"/>
  </w:num>
  <w:num w:numId="6" w16cid:durableId="1339562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7A"/>
    <w:rsid w:val="00173E9D"/>
    <w:rsid w:val="0040247E"/>
    <w:rsid w:val="005746C6"/>
    <w:rsid w:val="006336F5"/>
    <w:rsid w:val="00823839"/>
    <w:rsid w:val="0088457A"/>
    <w:rsid w:val="0089018C"/>
    <w:rsid w:val="00941899"/>
    <w:rsid w:val="00972CD2"/>
    <w:rsid w:val="00C1029F"/>
    <w:rsid w:val="00C344DA"/>
    <w:rsid w:val="00DF4AE6"/>
    <w:rsid w:val="00F4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B8295"/>
  <w15:chartTrackingRefBased/>
  <w15:docId w15:val="{852D3F3B-154B-4C2E-AF49-07EA66599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4DA"/>
    <w:pPr>
      <w:spacing w:line="259" w:lineRule="auto"/>
    </w:pPr>
    <w:rPr>
      <w:rFonts w:eastAsiaTheme="minorEastAsia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5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5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57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57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57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57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57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57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57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84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57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84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57A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84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57A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84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5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73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836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Temirlan Sapargali</dc:creator>
  <cp:keywords/>
  <dc:description/>
  <cp:lastModifiedBy>Temirlan Sapargali</cp:lastModifiedBy>
  <cp:revision>4</cp:revision>
  <dcterms:created xsi:type="dcterms:W3CDTF">2026-04-05T05:39:00Z</dcterms:created>
  <dcterms:modified xsi:type="dcterms:W3CDTF">2026-04-19T05:13:00Z</dcterms:modified>
</cp:coreProperties>
</file>