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9C2A"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16FC3D6"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27B8B4A5" w14:textId="77777777" w:rsidR="005746C6" w:rsidRDefault="005746C6" w:rsidP="005746C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w:t>
      </w:r>
      <w:proofErr w:type="spellStart"/>
      <w:r w:rsidRPr="00126F4D">
        <w:rPr>
          <w:rFonts w:ascii="Times New Roman" w:hAnsi="Times New Roman" w:cs="Times New Roman"/>
          <w:b/>
          <w:bCs/>
          <w:sz w:val="28"/>
          <w:szCs w:val="28"/>
          <w:lang w:val="en-US"/>
        </w:rPr>
        <w:t>Kozhakhmet</w:t>
      </w:r>
      <w:proofErr w:type="spellEnd"/>
      <w:r w:rsidRPr="00126F4D">
        <w:rPr>
          <w:rFonts w:ascii="Times New Roman" w:hAnsi="Times New Roman" w:cs="Times New Roman"/>
          <w:b/>
          <w:bCs/>
          <w:sz w:val="28"/>
          <w:szCs w:val="28"/>
          <w:lang w:val="en-US"/>
        </w:rPr>
        <w:t xml:space="preserve"> </w:t>
      </w:r>
      <w:proofErr w:type="spellStart"/>
      <w:r w:rsidRPr="00126F4D">
        <w:rPr>
          <w:rFonts w:ascii="Times New Roman" w:hAnsi="Times New Roman" w:cs="Times New Roman"/>
          <w:b/>
          <w:bCs/>
          <w:sz w:val="28"/>
          <w:szCs w:val="28"/>
          <w:lang w:val="en-US"/>
        </w:rPr>
        <w:t>Zhaksylyk</w:t>
      </w:r>
      <w:proofErr w:type="spellEnd"/>
    </w:p>
    <w:p w14:paraId="73F6F7DA" w14:textId="78612A91" w:rsidR="005746C6" w:rsidRDefault="005746C6" w:rsidP="005746C6">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 xml:space="preserve">PART </w:t>
      </w:r>
      <w:r w:rsidR="004579D6">
        <w:rPr>
          <w:rFonts w:ascii="Times New Roman" w:hAnsi="Times New Roman" w:cs="Times New Roman"/>
          <w:b/>
          <w:bCs/>
          <w:sz w:val="28"/>
          <w:szCs w:val="28"/>
          <w:lang w:val="en-US"/>
        </w:rPr>
        <w:t>2</w:t>
      </w:r>
    </w:p>
    <w:p w14:paraId="648F6532" w14:textId="2349D2CC" w:rsidR="005746C6" w:rsidRDefault="005746C6" w:rsidP="005746C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w:t>
      </w:r>
      <w:r w:rsidR="004579D6">
        <w:rPr>
          <w:rFonts w:ascii="Times New Roman" w:hAnsi="Times New Roman" w:cs="Times New Roman"/>
          <w:b/>
          <w:bCs/>
          <w:sz w:val="28"/>
          <w:szCs w:val="28"/>
          <w:lang w:val="en-US"/>
        </w:rPr>
        <w:t>3</w:t>
      </w:r>
    </w:p>
    <w:p w14:paraId="6C2A2ADE" w14:textId="77777777" w:rsidR="005746C6" w:rsidRDefault="005746C6" w:rsidP="005746C6">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Deriverables</w:t>
      </w:r>
      <w:proofErr w:type="spellEnd"/>
    </w:p>
    <w:p w14:paraId="170D5C37" w14:textId="5012BF62" w:rsidR="00C344DA" w:rsidRDefault="005746C6" w:rsidP="004579D6">
      <w:pPr>
        <w:rPr>
          <w:rFonts w:ascii="Times New Roman" w:hAnsi="Times New Roman" w:cs="Times New Roman"/>
          <w:sz w:val="28"/>
          <w:szCs w:val="28"/>
          <w:lang w:val="en-US"/>
        </w:rPr>
      </w:pPr>
      <w:r>
        <w:rPr>
          <w:rFonts w:ascii="Times New Roman" w:hAnsi="Times New Roman" w:cs="Times New Roman"/>
          <w:sz w:val="28"/>
          <w:szCs w:val="28"/>
          <w:lang w:val="en-US"/>
        </w:rPr>
        <w:t xml:space="preserve">All deliverables such as the contract files and </w:t>
      </w:r>
      <w:proofErr w:type="spellStart"/>
      <w:r>
        <w:rPr>
          <w:rFonts w:ascii="Times New Roman" w:hAnsi="Times New Roman" w:cs="Times New Roman"/>
          <w:sz w:val="28"/>
          <w:szCs w:val="28"/>
          <w:lang w:val="en-US"/>
        </w:rPr>
        <w:t>e.t.c</w:t>
      </w:r>
      <w:proofErr w:type="spellEnd"/>
      <w:r>
        <w:rPr>
          <w:rFonts w:ascii="Times New Roman" w:hAnsi="Times New Roman" w:cs="Times New Roman"/>
          <w:sz w:val="28"/>
          <w:szCs w:val="28"/>
          <w:lang w:val="en-US"/>
        </w:rPr>
        <w:t>, are inside same directory as this document.</w:t>
      </w:r>
    </w:p>
    <w:p w14:paraId="0D8E550A" w14:textId="30E178E2" w:rsidR="004579D6" w:rsidRDefault="004579D6" w:rsidP="004579D6">
      <w:pPr>
        <w:rPr>
          <w:rFonts w:ascii="Times New Roman" w:hAnsi="Times New Roman" w:cs="Times New Roman"/>
          <w:sz w:val="28"/>
          <w:szCs w:val="28"/>
          <w:lang w:val="en-US"/>
        </w:rPr>
      </w:pPr>
      <w:r>
        <w:rPr>
          <w:rFonts w:ascii="Times New Roman" w:hAnsi="Times New Roman" w:cs="Times New Roman"/>
          <w:sz w:val="28"/>
          <w:szCs w:val="28"/>
          <w:lang w:val="en-US"/>
        </w:rPr>
        <w:t>Deployment:</w:t>
      </w:r>
    </w:p>
    <w:p w14:paraId="4349048A" w14:textId="45E12C39" w:rsidR="004579D6" w:rsidRDefault="004579D6" w:rsidP="004579D6">
      <w:pPr>
        <w:rPr>
          <w:rFonts w:ascii="Times New Roman" w:hAnsi="Times New Roman" w:cs="Times New Roman"/>
          <w:sz w:val="28"/>
          <w:szCs w:val="28"/>
          <w:lang w:val="en-US"/>
        </w:rPr>
      </w:pPr>
      <w:r>
        <w:rPr>
          <w:noProof/>
          <w14:ligatures w14:val="standardContextual"/>
        </w:rPr>
        <w:drawing>
          <wp:inline distT="0" distB="0" distL="0" distR="0" wp14:anchorId="6A6A6D0F" wp14:editId="0FE6B6F0">
            <wp:extent cx="5504762" cy="3314286"/>
            <wp:effectExtent l="0" t="0" r="1270" b="635"/>
            <wp:docPr id="3646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77533" name=""/>
                    <pic:cNvPicPr/>
                  </pic:nvPicPr>
                  <pic:blipFill>
                    <a:blip r:embed="rId5"/>
                    <a:stretch>
                      <a:fillRect/>
                    </a:stretch>
                  </pic:blipFill>
                  <pic:spPr>
                    <a:xfrm>
                      <a:off x="0" y="0"/>
                      <a:ext cx="5504762" cy="3314286"/>
                    </a:xfrm>
                    <a:prstGeom prst="rect">
                      <a:avLst/>
                    </a:prstGeom>
                  </pic:spPr>
                </pic:pic>
              </a:graphicData>
            </a:graphic>
          </wp:inline>
        </w:drawing>
      </w:r>
    </w:p>
    <w:p w14:paraId="48AAC575" w14:textId="6C2EB2A2" w:rsidR="004579D6" w:rsidRDefault="004579D6" w:rsidP="004579D6">
      <w:pPr>
        <w:rPr>
          <w:rFonts w:ascii="Times New Roman" w:hAnsi="Times New Roman" w:cs="Times New Roman"/>
          <w:sz w:val="28"/>
          <w:szCs w:val="28"/>
          <w:lang w:val="en-US"/>
        </w:rPr>
      </w:pPr>
      <w:r>
        <w:rPr>
          <w:rFonts w:ascii="Times New Roman" w:hAnsi="Times New Roman" w:cs="Times New Roman"/>
          <w:sz w:val="28"/>
          <w:szCs w:val="28"/>
          <w:lang w:val="en-US"/>
        </w:rPr>
        <w:t>Gas comparison table:</w:t>
      </w:r>
    </w:p>
    <w:p w14:paraId="342CA664" w14:textId="14FEB32A" w:rsidR="004579D6" w:rsidRPr="00C344DA"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drawing>
          <wp:inline distT="0" distB="0" distL="0" distR="0" wp14:anchorId="0A2C15D9" wp14:editId="110A34CE">
            <wp:extent cx="3434963" cy="1652607"/>
            <wp:effectExtent l="0" t="0" r="0" b="5080"/>
            <wp:docPr id="7378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0669" name=""/>
                    <pic:cNvPicPr/>
                  </pic:nvPicPr>
                  <pic:blipFill>
                    <a:blip r:embed="rId6"/>
                    <a:stretch>
                      <a:fillRect/>
                    </a:stretch>
                  </pic:blipFill>
                  <pic:spPr>
                    <a:xfrm>
                      <a:off x="0" y="0"/>
                      <a:ext cx="3447759" cy="1658763"/>
                    </a:xfrm>
                    <a:prstGeom prst="rect">
                      <a:avLst/>
                    </a:prstGeom>
                  </pic:spPr>
                </pic:pic>
              </a:graphicData>
            </a:graphic>
          </wp:inline>
        </w:drawing>
      </w:r>
    </w:p>
    <w:p w14:paraId="3BFB91C6" w14:textId="77777777" w:rsidR="004579D6" w:rsidRDefault="004579D6" w:rsidP="004579D6">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Name: Sapargali Temirlan</w:t>
      </w:r>
    </w:p>
    <w:p w14:paraId="3D14285B" w14:textId="77777777" w:rsidR="004579D6" w:rsidRDefault="004579D6" w:rsidP="004579D6">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495CF337" w14:textId="77777777" w:rsidR="004579D6" w:rsidRDefault="004579D6" w:rsidP="004579D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w:t>
      </w:r>
      <w:proofErr w:type="spellStart"/>
      <w:r w:rsidRPr="00126F4D">
        <w:rPr>
          <w:rFonts w:ascii="Times New Roman" w:hAnsi="Times New Roman" w:cs="Times New Roman"/>
          <w:b/>
          <w:bCs/>
          <w:sz w:val="28"/>
          <w:szCs w:val="28"/>
          <w:lang w:val="en-US"/>
        </w:rPr>
        <w:t>Kozhakhmet</w:t>
      </w:r>
      <w:proofErr w:type="spellEnd"/>
      <w:r w:rsidRPr="00126F4D">
        <w:rPr>
          <w:rFonts w:ascii="Times New Roman" w:hAnsi="Times New Roman" w:cs="Times New Roman"/>
          <w:b/>
          <w:bCs/>
          <w:sz w:val="28"/>
          <w:szCs w:val="28"/>
          <w:lang w:val="en-US"/>
        </w:rPr>
        <w:t xml:space="preserve"> </w:t>
      </w:r>
      <w:proofErr w:type="spellStart"/>
      <w:r w:rsidRPr="00126F4D">
        <w:rPr>
          <w:rFonts w:ascii="Times New Roman" w:hAnsi="Times New Roman" w:cs="Times New Roman"/>
          <w:b/>
          <w:bCs/>
          <w:sz w:val="28"/>
          <w:szCs w:val="28"/>
          <w:lang w:val="en-US"/>
        </w:rPr>
        <w:t>Zhaksylyk</w:t>
      </w:r>
      <w:proofErr w:type="spellEnd"/>
    </w:p>
    <w:p w14:paraId="0DEB5BC0" w14:textId="77777777" w:rsidR="004579D6" w:rsidRDefault="004579D6" w:rsidP="004579D6">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 xml:space="preserve">PART </w:t>
      </w:r>
      <w:r>
        <w:rPr>
          <w:rFonts w:ascii="Times New Roman" w:hAnsi="Times New Roman" w:cs="Times New Roman"/>
          <w:b/>
          <w:bCs/>
          <w:sz w:val="28"/>
          <w:szCs w:val="28"/>
          <w:lang w:val="en-US"/>
        </w:rPr>
        <w:t>2</w:t>
      </w:r>
    </w:p>
    <w:p w14:paraId="192B9544" w14:textId="2DCB7E1F" w:rsidR="004579D6" w:rsidRDefault="004579D6" w:rsidP="004579D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w:t>
      </w:r>
      <w:r>
        <w:rPr>
          <w:rFonts w:ascii="Times New Roman" w:hAnsi="Times New Roman" w:cs="Times New Roman"/>
          <w:b/>
          <w:bCs/>
          <w:sz w:val="28"/>
          <w:szCs w:val="28"/>
          <w:lang w:val="en-US"/>
        </w:rPr>
        <w:t>4</w:t>
      </w:r>
    </w:p>
    <w:p w14:paraId="18683CB5"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Technical Comparison: Optimistic vs. ZK-Rollups</w:t>
      </w:r>
    </w:p>
    <w:p w14:paraId="71ED99E8"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Architecture and Proof Systems</w:t>
      </w:r>
    </w:p>
    <w:p w14:paraId="4336554A"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Optimistic and ZK-rollups represent two fundamentally different approaches to scaling Ethereum, each with distinct architectural trade-offs. Both execute transactions off-chain and post compressed data to Layer </w:t>
      </w:r>
      <w:proofErr w:type="gramStart"/>
      <w:r w:rsidRPr="004579D6">
        <w:rPr>
          <w:rFonts w:ascii="Times New Roman" w:hAnsi="Times New Roman" w:cs="Times New Roman"/>
          <w:sz w:val="28"/>
          <w:szCs w:val="28"/>
          <w:lang w:val="en-US"/>
        </w:rPr>
        <w:t>1, but</w:t>
      </w:r>
      <w:proofErr w:type="gramEnd"/>
      <w:r w:rsidRPr="004579D6">
        <w:rPr>
          <w:rFonts w:ascii="Times New Roman" w:hAnsi="Times New Roman" w:cs="Times New Roman"/>
          <w:sz w:val="28"/>
          <w:szCs w:val="28"/>
          <w:lang w:val="en-US"/>
        </w:rPr>
        <w:t xml:space="preserve"> diverge sharply in how they establish correctness.</w:t>
      </w:r>
    </w:p>
    <w:p w14:paraId="1672C30A" w14:textId="2C6E0C23"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Optimistic rollups</w:t>
      </w:r>
      <w:r w:rsidRPr="004579D6">
        <w:rPr>
          <w:rFonts w:ascii="Times New Roman" w:hAnsi="Times New Roman" w:cs="Times New Roman"/>
          <w:sz w:val="28"/>
          <w:szCs w:val="28"/>
          <w:lang w:val="en-US"/>
        </w:rPr>
        <w:t> operate on an "innocent until proven guilty" principle. The sequencer executes transactions on L2 and posts state updates to L1, with the system </w:t>
      </w:r>
      <w:r w:rsidRPr="004579D6">
        <w:rPr>
          <w:rFonts w:ascii="Times New Roman" w:hAnsi="Times New Roman" w:cs="Times New Roman"/>
          <w:i/>
          <w:iCs/>
          <w:sz w:val="28"/>
          <w:szCs w:val="28"/>
          <w:lang w:val="en-US"/>
        </w:rPr>
        <w:t>optimistically assuming</w:t>
      </w:r>
      <w:r w:rsidRPr="004579D6">
        <w:rPr>
          <w:rFonts w:ascii="Times New Roman" w:hAnsi="Times New Roman" w:cs="Times New Roman"/>
          <w:sz w:val="28"/>
          <w:szCs w:val="28"/>
          <w:lang w:val="en-US"/>
        </w:rPr>
        <w:t xml:space="preserve"> these updates are valid without immediate verification. The security mechanism is reactive: a challenge window (typically seven days on </w:t>
      </w:r>
      <w:proofErr w:type="spellStart"/>
      <w:r w:rsidRPr="004579D6">
        <w:rPr>
          <w:rFonts w:ascii="Times New Roman" w:hAnsi="Times New Roman" w:cs="Times New Roman"/>
          <w:sz w:val="28"/>
          <w:szCs w:val="28"/>
          <w:lang w:val="en-US"/>
        </w:rPr>
        <w:t>Arbitrum</w:t>
      </w:r>
      <w:proofErr w:type="spellEnd"/>
      <w:r w:rsidRPr="004579D6">
        <w:rPr>
          <w:rFonts w:ascii="Times New Roman" w:hAnsi="Times New Roman" w:cs="Times New Roman"/>
          <w:sz w:val="28"/>
          <w:szCs w:val="28"/>
          <w:lang w:val="en-US"/>
        </w:rPr>
        <w:t xml:space="preserve"> and Optimism) allows anyone to submit </w:t>
      </w:r>
      <w:proofErr w:type="gramStart"/>
      <w:r w:rsidRPr="004579D6">
        <w:rPr>
          <w:rFonts w:ascii="Times New Roman" w:hAnsi="Times New Roman" w:cs="Times New Roman"/>
          <w:sz w:val="28"/>
          <w:szCs w:val="28"/>
          <w:lang w:val="en-US"/>
        </w:rPr>
        <w:t>a </w:t>
      </w:r>
      <w:r w:rsidRPr="004579D6">
        <w:rPr>
          <w:rFonts w:ascii="Times New Roman" w:hAnsi="Times New Roman" w:cs="Times New Roman"/>
          <w:b/>
          <w:bCs/>
          <w:sz w:val="28"/>
          <w:szCs w:val="28"/>
          <w:lang w:val="en-US"/>
        </w:rPr>
        <w:t>fraud</w:t>
      </w:r>
      <w:proofErr w:type="gramEnd"/>
      <w:r w:rsidRPr="004579D6">
        <w:rPr>
          <w:rFonts w:ascii="Times New Roman" w:hAnsi="Times New Roman" w:cs="Times New Roman"/>
          <w:b/>
          <w:bCs/>
          <w:sz w:val="28"/>
          <w:szCs w:val="28"/>
          <w:lang w:val="en-US"/>
        </w:rPr>
        <w:t xml:space="preserve"> proof</w:t>
      </w:r>
      <w:r w:rsidRPr="004579D6">
        <w:rPr>
          <w:rFonts w:ascii="Times New Roman" w:hAnsi="Times New Roman" w:cs="Times New Roman"/>
          <w:sz w:val="28"/>
          <w:szCs w:val="28"/>
          <w:lang w:val="en-US"/>
        </w:rPr>
        <w:t xml:space="preserve"> demonstrating that a state transition was computed incorrectly. If a valid fraud proof is submitted, the incorrect state update is </w:t>
      </w:r>
      <w:proofErr w:type="gramStart"/>
      <w:r w:rsidRPr="004579D6">
        <w:rPr>
          <w:rFonts w:ascii="Times New Roman" w:hAnsi="Times New Roman" w:cs="Times New Roman"/>
          <w:sz w:val="28"/>
          <w:szCs w:val="28"/>
          <w:lang w:val="en-US"/>
        </w:rPr>
        <w:t>reverted</w:t>
      </w:r>
      <w:proofErr w:type="gramEnd"/>
      <w:r w:rsidRPr="004579D6">
        <w:rPr>
          <w:rFonts w:ascii="Times New Roman" w:hAnsi="Times New Roman" w:cs="Times New Roman"/>
          <w:sz w:val="28"/>
          <w:szCs w:val="28"/>
          <w:lang w:val="en-US"/>
        </w:rPr>
        <w:t xml:space="preserve"> and the dishonest sequencer is penalized. This dispute mechanism is the cornerstone of optimistic rollup security</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without active challengers monitoring the chain, fraudulent state transitions could go undetected.</w:t>
      </w:r>
    </w:p>
    <w:p w14:paraId="4BB1113A" w14:textId="28281EDB"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ZK-rollups</w:t>
      </w:r>
      <w:r w:rsidRPr="004579D6">
        <w:rPr>
          <w:rFonts w:ascii="Times New Roman" w:hAnsi="Times New Roman" w:cs="Times New Roman"/>
          <w:sz w:val="28"/>
          <w:szCs w:val="28"/>
          <w:lang w:val="en-US"/>
        </w:rPr>
        <w:t> take the opposite approach. The sequencer generates a cryptographic </w:t>
      </w:r>
      <w:r w:rsidRPr="004579D6">
        <w:rPr>
          <w:rFonts w:ascii="Times New Roman" w:hAnsi="Times New Roman" w:cs="Times New Roman"/>
          <w:b/>
          <w:bCs/>
          <w:sz w:val="28"/>
          <w:szCs w:val="28"/>
          <w:lang w:val="en-US"/>
        </w:rPr>
        <w:t>validity proof</w:t>
      </w:r>
      <w:r w:rsidRPr="004579D6">
        <w:rPr>
          <w:rFonts w:ascii="Times New Roman" w:hAnsi="Times New Roman" w:cs="Times New Roman"/>
          <w:sz w:val="28"/>
          <w:szCs w:val="28"/>
          <w:lang w:val="en-US"/>
        </w:rPr>
        <w:t xml:space="preserve"> (typically a ZK-SNARK or ZK-STARK) for each batch of transactions, mathematically proving that the state transition was executed correctly. This proof is posted to L1 alongside the state update, and the L1 smart contract verifies it </w:t>
      </w:r>
      <w:proofErr w:type="gramStart"/>
      <w:r w:rsidRPr="004579D6">
        <w:rPr>
          <w:rFonts w:ascii="Times New Roman" w:hAnsi="Times New Roman" w:cs="Times New Roman"/>
          <w:sz w:val="28"/>
          <w:szCs w:val="28"/>
          <w:lang w:val="en-US"/>
        </w:rPr>
        <w:t>on-chain</w:t>
      </w:r>
      <w:proofErr w:type="gramEnd"/>
      <w:r w:rsidRPr="004579D6">
        <w:rPr>
          <w:rFonts w:ascii="Times New Roman" w:hAnsi="Times New Roman" w:cs="Times New Roman"/>
          <w:sz w:val="28"/>
          <w:szCs w:val="28"/>
          <w:lang w:val="en-US"/>
        </w:rPr>
        <w:t xml:space="preserve">. The verification is computationally </w:t>
      </w:r>
      <w:proofErr w:type="gramStart"/>
      <w:r w:rsidRPr="004579D6">
        <w:rPr>
          <w:rFonts w:ascii="Times New Roman" w:hAnsi="Times New Roman" w:cs="Times New Roman"/>
          <w:sz w:val="28"/>
          <w:szCs w:val="28"/>
          <w:lang w:val="en-US"/>
        </w:rPr>
        <w:t>cheap</w:t>
      </w:r>
      <w:proofErr w:type="gram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a few hundred thousand </w:t>
      </w:r>
      <w:proofErr w:type="gramStart"/>
      <w:r w:rsidRPr="004579D6">
        <w:rPr>
          <w:rFonts w:ascii="Times New Roman" w:hAnsi="Times New Roman" w:cs="Times New Roman"/>
          <w:sz w:val="28"/>
          <w:szCs w:val="28"/>
          <w:lang w:val="en-US"/>
        </w:rPr>
        <w:t>gas</w:t>
      </w:r>
      <w:proofErr w:type="gram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and provides immediate, mathematical certainty of correctness. No challenge window is needed because the proof itself guarantees validity.</w:t>
      </w:r>
    </w:p>
    <w:p w14:paraId="62EEB98E" w14:textId="45231C9F"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Finality time</w:t>
      </w:r>
      <w:r w:rsidRPr="004579D6">
        <w:rPr>
          <w:rFonts w:ascii="Times New Roman" w:hAnsi="Times New Roman" w:cs="Times New Roman"/>
          <w:sz w:val="28"/>
          <w:szCs w:val="28"/>
          <w:lang w:val="en-US"/>
        </w:rPr>
        <w:t xml:space="preserve"> is the most visible practical difference. Optimistic rollups require waiting the full challenge period (≈7 days) before withdrawals are finalized, as the state could theoretically be overturned by </w:t>
      </w:r>
      <w:proofErr w:type="gramStart"/>
      <w:r w:rsidRPr="004579D6">
        <w:rPr>
          <w:rFonts w:ascii="Times New Roman" w:hAnsi="Times New Roman" w:cs="Times New Roman"/>
          <w:sz w:val="28"/>
          <w:szCs w:val="28"/>
          <w:lang w:val="en-US"/>
        </w:rPr>
        <w:t>a fraud</w:t>
      </w:r>
      <w:proofErr w:type="gramEnd"/>
      <w:r w:rsidRPr="004579D6">
        <w:rPr>
          <w:rFonts w:ascii="Times New Roman" w:hAnsi="Times New Roman" w:cs="Times New Roman"/>
          <w:sz w:val="28"/>
          <w:szCs w:val="28"/>
          <w:lang w:val="en-US"/>
        </w:rPr>
        <w:t xml:space="preserve"> proof. Third-party bridge </w:t>
      </w:r>
      <w:r w:rsidRPr="004579D6">
        <w:rPr>
          <w:rFonts w:ascii="Times New Roman" w:hAnsi="Times New Roman" w:cs="Times New Roman"/>
          <w:sz w:val="28"/>
          <w:szCs w:val="28"/>
          <w:lang w:val="en-US"/>
        </w:rPr>
        <w:lastRenderedPageBreak/>
        <w:t>services can front liquidity to offer faster exits, but the underlying protocol settlement still takes seven days. ZK-rollups achieve finality as soon as the validity proof is verified on L1</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typically minutes to hours, limited primarily by proof generation time.</w:t>
      </w:r>
    </w:p>
    <w:p w14:paraId="7B517478"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The EVM compatibility tradeoff is significant. Optimistic rollups offer near-native EVM compatibility because they can reuse existing execution environments (Geth, etc.) with minimal modifications. ZK-rollups face a harder technical challenge: the EVM was not designed with zero-knowledge proof generation in mind. Early ZK-rollups required developers to rewrite contracts in custom languages (e.g., </w:t>
      </w:r>
      <w:proofErr w:type="spellStart"/>
      <w:r w:rsidRPr="004579D6">
        <w:rPr>
          <w:rFonts w:ascii="Times New Roman" w:hAnsi="Times New Roman" w:cs="Times New Roman"/>
          <w:sz w:val="28"/>
          <w:szCs w:val="28"/>
          <w:lang w:val="en-US"/>
        </w:rPr>
        <w:t>StarkNet's</w:t>
      </w:r>
      <w:proofErr w:type="spellEnd"/>
      <w:r w:rsidRPr="004579D6">
        <w:rPr>
          <w:rFonts w:ascii="Times New Roman" w:hAnsi="Times New Roman" w:cs="Times New Roman"/>
          <w:sz w:val="28"/>
          <w:szCs w:val="28"/>
          <w:lang w:val="en-US"/>
        </w:rPr>
        <w:t xml:space="preserve"> Cairo), though modern </w:t>
      </w:r>
      <w:proofErr w:type="spellStart"/>
      <w:r w:rsidRPr="004579D6">
        <w:rPr>
          <w:rFonts w:ascii="Times New Roman" w:hAnsi="Times New Roman" w:cs="Times New Roman"/>
          <w:sz w:val="28"/>
          <w:szCs w:val="28"/>
          <w:lang w:val="en-US"/>
        </w:rPr>
        <w:t>zkEVMs</w:t>
      </w:r>
      <w:proofErr w:type="spellEnd"/>
      <w:r w:rsidRPr="004579D6">
        <w:rPr>
          <w:rFonts w:ascii="Times New Roman" w:hAnsi="Times New Roman" w:cs="Times New Roman"/>
          <w:sz w:val="28"/>
          <w:szCs w:val="28"/>
          <w:lang w:val="en-US"/>
        </w:rPr>
        <w:t xml:space="preserve"> (</w:t>
      </w:r>
      <w:proofErr w:type="spellStart"/>
      <w:r w:rsidRPr="004579D6">
        <w:rPr>
          <w:rFonts w:ascii="Times New Roman" w:hAnsi="Times New Roman" w:cs="Times New Roman"/>
          <w:sz w:val="28"/>
          <w:szCs w:val="28"/>
          <w:lang w:val="en-US"/>
        </w:rPr>
        <w:t>zkSync</w:t>
      </w:r>
      <w:proofErr w:type="spellEnd"/>
      <w:r w:rsidRPr="004579D6">
        <w:rPr>
          <w:rFonts w:ascii="Times New Roman" w:hAnsi="Times New Roman" w:cs="Times New Roman"/>
          <w:sz w:val="28"/>
          <w:szCs w:val="28"/>
          <w:lang w:val="en-US"/>
        </w:rPr>
        <w:t xml:space="preserve"> Era, Scroll, Polygon </w:t>
      </w:r>
      <w:proofErr w:type="spellStart"/>
      <w:r w:rsidRPr="004579D6">
        <w:rPr>
          <w:rFonts w:ascii="Times New Roman" w:hAnsi="Times New Roman" w:cs="Times New Roman"/>
          <w:sz w:val="28"/>
          <w:szCs w:val="28"/>
          <w:lang w:val="en-US"/>
        </w:rPr>
        <w:t>zkEVM</w:t>
      </w:r>
      <w:proofErr w:type="spellEnd"/>
      <w:r w:rsidRPr="004579D6">
        <w:rPr>
          <w:rFonts w:ascii="Times New Roman" w:hAnsi="Times New Roman" w:cs="Times New Roman"/>
          <w:sz w:val="28"/>
          <w:szCs w:val="28"/>
          <w:lang w:val="en-US"/>
        </w:rPr>
        <w:t>) are rapidly closing the compatibility gap.</w:t>
      </w:r>
    </w:p>
    <w:p w14:paraId="7EEE1168"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Security Model: Inheriting Ethereum's Security</w:t>
      </w:r>
    </w:p>
    <w:p w14:paraId="0E1EBFB1"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Both rollup types claim to "inherit Ethereum's security," but this inheritance is neither automatic nor complete. The distinction hinges on what Ethereum </w:t>
      </w:r>
      <w:proofErr w:type="gramStart"/>
      <w:r w:rsidRPr="004579D6">
        <w:rPr>
          <w:rFonts w:ascii="Times New Roman" w:hAnsi="Times New Roman" w:cs="Times New Roman"/>
          <w:sz w:val="28"/>
          <w:szCs w:val="28"/>
          <w:lang w:val="en-US"/>
        </w:rPr>
        <w:t>actually enforces</w:t>
      </w:r>
      <w:proofErr w:type="gramEnd"/>
      <w:r w:rsidRPr="004579D6">
        <w:rPr>
          <w:rFonts w:ascii="Times New Roman" w:hAnsi="Times New Roman" w:cs="Times New Roman"/>
          <w:sz w:val="28"/>
          <w:szCs w:val="28"/>
          <w:lang w:val="en-US"/>
        </w:rPr>
        <w:t xml:space="preserve"> </w:t>
      </w:r>
      <w:proofErr w:type="gramStart"/>
      <w:r w:rsidRPr="004579D6">
        <w:rPr>
          <w:rFonts w:ascii="Times New Roman" w:hAnsi="Times New Roman" w:cs="Times New Roman"/>
          <w:sz w:val="28"/>
          <w:szCs w:val="28"/>
          <w:lang w:val="en-US"/>
        </w:rPr>
        <w:t>on-chain</w:t>
      </w:r>
      <w:proofErr w:type="gramEnd"/>
      <w:r w:rsidRPr="004579D6">
        <w:rPr>
          <w:rFonts w:ascii="Times New Roman" w:hAnsi="Times New Roman" w:cs="Times New Roman"/>
          <w:sz w:val="28"/>
          <w:szCs w:val="28"/>
          <w:lang w:val="en-US"/>
        </w:rPr>
        <w:t>.</w:t>
      </w:r>
    </w:p>
    <w:p w14:paraId="4CAC94FC"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For a rollup to genuinely inherit Ethereum's security, Ethereum must be able to </w:t>
      </w:r>
      <w:r w:rsidRPr="004579D6">
        <w:rPr>
          <w:rFonts w:ascii="Times New Roman" w:hAnsi="Times New Roman" w:cs="Times New Roman"/>
          <w:b/>
          <w:bCs/>
          <w:sz w:val="28"/>
          <w:szCs w:val="28"/>
          <w:lang w:val="en-US"/>
        </w:rPr>
        <w:t>enforce both correctness and availability</w:t>
      </w:r>
      <w:r w:rsidRPr="004579D6">
        <w:rPr>
          <w:rFonts w:ascii="Times New Roman" w:hAnsi="Times New Roman" w:cs="Times New Roman"/>
          <w:sz w:val="28"/>
          <w:szCs w:val="28"/>
          <w:lang w:val="en-US"/>
        </w:rPr>
        <w:t> of L2 state transitions. This requires two properties: (1) the L1 bridge contract can reject invalid state updates, and (2) the data needed to reconstruct the L2 state is available on Ethereum.</w:t>
      </w:r>
    </w:p>
    <w:p w14:paraId="13DC5D6B" w14:textId="00F19FAA"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Optimistic rollups</w:t>
      </w:r>
      <w:r w:rsidRPr="004579D6">
        <w:rPr>
          <w:rFonts w:ascii="Times New Roman" w:hAnsi="Times New Roman" w:cs="Times New Roman"/>
          <w:sz w:val="28"/>
          <w:szCs w:val="28"/>
          <w:lang w:val="en-US"/>
        </w:rPr>
        <w:t xml:space="preserve"> satisfy correctness enforcement through fraud </w:t>
      </w:r>
      <w:proofErr w:type="gramStart"/>
      <w:r w:rsidRPr="004579D6">
        <w:rPr>
          <w:rFonts w:ascii="Times New Roman" w:hAnsi="Times New Roman" w:cs="Times New Roman"/>
          <w:sz w:val="28"/>
          <w:szCs w:val="28"/>
          <w:lang w:val="en-US"/>
        </w:rPr>
        <w:t>proofs</w:t>
      </w:r>
      <w:proofErr w:type="gram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anyone can trigger L1 enforcement by submitting </w:t>
      </w:r>
      <w:proofErr w:type="gramStart"/>
      <w:r w:rsidRPr="004579D6">
        <w:rPr>
          <w:rFonts w:ascii="Times New Roman" w:hAnsi="Times New Roman" w:cs="Times New Roman"/>
          <w:sz w:val="28"/>
          <w:szCs w:val="28"/>
          <w:lang w:val="en-US"/>
        </w:rPr>
        <w:t>a proof</w:t>
      </w:r>
      <w:proofErr w:type="gramEnd"/>
      <w:r w:rsidRPr="004579D6">
        <w:rPr>
          <w:rFonts w:ascii="Times New Roman" w:hAnsi="Times New Roman" w:cs="Times New Roman"/>
          <w:sz w:val="28"/>
          <w:szCs w:val="28"/>
          <w:lang w:val="en-US"/>
        </w:rPr>
        <w:t xml:space="preserve"> of incorrect computation. However, this security depends on the existence of honest challengers. If no one monitors the chain and submits fraud proofs, invalid state transitions could become final. This creates an "economic liveness" assumption: the system assumes at least one honest actor will find it profitable to challenge invalid states.</w:t>
      </w:r>
    </w:p>
    <w:p w14:paraId="07F88B7F" w14:textId="64C37392"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ZK-rollups</w:t>
      </w:r>
      <w:r w:rsidRPr="004579D6">
        <w:rPr>
          <w:rFonts w:ascii="Times New Roman" w:hAnsi="Times New Roman" w:cs="Times New Roman"/>
          <w:sz w:val="28"/>
          <w:szCs w:val="28"/>
          <w:lang w:val="en-US"/>
        </w:rPr>
        <w:t xml:space="preserve"> provide stronger </w:t>
      </w:r>
      <w:proofErr w:type="gramStart"/>
      <w:r w:rsidRPr="004579D6">
        <w:rPr>
          <w:rFonts w:ascii="Times New Roman" w:hAnsi="Times New Roman" w:cs="Times New Roman"/>
          <w:sz w:val="28"/>
          <w:szCs w:val="28"/>
          <w:lang w:val="en-US"/>
        </w:rPr>
        <w:t>correctness guarantees</w:t>
      </w:r>
      <w:proofErr w:type="gramEnd"/>
      <w:r w:rsidRPr="004579D6">
        <w:rPr>
          <w:rFonts w:ascii="Times New Roman" w:hAnsi="Times New Roman" w:cs="Times New Roman"/>
          <w:sz w:val="28"/>
          <w:szCs w:val="28"/>
          <w:lang w:val="en-US"/>
        </w:rPr>
        <w:t xml:space="preserve"> because validity proofs are verified directly by the L1 contract. No honest challenger assumption is needed</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the mathematics of the proof system guarantees correctness, assuming the underlying cryptography is sound. However, this shifts trust to the proof system's setup and implementation. Many ZK-rollups use a trusted setup for their SNARK parameters, introducing a coordination assumption (though STARK-based systems eliminate this requirement).</w:t>
      </w:r>
    </w:p>
    <w:p w14:paraId="650C2E66"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Data availability</w:t>
      </w:r>
      <w:r w:rsidRPr="004579D6">
        <w:rPr>
          <w:rFonts w:ascii="Times New Roman" w:hAnsi="Times New Roman" w:cs="Times New Roman"/>
          <w:sz w:val="28"/>
          <w:szCs w:val="28"/>
          <w:lang w:val="en-US"/>
        </w:rPr>
        <w:t xml:space="preserve"> is the second pillar of security inheritance. For both rollup types, the L2 state must be </w:t>
      </w:r>
      <w:proofErr w:type="spellStart"/>
      <w:r w:rsidRPr="004579D6">
        <w:rPr>
          <w:rFonts w:ascii="Times New Roman" w:hAnsi="Times New Roman" w:cs="Times New Roman"/>
          <w:sz w:val="28"/>
          <w:szCs w:val="28"/>
          <w:lang w:val="en-US"/>
        </w:rPr>
        <w:t>reconstructable</w:t>
      </w:r>
      <w:proofErr w:type="spellEnd"/>
      <w:r w:rsidRPr="004579D6">
        <w:rPr>
          <w:rFonts w:ascii="Times New Roman" w:hAnsi="Times New Roman" w:cs="Times New Roman"/>
          <w:sz w:val="28"/>
          <w:szCs w:val="28"/>
          <w:lang w:val="en-US"/>
        </w:rPr>
        <w:t xml:space="preserve"> from L1-published data. If data goes missing, </w:t>
      </w:r>
      <w:r w:rsidRPr="004579D6">
        <w:rPr>
          <w:rFonts w:ascii="Times New Roman" w:hAnsi="Times New Roman" w:cs="Times New Roman"/>
          <w:sz w:val="28"/>
          <w:szCs w:val="28"/>
          <w:lang w:val="en-US"/>
        </w:rPr>
        <w:lastRenderedPageBreak/>
        <w:t>users cannot prove their assets exist on L2, and the bridge contract cannot enforce correct withdrawals. This is why posting transaction data to Ethereum (rather than an external DA layer) is considered the gold standard for rollup security.</w:t>
      </w:r>
    </w:p>
    <w:p w14:paraId="1F5CDFCA" w14:textId="04D866F9"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The rise of </w:t>
      </w:r>
      <w:proofErr w:type="spellStart"/>
      <w:r w:rsidRPr="004579D6">
        <w:rPr>
          <w:rFonts w:ascii="Times New Roman" w:hAnsi="Times New Roman" w:cs="Times New Roman"/>
          <w:b/>
          <w:bCs/>
          <w:sz w:val="28"/>
          <w:szCs w:val="28"/>
          <w:lang w:val="en-US"/>
        </w:rPr>
        <w:t>Optimiums</w:t>
      </w:r>
      <w:proofErr w:type="spell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chains that settle to Ethereum but post data elsewhere (e.g., Celestia, </w:t>
      </w:r>
      <w:proofErr w:type="spellStart"/>
      <w:r w:rsidRPr="004579D6">
        <w:rPr>
          <w:rFonts w:ascii="Times New Roman" w:hAnsi="Times New Roman" w:cs="Times New Roman"/>
          <w:sz w:val="28"/>
          <w:szCs w:val="28"/>
          <w:lang w:val="en-US"/>
        </w:rPr>
        <w:t>EigenDA</w:t>
      </w:r>
      <w:proofErr w:type="spellEnd"/>
      <w:r w:rsidRPr="004579D6">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has blurred the L2 definition. According to L2BEAT's classification, these </w:t>
      </w:r>
      <w:proofErr w:type="gramStart"/>
      <w:r w:rsidRPr="004579D6">
        <w:rPr>
          <w:rFonts w:ascii="Times New Roman" w:hAnsi="Times New Roman" w:cs="Times New Roman"/>
          <w:sz w:val="28"/>
          <w:szCs w:val="28"/>
          <w:lang w:val="en-US"/>
        </w:rPr>
        <w:t>fail two key checks for rollup status</w:t>
      </w:r>
      <w:proofErr w:type="gramEnd"/>
      <w:r w:rsidRPr="004579D6">
        <w:rPr>
          <w:rFonts w:ascii="Times New Roman" w:hAnsi="Times New Roman" w:cs="Times New Roman"/>
          <w:sz w:val="28"/>
          <w:szCs w:val="28"/>
          <w:lang w:val="en-US"/>
        </w:rPr>
        <w:t xml:space="preserve">: insufficient external actors who can submit fraud proofs, and no DA bridge posting availability proofs to Ethereum. As </w:t>
      </w:r>
      <w:proofErr w:type="spellStart"/>
      <w:r w:rsidRPr="004579D6">
        <w:rPr>
          <w:rFonts w:ascii="Times New Roman" w:hAnsi="Times New Roman" w:cs="Times New Roman"/>
          <w:sz w:val="28"/>
          <w:szCs w:val="28"/>
          <w:lang w:val="en-US"/>
        </w:rPr>
        <w:t>EigenLayer</w:t>
      </w:r>
      <w:proofErr w:type="spellEnd"/>
      <w:r w:rsidRPr="004579D6">
        <w:rPr>
          <w:rFonts w:ascii="Times New Roman" w:hAnsi="Times New Roman" w:cs="Times New Roman"/>
          <w:sz w:val="28"/>
          <w:szCs w:val="28"/>
          <w:lang w:val="en-US"/>
        </w:rPr>
        <w:t xml:space="preserve"> founder Sreeram Kannan notes, "If the DA claimed the data is available and the data is not available, there's no recourse". These designs add trust assumptions that pure rollups avoid.</w:t>
      </w:r>
    </w:p>
    <w:p w14:paraId="49020EF7"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 xml:space="preserve">Data Availability: </w:t>
      </w:r>
      <w:proofErr w:type="spellStart"/>
      <w:r w:rsidRPr="004579D6">
        <w:rPr>
          <w:rFonts w:ascii="Times New Roman" w:hAnsi="Times New Roman" w:cs="Times New Roman"/>
          <w:b/>
          <w:bCs/>
          <w:sz w:val="28"/>
          <w:szCs w:val="28"/>
          <w:lang w:val="en-US"/>
        </w:rPr>
        <w:t>Calldata</w:t>
      </w:r>
      <w:proofErr w:type="spellEnd"/>
      <w:r w:rsidRPr="004579D6">
        <w:rPr>
          <w:rFonts w:ascii="Times New Roman" w:hAnsi="Times New Roman" w:cs="Times New Roman"/>
          <w:b/>
          <w:bCs/>
          <w:sz w:val="28"/>
          <w:szCs w:val="28"/>
          <w:lang w:val="en-US"/>
        </w:rPr>
        <w:t xml:space="preserve"> vs. Blobs (EIP-4844/</w:t>
      </w:r>
      <w:proofErr w:type="spellStart"/>
      <w:r w:rsidRPr="004579D6">
        <w:rPr>
          <w:rFonts w:ascii="Times New Roman" w:hAnsi="Times New Roman" w:cs="Times New Roman"/>
          <w:b/>
          <w:bCs/>
          <w:sz w:val="28"/>
          <w:szCs w:val="28"/>
          <w:lang w:val="en-US"/>
        </w:rPr>
        <w:t>Danksharding</w:t>
      </w:r>
      <w:proofErr w:type="spellEnd"/>
      <w:r w:rsidRPr="004579D6">
        <w:rPr>
          <w:rFonts w:ascii="Times New Roman" w:hAnsi="Times New Roman" w:cs="Times New Roman"/>
          <w:b/>
          <w:bCs/>
          <w:sz w:val="28"/>
          <w:szCs w:val="28"/>
          <w:lang w:val="en-US"/>
        </w:rPr>
        <w:t>)</w:t>
      </w:r>
    </w:p>
    <w:p w14:paraId="6F04F79D" w14:textId="11E487F1"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Before EIP-4844 (implemented in March 2024's </w:t>
      </w:r>
      <w:proofErr w:type="spellStart"/>
      <w:r w:rsidRPr="004579D6">
        <w:rPr>
          <w:rFonts w:ascii="Times New Roman" w:hAnsi="Times New Roman" w:cs="Times New Roman"/>
          <w:sz w:val="28"/>
          <w:szCs w:val="28"/>
          <w:lang w:val="en-US"/>
        </w:rPr>
        <w:t>Dencun</w:t>
      </w:r>
      <w:proofErr w:type="spellEnd"/>
      <w:r w:rsidRPr="004579D6">
        <w:rPr>
          <w:rFonts w:ascii="Times New Roman" w:hAnsi="Times New Roman" w:cs="Times New Roman"/>
          <w:sz w:val="28"/>
          <w:szCs w:val="28"/>
          <w:lang w:val="en-US"/>
        </w:rPr>
        <w:t xml:space="preserve"> upgrade), rollups posted all transaction data to Ethereum's </w:t>
      </w:r>
      <w:proofErr w:type="spellStart"/>
      <w:r w:rsidRPr="004579D6">
        <w:rPr>
          <w:rFonts w:ascii="Times New Roman" w:hAnsi="Times New Roman" w:cs="Times New Roman"/>
          <w:b/>
          <w:bCs/>
          <w:sz w:val="28"/>
          <w:szCs w:val="28"/>
          <w:lang w:val="en-US"/>
        </w:rPr>
        <w:t>calldata</w:t>
      </w:r>
      <w:proofErr w:type="spell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a permanent, EVM-accessible data section within transactions. </w:t>
      </w:r>
      <w:proofErr w:type="spellStart"/>
      <w:r w:rsidRPr="004579D6">
        <w:rPr>
          <w:rFonts w:ascii="Times New Roman" w:hAnsi="Times New Roman" w:cs="Times New Roman"/>
          <w:sz w:val="28"/>
          <w:szCs w:val="28"/>
          <w:lang w:val="en-US"/>
        </w:rPr>
        <w:t>Calldata</w:t>
      </w:r>
      <w:proofErr w:type="spellEnd"/>
      <w:r w:rsidRPr="004579D6">
        <w:rPr>
          <w:rFonts w:ascii="Times New Roman" w:hAnsi="Times New Roman" w:cs="Times New Roman"/>
          <w:sz w:val="28"/>
          <w:szCs w:val="28"/>
          <w:lang w:val="en-US"/>
        </w:rPr>
        <w:t xml:space="preserve"> is expensive because it imposes permanent storage costs on all Ethereum nodes; each non-</w:t>
      </w:r>
      <w:proofErr w:type="gramStart"/>
      <w:r w:rsidRPr="004579D6">
        <w:rPr>
          <w:rFonts w:ascii="Times New Roman" w:hAnsi="Times New Roman" w:cs="Times New Roman"/>
          <w:sz w:val="28"/>
          <w:szCs w:val="28"/>
          <w:lang w:val="en-US"/>
        </w:rPr>
        <w:t>zero byte</w:t>
      </w:r>
      <w:proofErr w:type="gramEnd"/>
      <w:r w:rsidRPr="004579D6">
        <w:rPr>
          <w:rFonts w:ascii="Times New Roman" w:hAnsi="Times New Roman" w:cs="Times New Roman"/>
          <w:sz w:val="28"/>
          <w:szCs w:val="28"/>
          <w:lang w:val="en-US"/>
        </w:rPr>
        <w:t xml:space="preserve"> costs 16 gas, and there are proposals to increase this further to encourage blob adoption.</w:t>
      </w:r>
    </w:p>
    <w:p w14:paraId="2C9C32BB" w14:textId="3997F6D1"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EIP-4844 (Proto-</w:t>
      </w:r>
      <w:proofErr w:type="spellStart"/>
      <w:r w:rsidRPr="004579D6">
        <w:rPr>
          <w:rFonts w:ascii="Times New Roman" w:hAnsi="Times New Roman" w:cs="Times New Roman"/>
          <w:b/>
          <w:bCs/>
          <w:sz w:val="28"/>
          <w:szCs w:val="28"/>
          <w:lang w:val="en-US"/>
        </w:rPr>
        <w:t>Danksharding</w:t>
      </w:r>
      <w:proofErr w:type="spellEnd"/>
      <w:r w:rsidRPr="004579D6">
        <w:rPr>
          <w:rFonts w:ascii="Times New Roman" w:hAnsi="Times New Roman" w:cs="Times New Roman"/>
          <w:b/>
          <w:bCs/>
          <w:sz w:val="28"/>
          <w:szCs w:val="28"/>
          <w:lang w:val="en-US"/>
        </w:rPr>
        <w:t>)</w:t>
      </w:r>
      <w:r w:rsidRPr="004579D6">
        <w:rPr>
          <w:rFonts w:ascii="Times New Roman" w:hAnsi="Times New Roman" w:cs="Times New Roman"/>
          <w:sz w:val="28"/>
          <w:szCs w:val="28"/>
          <w:lang w:val="en-US"/>
        </w:rPr>
        <w:t> introduced a new transaction type carrying </w:t>
      </w:r>
      <w:r w:rsidRPr="004579D6">
        <w:rPr>
          <w:rFonts w:ascii="Times New Roman" w:hAnsi="Times New Roman" w:cs="Times New Roman"/>
          <w:b/>
          <w:bCs/>
          <w:sz w:val="28"/>
          <w:szCs w:val="28"/>
          <w:lang w:val="en-US"/>
        </w:rPr>
        <w:t>blobs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temporary data attachments of approximately 125 KB each. Blobs differ from </w:t>
      </w:r>
      <w:proofErr w:type="spellStart"/>
      <w:r w:rsidRPr="004579D6">
        <w:rPr>
          <w:rFonts w:ascii="Times New Roman" w:hAnsi="Times New Roman" w:cs="Times New Roman"/>
          <w:sz w:val="28"/>
          <w:szCs w:val="28"/>
          <w:lang w:val="en-US"/>
        </w:rPr>
        <w:t>calldata</w:t>
      </w:r>
      <w:proofErr w:type="spellEnd"/>
      <w:r w:rsidRPr="004579D6">
        <w:rPr>
          <w:rFonts w:ascii="Times New Roman" w:hAnsi="Times New Roman" w:cs="Times New Roman"/>
          <w:sz w:val="28"/>
          <w:szCs w:val="28"/>
          <w:lang w:val="en-US"/>
        </w:rPr>
        <w:t xml:space="preserve"> in two critical ways. First, they are stored only in consensus layer nodes' memory for approximately 18 days, then automatically deleted, avoiding permanent blockchain bloat. Second, they have their own fee market decoupled from execution gas, with prices adjusting based on blob demand (targeting 50% utilization per block). The result: rollup data posting costs dropped by approximately 90% following the upgrade.</w:t>
      </w:r>
    </w:p>
    <w:p w14:paraId="7F52EA99" w14:textId="38BCFF8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Each Ethereum block can carry up to six blobs (though the average is around three). This provides approximately 384 KB of blob space per block, or roughly 21,300 blobs daily. The long-term roadmap</w:t>
      </w:r>
      <w:r>
        <w:rPr>
          <w:rFonts w:ascii="Times New Roman" w:hAnsi="Times New Roman" w:cs="Times New Roman"/>
          <w:sz w:val="28"/>
          <w:szCs w:val="28"/>
          <w:lang w:val="en-US"/>
        </w:rPr>
        <w:t xml:space="preserve"> </w:t>
      </w:r>
      <w:r w:rsidRPr="004579D6">
        <w:rPr>
          <w:rFonts w:ascii="Times New Roman" w:hAnsi="Times New Roman" w:cs="Times New Roman"/>
          <w:b/>
          <w:bCs/>
          <w:sz w:val="28"/>
          <w:szCs w:val="28"/>
          <w:lang w:val="en-US"/>
        </w:rPr>
        <w:t xml:space="preserve">full </w:t>
      </w:r>
      <w:proofErr w:type="spellStart"/>
      <w:r w:rsidRPr="004579D6">
        <w:rPr>
          <w:rFonts w:ascii="Times New Roman" w:hAnsi="Times New Roman" w:cs="Times New Roman"/>
          <w:b/>
          <w:bCs/>
          <w:sz w:val="28"/>
          <w:szCs w:val="28"/>
          <w:lang w:val="en-US"/>
        </w:rPr>
        <w:t>Danksharding</w:t>
      </w:r>
      <w:proofErr w:type="spell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aims to scale this to 64 blobs per block using data availability sampling (DAS) and erasure coding, enabling Ethereum to serve as a high-throughput DA layer for dozens of rollups simultaneously.</w:t>
      </w:r>
    </w:p>
    <w:p w14:paraId="2AFEF867"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The practical impact is substantial. Before EIP-4844, </w:t>
      </w:r>
      <w:proofErr w:type="spellStart"/>
      <w:r w:rsidRPr="004579D6">
        <w:rPr>
          <w:rFonts w:ascii="Times New Roman" w:hAnsi="Times New Roman" w:cs="Times New Roman"/>
          <w:sz w:val="28"/>
          <w:szCs w:val="28"/>
          <w:lang w:val="en-US"/>
        </w:rPr>
        <w:t>Arbitrum</w:t>
      </w:r>
      <w:proofErr w:type="spellEnd"/>
      <w:r w:rsidRPr="004579D6">
        <w:rPr>
          <w:rFonts w:ascii="Times New Roman" w:hAnsi="Times New Roman" w:cs="Times New Roman"/>
          <w:sz w:val="28"/>
          <w:szCs w:val="28"/>
          <w:lang w:val="en-US"/>
        </w:rPr>
        <w:t xml:space="preserve"> once paid 353.93 ETH (≈$660,000) in gas for a single batch submission of 1,369 transactions during a congestion spike. Post-4844, such costs have fallen to the low-dollar range per batch, making L2 transaction fees consistently under $0.10 and often under $0.01.</w:t>
      </w:r>
    </w:p>
    <w:p w14:paraId="128C54F9"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lastRenderedPageBreak/>
        <w:t xml:space="preserve">However, rollup operators face a new optimization problem: balancing the cost of posting </w:t>
      </w:r>
      <w:proofErr w:type="spellStart"/>
      <w:proofErr w:type="gramStart"/>
      <w:r w:rsidRPr="004579D6">
        <w:rPr>
          <w:rFonts w:ascii="Times New Roman" w:hAnsi="Times New Roman" w:cs="Times New Roman"/>
          <w:sz w:val="28"/>
          <w:szCs w:val="28"/>
          <w:lang w:val="en-US"/>
        </w:rPr>
        <w:t>calldata</w:t>
      </w:r>
      <w:proofErr w:type="spellEnd"/>
      <w:proofErr w:type="gramEnd"/>
      <w:r w:rsidRPr="004579D6">
        <w:rPr>
          <w:rFonts w:ascii="Times New Roman" w:hAnsi="Times New Roman" w:cs="Times New Roman"/>
          <w:sz w:val="28"/>
          <w:szCs w:val="28"/>
          <w:lang w:val="en-US"/>
        </w:rPr>
        <w:t xml:space="preserve"> (permanent, expensive) vs. blobs (cheaper, temporary). For applications requiring long-term historical data availability, </w:t>
      </w:r>
      <w:proofErr w:type="spellStart"/>
      <w:r w:rsidRPr="004579D6">
        <w:rPr>
          <w:rFonts w:ascii="Times New Roman" w:hAnsi="Times New Roman" w:cs="Times New Roman"/>
          <w:sz w:val="28"/>
          <w:szCs w:val="28"/>
          <w:lang w:val="en-US"/>
        </w:rPr>
        <w:t>calldata</w:t>
      </w:r>
      <w:proofErr w:type="spellEnd"/>
      <w:r w:rsidRPr="004579D6">
        <w:rPr>
          <w:rFonts w:ascii="Times New Roman" w:hAnsi="Times New Roman" w:cs="Times New Roman"/>
          <w:sz w:val="28"/>
          <w:szCs w:val="28"/>
          <w:lang w:val="en-US"/>
        </w:rPr>
        <w:t xml:space="preserve"> may still be necessary despite higher costs.</w:t>
      </w:r>
    </w:p>
    <w:p w14:paraId="2CA487DC"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Bridge Security: Cross-Chain Messaging Risks</w:t>
      </w:r>
    </w:p>
    <w:p w14:paraId="3EFCCDA0" w14:textId="33091F56"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Cross-chain bridges represent the single greatest security vulnerability in the L2 ecosystem. According to aggregated data, bridge exploits have resulted in over $2.8 billion in losses, representing nearly 40% of all Web3 security incidents. The problem is not merely implementation </w:t>
      </w:r>
      <w:proofErr w:type="gramStart"/>
      <w:r w:rsidRPr="004579D6">
        <w:rPr>
          <w:rFonts w:ascii="Times New Roman" w:hAnsi="Times New Roman" w:cs="Times New Roman"/>
          <w:sz w:val="28"/>
          <w:szCs w:val="28"/>
          <w:lang w:val="en-US"/>
        </w:rPr>
        <w:t>bugs</w:t>
      </w:r>
      <w:proofErr w:type="gramEnd"/>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it is structural.</w:t>
      </w:r>
    </w:p>
    <w:p w14:paraId="036950A4"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Notable Exploits</w:t>
      </w:r>
    </w:p>
    <w:p w14:paraId="7A474B10"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Ronin Bridge ($625M, March 2022)</w:t>
      </w:r>
      <w:r w:rsidRPr="004579D6">
        <w:rPr>
          <w:rFonts w:ascii="Times New Roman" w:hAnsi="Times New Roman" w:cs="Times New Roman"/>
          <w:sz w:val="28"/>
          <w:szCs w:val="28"/>
          <w:lang w:val="en-US"/>
        </w:rPr>
        <w:t> remains the largest crypto hack to date. Attackers compromised 5 of 9 validator private keys through a sophisticated social engineering attack targeting Axie Infinity's Sky Mavis team. The breach was not detected for six days, during which the attackers drained 173,600 ETH and 25.5 million USDC. The root cause was not a smart contract bug but a centralized trust assumption: the bridge's security relied on a permissioned validator set with insufficient operational security.</w:t>
      </w:r>
    </w:p>
    <w:p w14:paraId="1C179A74" w14:textId="770FA8EE"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Wormhole Bridge ($320M, February 2022)</w:t>
      </w:r>
      <w:r w:rsidRPr="004579D6">
        <w:rPr>
          <w:rFonts w:ascii="Times New Roman" w:hAnsi="Times New Roman" w:cs="Times New Roman"/>
          <w:sz w:val="28"/>
          <w:szCs w:val="28"/>
          <w:lang w:val="en-US"/>
        </w:rPr>
        <w:t> demonstrated a different vulnerability class. Attackers exploited a </w:t>
      </w:r>
      <w:r w:rsidRPr="004579D6">
        <w:rPr>
          <w:rFonts w:ascii="Times New Roman" w:hAnsi="Times New Roman" w:cs="Times New Roman"/>
          <w:b/>
          <w:bCs/>
          <w:sz w:val="28"/>
          <w:szCs w:val="28"/>
          <w:lang w:val="en-US"/>
        </w:rPr>
        <w:t>deprecated but still active function</w:t>
      </w:r>
      <w:r w:rsidRPr="004579D6">
        <w:rPr>
          <w:rFonts w:ascii="Times New Roman" w:hAnsi="Times New Roman" w:cs="Times New Roman"/>
          <w:sz w:val="28"/>
          <w:szCs w:val="28"/>
          <w:lang w:val="en-US"/>
        </w:rPr>
        <w:t> in the Solana smart contract that failed to verify account authenticity. The </w:t>
      </w:r>
      <w:proofErr w:type="spellStart"/>
      <w:r w:rsidRPr="004579D6">
        <w:rPr>
          <w:rFonts w:ascii="Times New Roman" w:hAnsi="Times New Roman" w:cs="Times New Roman"/>
          <w:sz w:val="28"/>
          <w:szCs w:val="28"/>
          <w:lang w:val="en-US"/>
        </w:rPr>
        <w:t>load_current_index</w:t>
      </w:r>
      <w:proofErr w:type="spellEnd"/>
      <w:r w:rsidRPr="004579D6">
        <w:rPr>
          <w:rFonts w:ascii="Times New Roman" w:hAnsi="Times New Roman" w:cs="Times New Roman"/>
          <w:sz w:val="28"/>
          <w:szCs w:val="28"/>
          <w:lang w:val="en-US"/>
        </w:rPr>
        <w:t> function</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marked as "deprecated" in the codebase</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 xml:space="preserve">did not validate whether a critical account reference was </w:t>
      </w:r>
      <w:proofErr w:type="gramStart"/>
      <w:r w:rsidRPr="004579D6">
        <w:rPr>
          <w:rFonts w:ascii="Times New Roman" w:hAnsi="Times New Roman" w:cs="Times New Roman"/>
          <w:sz w:val="28"/>
          <w:szCs w:val="28"/>
          <w:lang w:val="en-US"/>
        </w:rPr>
        <w:t>actually the</w:t>
      </w:r>
      <w:proofErr w:type="gramEnd"/>
      <w:r w:rsidRPr="004579D6">
        <w:rPr>
          <w:rFonts w:ascii="Times New Roman" w:hAnsi="Times New Roman" w:cs="Times New Roman"/>
          <w:sz w:val="28"/>
          <w:szCs w:val="28"/>
          <w:lang w:val="en-US"/>
        </w:rPr>
        <w:t xml:space="preserve"> legitimate system account, allowing attackers to forge signature verification and mint 120,000 unbacked </w:t>
      </w:r>
      <w:proofErr w:type="spellStart"/>
      <w:r w:rsidRPr="004579D6">
        <w:rPr>
          <w:rFonts w:ascii="Times New Roman" w:hAnsi="Times New Roman" w:cs="Times New Roman"/>
          <w:sz w:val="28"/>
          <w:szCs w:val="28"/>
          <w:lang w:val="en-US"/>
        </w:rPr>
        <w:t>wETH</w:t>
      </w:r>
      <w:proofErr w:type="spellEnd"/>
      <w:r w:rsidRPr="004579D6">
        <w:rPr>
          <w:rFonts w:ascii="Times New Roman" w:hAnsi="Times New Roman" w:cs="Times New Roman"/>
          <w:sz w:val="28"/>
          <w:szCs w:val="28"/>
          <w:lang w:val="en-US"/>
        </w:rPr>
        <w:t>. The exploit was technically sophisticated, but the underlying issue was code management: a known vulnerability remained deployable. Jump Trading, Wormhole's parent company, ultimately injected $320 million to cover losses—a centralized rescue that itself contradicts decentralized ethos.</w:t>
      </w:r>
    </w:p>
    <w:p w14:paraId="508D0E82"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Nomad Bridge ($190M, August 2022)</w:t>
      </w:r>
      <w:r w:rsidRPr="004579D6">
        <w:rPr>
          <w:rFonts w:ascii="Times New Roman" w:hAnsi="Times New Roman" w:cs="Times New Roman"/>
          <w:sz w:val="28"/>
          <w:szCs w:val="28"/>
          <w:lang w:val="en-US"/>
        </w:rPr>
        <w:t> exposed the dangers of optimistic verification models. A single transaction that incorrectly marked a message as "proven" was replayed by dozens of attackers, creating a cascading drain. The root cause was a Merkle tree verification flaw that allowed any caller to initialize the proving process with invalid inputs.</w:t>
      </w:r>
    </w:p>
    <w:p w14:paraId="4E727E2C"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Security Lessons</w:t>
      </w:r>
    </w:p>
    <w:p w14:paraId="195F3BDF" w14:textId="46345DEA"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lastRenderedPageBreak/>
        <w:t>The pattern across these exploits reveals systemic vulnerabilities: (1) </w:t>
      </w:r>
      <w:r w:rsidRPr="004579D6">
        <w:rPr>
          <w:rFonts w:ascii="Times New Roman" w:hAnsi="Times New Roman" w:cs="Times New Roman"/>
          <w:b/>
          <w:bCs/>
          <w:sz w:val="28"/>
          <w:szCs w:val="28"/>
          <w:lang w:val="en-US"/>
        </w:rPr>
        <w:t>private key concentration</w:t>
      </w:r>
      <w:r w:rsidRPr="004579D6">
        <w:rPr>
          <w:rFonts w:ascii="Times New Roman" w:hAnsi="Times New Roman" w:cs="Times New Roman"/>
          <w:sz w:val="28"/>
          <w:szCs w:val="28"/>
          <w:lang w:val="en-US"/>
        </w:rPr>
        <w:t xml:space="preserve">—most bridges rely on small </w:t>
      </w:r>
      <w:proofErr w:type="spellStart"/>
      <w:r w:rsidRPr="004579D6">
        <w:rPr>
          <w:rFonts w:ascii="Times New Roman" w:hAnsi="Times New Roman" w:cs="Times New Roman"/>
          <w:sz w:val="28"/>
          <w:szCs w:val="28"/>
          <w:lang w:val="en-US"/>
        </w:rPr>
        <w:t>multisig</w:t>
      </w:r>
      <w:proofErr w:type="spellEnd"/>
      <w:r w:rsidRPr="004579D6">
        <w:rPr>
          <w:rFonts w:ascii="Times New Roman" w:hAnsi="Times New Roman" w:cs="Times New Roman"/>
          <w:sz w:val="28"/>
          <w:szCs w:val="28"/>
          <w:lang w:val="en-US"/>
        </w:rPr>
        <w:t xml:space="preserve"> sets with insufficient geographic and organizational distribution; (2) </w:t>
      </w:r>
      <w:r w:rsidRPr="004579D6">
        <w:rPr>
          <w:rFonts w:ascii="Times New Roman" w:hAnsi="Times New Roman" w:cs="Times New Roman"/>
          <w:b/>
          <w:bCs/>
          <w:sz w:val="28"/>
          <w:szCs w:val="28"/>
          <w:lang w:val="en-US"/>
        </w:rPr>
        <w:t>verification logic flaws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signature verification, Merkle proofs, and state synchronization are complex and error-prone; (3) </w:t>
      </w:r>
      <w:r w:rsidRPr="004579D6">
        <w:rPr>
          <w:rFonts w:ascii="Times New Roman" w:hAnsi="Times New Roman" w:cs="Times New Roman"/>
          <w:b/>
          <w:bCs/>
          <w:sz w:val="28"/>
          <w:szCs w:val="28"/>
          <w:lang w:val="en-US"/>
        </w:rPr>
        <w:t>configuration mismanagement</w:t>
      </w:r>
      <w:r w:rsidRPr="004579D6">
        <w:rPr>
          <w:rFonts w:ascii="Times New Roman" w:hAnsi="Times New Roman" w:cs="Times New Roman"/>
          <w:sz w:val="28"/>
          <w:szCs w:val="28"/>
          <w:lang w:val="en-US"/>
        </w:rPr>
        <w:t>—deprecated functions, incorrect initialization parameters, and missing input validation recur across incidents.</w:t>
      </w:r>
    </w:p>
    <w:p w14:paraId="7588A456" w14:textId="141E7B11"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From an L2 perspective, native bridges (L1↔L2) face similar risks but with important mitigations. Rollup-native bridges benefit from simpler trust models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they only need to verify L2 state transitions against L1-published data, not arbitrary cross-chain messages. However, third-party bridges connecting multiple L2s or L2s to other ecosystems reintroduce the full attack surface.</w:t>
      </w:r>
    </w:p>
    <w:p w14:paraId="16157EA4"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Cost Analysis: L2 vs. L1 Deployment</w:t>
      </w:r>
    </w:p>
    <w:p w14:paraId="51A815BF"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The decision to deploy on L2 versus L1 involves three cost dimensions: transaction fees for users, operational costs for the protocol, and the value of security guarantees.</w:t>
      </w:r>
    </w:p>
    <w:p w14:paraId="385714C2" w14:textId="1B566672"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User transaction costs</w:t>
      </w:r>
      <w:r w:rsidRPr="004579D6">
        <w:rPr>
          <w:rFonts w:ascii="Times New Roman" w:hAnsi="Times New Roman" w:cs="Times New Roman"/>
          <w:sz w:val="28"/>
          <w:szCs w:val="28"/>
          <w:lang w:val="en-US"/>
        </w:rPr>
        <w:t> have been dramatically altered by EIP-4844. L2 fees now typically range from $0.001 to $0.10 per transaction, compared to L1 fees of $1–$50+ depending on congestion. For high-frequency applications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gaming, social platforms, high-volume DeFi</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this difference is decisive. An application requiring 100,000 daily transactions would pay $100–$10,000 on L2 versus $100,000–$5,000,000+ on L1.</w:t>
      </w:r>
    </w:p>
    <w:p w14:paraId="7FC41E2E" w14:textId="67242185"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However, </w:t>
      </w:r>
      <w:r w:rsidRPr="004579D6">
        <w:rPr>
          <w:rFonts w:ascii="Times New Roman" w:hAnsi="Times New Roman" w:cs="Times New Roman"/>
          <w:b/>
          <w:bCs/>
          <w:sz w:val="28"/>
          <w:szCs w:val="28"/>
          <w:lang w:val="en-US"/>
        </w:rPr>
        <w:t>L1 offers superior security and simplicity</w:t>
      </w:r>
      <w:r w:rsidRPr="004579D6">
        <w:rPr>
          <w:rFonts w:ascii="Times New Roman" w:hAnsi="Times New Roman" w:cs="Times New Roman"/>
          <w:sz w:val="28"/>
          <w:szCs w:val="28"/>
          <w:lang w:val="en-US"/>
        </w:rPr>
        <w:t>. Transactions on L1 settle directly on Ethereum with no additional trust assumptions, no withdrawal delays (for optimistic rollups), and no bridge risk when moving assets within L1. For high-value, low-frequency operations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treasury management, large settlements, governance votes</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the incremental security of L1 may justify higher fees.</w:t>
      </w:r>
    </w:p>
    <w:p w14:paraId="21C6C466" w14:textId="00755640"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t>Protocol operational costs</w:t>
      </w:r>
      <w:r w:rsidRPr="004579D6">
        <w:rPr>
          <w:rFonts w:ascii="Times New Roman" w:hAnsi="Times New Roman" w:cs="Times New Roman"/>
          <w:sz w:val="28"/>
          <w:szCs w:val="28"/>
          <w:lang w:val="en-US"/>
        </w:rPr>
        <w:t> differ significantly. L2 protocols must pay for data posting (blobs/</w:t>
      </w:r>
      <w:proofErr w:type="spellStart"/>
      <w:r w:rsidRPr="004579D6">
        <w:rPr>
          <w:rFonts w:ascii="Times New Roman" w:hAnsi="Times New Roman" w:cs="Times New Roman"/>
          <w:sz w:val="28"/>
          <w:szCs w:val="28"/>
          <w:lang w:val="en-US"/>
        </w:rPr>
        <w:t>calldata</w:t>
      </w:r>
      <w:proofErr w:type="spellEnd"/>
      <w:r w:rsidRPr="004579D6">
        <w:rPr>
          <w:rFonts w:ascii="Times New Roman" w:hAnsi="Times New Roman" w:cs="Times New Roman"/>
          <w:sz w:val="28"/>
          <w:szCs w:val="28"/>
          <w:lang w:val="en-US"/>
        </w:rPr>
        <w:t>) to Ethereum, plus sequencer and prover infrastructure. For optimistic rollups, the cost is primarily blob posting</w:t>
      </w:r>
      <w:r>
        <w:rPr>
          <w:rFonts w:ascii="Times New Roman" w:hAnsi="Times New Roman" w:cs="Times New Roman"/>
          <w:sz w:val="28"/>
          <w:szCs w:val="28"/>
          <w:lang w:val="en-US"/>
        </w:rPr>
        <w:t xml:space="preserve"> </w:t>
      </w:r>
      <w:r w:rsidRPr="004579D6">
        <w:rPr>
          <w:rFonts w:ascii="Times New Roman" w:hAnsi="Times New Roman" w:cs="Times New Roman"/>
          <w:sz w:val="28"/>
          <w:szCs w:val="28"/>
          <w:lang w:val="en-US"/>
        </w:rPr>
        <w:t>currently cheap but variable with L1 gas prices. For ZK-rollups, proof generation adds computational expense (specialized hardware recommended) but reduces on-chain data footprint. Research on optimal L2 posting strategies suggests threshold-based policies (post when queue length exceeds a critical value dependent on current gas price) can minimize combined posting and waiting costs.</w:t>
      </w:r>
    </w:p>
    <w:p w14:paraId="61692FEE"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b/>
          <w:bCs/>
          <w:sz w:val="28"/>
          <w:szCs w:val="28"/>
          <w:lang w:val="en-US"/>
        </w:rPr>
        <w:lastRenderedPageBreak/>
        <w:t>The deployment decision matrix</w:t>
      </w:r>
      <w:r w:rsidRPr="004579D6">
        <w:rPr>
          <w:rFonts w:ascii="Times New Roman" w:hAnsi="Times New Roman" w:cs="Times New Roman"/>
          <w:sz w:val="28"/>
          <w:szCs w:val="28"/>
          <w:lang w:val="en-US"/>
        </w:rPr>
        <w:t>:</w:t>
      </w:r>
    </w:p>
    <w:tbl>
      <w:tblPr>
        <w:tblW w:w="11280" w:type="dxa"/>
        <w:tblCellMar>
          <w:top w:w="15" w:type="dxa"/>
          <w:left w:w="15" w:type="dxa"/>
          <w:bottom w:w="15" w:type="dxa"/>
          <w:right w:w="15" w:type="dxa"/>
        </w:tblCellMar>
        <w:tblLook w:val="04A0" w:firstRow="1" w:lastRow="0" w:firstColumn="1" w:lastColumn="0" w:noHBand="0" w:noVBand="1"/>
      </w:tblPr>
      <w:tblGrid>
        <w:gridCol w:w="3467"/>
        <w:gridCol w:w="2456"/>
        <w:gridCol w:w="5357"/>
      </w:tblGrid>
      <w:tr w:rsidR="004579D6" w:rsidRPr="004579D6" w14:paraId="59B4EAC7" w14:textId="77777777">
        <w:trPr>
          <w:tblHeader/>
        </w:trPr>
        <w:tc>
          <w:tcPr>
            <w:tcW w:w="0" w:type="auto"/>
            <w:tcBorders>
              <w:top w:val="nil"/>
            </w:tcBorders>
            <w:tcMar>
              <w:top w:w="150" w:type="dxa"/>
              <w:left w:w="0" w:type="dxa"/>
              <w:bottom w:w="150" w:type="dxa"/>
              <w:right w:w="240" w:type="dxa"/>
            </w:tcMar>
            <w:vAlign w:val="center"/>
            <w:hideMark/>
          </w:tcPr>
          <w:p w14:paraId="1B60A41E"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Application Type</w:t>
            </w:r>
          </w:p>
        </w:tc>
        <w:tc>
          <w:tcPr>
            <w:tcW w:w="0" w:type="auto"/>
            <w:tcBorders>
              <w:top w:val="nil"/>
            </w:tcBorders>
            <w:tcMar>
              <w:top w:w="150" w:type="dxa"/>
              <w:left w:w="240" w:type="dxa"/>
              <w:bottom w:w="150" w:type="dxa"/>
              <w:right w:w="240" w:type="dxa"/>
            </w:tcMar>
            <w:vAlign w:val="center"/>
            <w:hideMark/>
          </w:tcPr>
          <w:p w14:paraId="6584C087"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Recommendation</w:t>
            </w:r>
          </w:p>
        </w:tc>
        <w:tc>
          <w:tcPr>
            <w:tcW w:w="0" w:type="auto"/>
            <w:tcBorders>
              <w:top w:val="nil"/>
            </w:tcBorders>
            <w:tcMar>
              <w:top w:w="150" w:type="dxa"/>
              <w:left w:w="240" w:type="dxa"/>
              <w:bottom w:w="150" w:type="dxa"/>
              <w:right w:w="240" w:type="dxa"/>
            </w:tcMar>
            <w:vAlign w:val="center"/>
            <w:hideMark/>
          </w:tcPr>
          <w:p w14:paraId="30DAECA3"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Rationale</w:t>
            </w:r>
          </w:p>
        </w:tc>
      </w:tr>
      <w:tr w:rsidR="004579D6" w:rsidRPr="004579D6" w14:paraId="0685DB94" w14:textId="77777777">
        <w:tc>
          <w:tcPr>
            <w:tcW w:w="0" w:type="auto"/>
            <w:tcMar>
              <w:top w:w="150" w:type="dxa"/>
              <w:left w:w="0" w:type="dxa"/>
              <w:bottom w:w="150" w:type="dxa"/>
              <w:right w:w="240" w:type="dxa"/>
            </w:tcMar>
            <w:vAlign w:val="center"/>
            <w:hideMark/>
          </w:tcPr>
          <w:p w14:paraId="0C9FABAA"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High-frequency DeFi, Gaming, Social</w:t>
            </w:r>
          </w:p>
        </w:tc>
        <w:tc>
          <w:tcPr>
            <w:tcW w:w="0" w:type="auto"/>
            <w:tcMar>
              <w:top w:w="150" w:type="dxa"/>
              <w:left w:w="240" w:type="dxa"/>
              <w:bottom w:w="150" w:type="dxa"/>
              <w:right w:w="240" w:type="dxa"/>
            </w:tcMar>
            <w:vAlign w:val="center"/>
            <w:hideMark/>
          </w:tcPr>
          <w:p w14:paraId="6489444A"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L2 (any)</w:t>
            </w:r>
          </w:p>
        </w:tc>
        <w:tc>
          <w:tcPr>
            <w:tcW w:w="0" w:type="auto"/>
            <w:tcMar>
              <w:top w:w="150" w:type="dxa"/>
              <w:left w:w="240" w:type="dxa"/>
              <w:bottom w:w="150" w:type="dxa"/>
              <w:right w:w="0" w:type="dxa"/>
            </w:tcMar>
            <w:vAlign w:val="center"/>
            <w:hideMark/>
          </w:tcPr>
          <w:p w14:paraId="010DB92E"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Cost differential dominates; 7-day withdrawal acceptable for most</w:t>
            </w:r>
          </w:p>
        </w:tc>
      </w:tr>
      <w:tr w:rsidR="004579D6" w:rsidRPr="004579D6" w14:paraId="1815A771" w14:textId="77777777">
        <w:tc>
          <w:tcPr>
            <w:tcW w:w="0" w:type="auto"/>
            <w:tcMar>
              <w:top w:w="150" w:type="dxa"/>
              <w:left w:w="0" w:type="dxa"/>
              <w:bottom w:w="150" w:type="dxa"/>
              <w:right w:w="240" w:type="dxa"/>
            </w:tcMar>
            <w:vAlign w:val="center"/>
            <w:hideMark/>
          </w:tcPr>
          <w:p w14:paraId="58456347"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Large-scale settlements, Treasuries</w:t>
            </w:r>
          </w:p>
        </w:tc>
        <w:tc>
          <w:tcPr>
            <w:tcW w:w="0" w:type="auto"/>
            <w:tcMar>
              <w:top w:w="150" w:type="dxa"/>
              <w:left w:w="240" w:type="dxa"/>
              <w:bottom w:w="150" w:type="dxa"/>
              <w:right w:w="240" w:type="dxa"/>
            </w:tcMar>
            <w:vAlign w:val="center"/>
            <w:hideMark/>
          </w:tcPr>
          <w:p w14:paraId="78FE8E10"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L1</w:t>
            </w:r>
          </w:p>
        </w:tc>
        <w:tc>
          <w:tcPr>
            <w:tcW w:w="0" w:type="auto"/>
            <w:tcMar>
              <w:top w:w="150" w:type="dxa"/>
              <w:left w:w="240" w:type="dxa"/>
              <w:bottom w:w="150" w:type="dxa"/>
              <w:right w:w="0" w:type="dxa"/>
            </w:tcMar>
            <w:vAlign w:val="center"/>
            <w:hideMark/>
          </w:tcPr>
          <w:p w14:paraId="589CF2A6"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Security and finality priority; frequency low</w:t>
            </w:r>
          </w:p>
        </w:tc>
      </w:tr>
      <w:tr w:rsidR="004579D6" w:rsidRPr="004579D6" w14:paraId="31CF3824" w14:textId="77777777">
        <w:tc>
          <w:tcPr>
            <w:tcW w:w="0" w:type="auto"/>
            <w:tcMar>
              <w:top w:w="150" w:type="dxa"/>
              <w:left w:w="0" w:type="dxa"/>
              <w:bottom w:w="150" w:type="dxa"/>
              <w:right w:w="240" w:type="dxa"/>
            </w:tcMar>
            <w:vAlign w:val="center"/>
            <w:hideMark/>
          </w:tcPr>
          <w:p w14:paraId="11C56B6D"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Privacy-preserving apps</w:t>
            </w:r>
          </w:p>
        </w:tc>
        <w:tc>
          <w:tcPr>
            <w:tcW w:w="0" w:type="auto"/>
            <w:tcMar>
              <w:top w:w="150" w:type="dxa"/>
              <w:left w:w="240" w:type="dxa"/>
              <w:bottom w:w="150" w:type="dxa"/>
              <w:right w:w="240" w:type="dxa"/>
            </w:tcMar>
            <w:vAlign w:val="center"/>
            <w:hideMark/>
          </w:tcPr>
          <w:p w14:paraId="5DB6F21D"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ZK-rollup</w:t>
            </w:r>
          </w:p>
        </w:tc>
        <w:tc>
          <w:tcPr>
            <w:tcW w:w="0" w:type="auto"/>
            <w:tcMar>
              <w:top w:w="150" w:type="dxa"/>
              <w:left w:w="240" w:type="dxa"/>
              <w:bottom w:w="150" w:type="dxa"/>
              <w:right w:w="0" w:type="dxa"/>
            </w:tcMar>
            <w:vAlign w:val="center"/>
            <w:hideMark/>
          </w:tcPr>
          <w:p w14:paraId="4E73213E"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Native ZK capabilities for private transactions</w:t>
            </w:r>
          </w:p>
        </w:tc>
      </w:tr>
      <w:tr w:rsidR="004579D6" w:rsidRPr="004579D6" w14:paraId="11FD96AC" w14:textId="77777777">
        <w:tc>
          <w:tcPr>
            <w:tcW w:w="0" w:type="auto"/>
            <w:tcMar>
              <w:top w:w="150" w:type="dxa"/>
              <w:left w:w="0" w:type="dxa"/>
              <w:bottom w:w="150" w:type="dxa"/>
              <w:right w:w="240" w:type="dxa"/>
            </w:tcMar>
            <w:vAlign w:val="center"/>
            <w:hideMark/>
          </w:tcPr>
          <w:p w14:paraId="75A99724"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Maximum EVM compatibility</w:t>
            </w:r>
          </w:p>
        </w:tc>
        <w:tc>
          <w:tcPr>
            <w:tcW w:w="0" w:type="auto"/>
            <w:tcMar>
              <w:top w:w="150" w:type="dxa"/>
              <w:left w:w="240" w:type="dxa"/>
              <w:bottom w:w="150" w:type="dxa"/>
              <w:right w:w="240" w:type="dxa"/>
            </w:tcMar>
            <w:vAlign w:val="center"/>
            <w:hideMark/>
          </w:tcPr>
          <w:p w14:paraId="061826A9"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Optimistic L2</w:t>
            </w:r>
          </w:p>
        </w:tc>
        <w:tc>
          <w:tcPr>
            <w:tcW w:w="0" w:type="auto"/>
            <w:tcMar>
              <w:top w:w="150" w:type="dxa"/>
              <w:left w:w="240" w:type="dxa"/>
              <w:bottom w:w="150" w:type="dxa"/>
              <w:right w:w="0" w:type="dxa"/>
            </w:tcMar>
            <w:vAlign w:val="center"/>
            <w:hideMark/>
          </w:tcPr>
          <w:p w14:paraId="678FC821"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More mature </w:t>
            </w:r>
            <w:proofErr w:type="gramStart"/>
            <w:r w:rsidRPr="004579D6">
              <w:rPr>
                <w:rFonts w:ascii="Times New Roman" w:hAnsi="Times New Roman" w:cs="Times New Roman"/>
                <w:sz w:val="28"/>
                <w:szCs w:val="28"/>
                <w:lang w:val="en-US"/>
              </w:rPr>
              <w:t>tooling;</w:t>
            </w:r>
            <w:proofErr w:type="gramEnd"/>
            <w:r w:rsidRPr="004579D6">
              <w:rPr>
                <w:rFonts w:ascii="Times New Roman" w:hAnsi="Times New Roman" w:cs="Times New Roman"/>
                <w:sz w:val="28"/>
                <w:szCs w:val="28"/>
                <w:lang w:val="en-US"/>
              </w:rPr>
              <w:t xml:space="preserve"> deploy existing contracts as-is</w:t>
            </w:r>
          </w:p>
        </w:tc>
      </w:tr>
      <w:tr w:rsidR="004579D6" w:rsidRPr="004579D6" w14:paraId="18815D70" w14:textId="77777777">
        <w:tc>
          <w:tcPr>
            <w:tcW w:w="0" w:type="auto"/>
            <w:tcMar>
              <w:top w:w="150" w:type="dxa"/>
              <w:left w:w="0" w:type="dxa"/>
              <w:bottom w:w="150" w:type="dxa"/>
              <w:right w:w="240" w:type="dxa"/>
            </w:tcMar>
            <w:vAlign w:val="center"/>
            <w:hideMark/>
          </w:tcPr>
          <w:p w14:paraId="488A018D"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Near-instant L1 exits</w:t>
            </w:r>
          </w:p>
        </w:tc>
        <w:tc>
          <w:tcPr>
            <w:tcW w:w="0" w:type="auto"/>
            <w:tcMar>
              <w:top w:w="150" w:type="dxa"/>
              <w:left w:w="240" w:type="dxa"/>
              <w:bottom w:w="150" w:type="dxa"/>
              <w:right w:w="240" w:type="dxa"/>
            </w:tcMar>
            <w:vAlign w:val="center"/>
            <w:hideMark/>
          </w:tcPr>
          <w:p w14:paraId="716A597C"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ZK-rollup</w:t>
            </w:r>
          </w:p>
        </w:tc>
        <w:tc>
          <w:tcPr>
            <w:tcW w:w="0" w:type="auto"/>
            <w:tcMar>
              <w:top w:w="150" w:type="dxa"/>
              <w:left w:w="240" w:type="dxa"/>
              <w:bottom w:w="150" w:type="dxa"/>
              <w:right w:w="0" w:type="dxa"/>
            </w:tcMar>
            <w:vAlign w:val="center"/>
            <w:hideMark/>
          </w:tcPr>
          <w:p w14:paraId="17F7CD08"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No </w:t>
            </w:r>
            <w:proofErr w:type="gramStart"/>
            <w:r w:rsidRPr="004579D6">
              <w:rPr>
                <w:rFonts w:ascii="Times New Roman" w:hAnsi="Times New Roman" w:cs="Times New Roman"/>
                <w:sz w:val="28"/>
                <w:szCs w:val="28"/>
                <w:lang w:val="en-US"/>
              </w:rPr>
              <w:t>challenge</w:t>
            </w:r>
            <w:proofErr w:type="gramEnd"/>
            <w:r w:rsidRPr="004579D6">
              <w:rPr>
                <w:rFonts w:ascii="Times New Roman" w:hAnsi="Times New Roman" w:cs="Times New Roman"/>
                <w:sz w:val="28"/>
                <w:szCs w:val="28"/>
                <w:lang w:val="en-US"/>
              </w:rPr>
              <w:t xml:space="preserve"> period; minutes vs. days</w:t>
            </w:r>
          </w:p>
        </w:tc>
      </w:tr>
      <w:tr w:rsidR="004579D6" w:rsidRPr="004579D6" w14:paraId="503DBC43" w14:textId="77777777">
        <w:tc>
          <w:tcPr>
            <w:tcW w:w="0" w:type="auto"/>
            <w:tcMar>
              <w:top w:w="150" w:type="dxa"/>
              <w:left w:w="0" w:type="dxa"/>
              <w:bottom w:w="150" w:type="dxa"/>
              <w:right w:w="240" w:type="dxa"/>
            </w:tcMar>
            <w:vAlign w:val="center"/>
            <w:hideMark/>
          </w:tcPr>
          <w:p w14:paraId="35EA47A3"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Multi-chain deployment</w:t>
            </w:r>
          </w:p>
        </w:tc>
        <w:tc>
          <w:tcPr>
            <w:tcW w:w="0" w:type="auto"/>
            <w:tcMar>
              <w:top w:w="150" w:type="dxa"/>
              <w:left w:w="240" w:type="dxa"/>
              <w:bottom w:w="150" w:type="dxa"/>
              <w:right w:w="240" w:type="dxa"/>
            </w:tcMar>
            <w:vAlign w:val="center"/>
            <w:hideMark/>
          </w:tcPr>
          <w:p w14:paraId="77CB09A9"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Both</w:t>
            </w:r>
          </w:p>
        </w:tc>
        <w:tc>
          <w:tcPr>
            <w:tcW w:w="0" w:type="auto"/>
            <w:tcMar>
              <w:top w:w="150" w:type="dxa"/>
              <w:left w:w="240" w:type="dxa"/>
              <w:bottom w:w="150" w:type="dxa"/>
              <w:right w:w="0" w:type="dxa"/>
            </w:tcMar>
            <w:vAlign w:val="center"/>
            <w:hideMark/>
          </w:tcPr>
          <w:p w14:paraId="433E833E"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Deploy on multiple L2s + L1 for redundancy</w:t>
            </w:r>
          </w:p>
        </w:tc>
      </w:tr>
    </w:tbl>
    <w:p w14:paraId="6B6C2EE7" w14:textId="77777777"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A nuanced rule: </w:t>
      </w:r>
      <w:r w:rsidRPr="004579D6">
        <w:rPr>
          <w:rFonts w:ascii="Times New Roman" w:hAnsi="Times New Roman" w:cs="Times New Roman"/>
          <w:b/>
          <w:bCs/>
          <w:sz w:val="28"/>
          <w:szCs w:val="28"/>
          <w:lang w:val="en-US"/>
        </w:rPr>
        <w:t>deploy on L2 by default, but architect for L1 fallback</w:t>
      </w:r>
      <w:r w:rsidRPr="004579D6">
        <w:rPr>
          <w:rFonts w:ascii="Times New Roman" w:hAnsi="Times New Roman" w:cs="Times New Roman"/>
          <w:sz w:val="28"/>
          <w:szCs w:val="28"/>
          <w:lang w:val="en-US"/>
        </w:rPr>
        <w:t>. The cost advantage of L2 is now so substantial (90%+ reduction) that for any application expecting meaningful usage, L2 is economically mandatory for user acquisition. However, critical protocol functions (governance, emergency controls, large treasuries) should remain on L1 or implement L1 escape hatches.</w:t>
      </w:r>
    </w:p>
    <w:p w14:paraId="30504895" w14:textId="77777777" w:rsidR="004579D6" w:rsidRPr="004579D6" w:rsidRDefault="004579D6" w:rsidP="004579D6">
      <w:pPr>
        <w:rPr>
          <w:rFonts w:ascii="Times New Roman" w:hAnsi="Times New Roman" w:cs="Times New Roman"/>
          <w:b/>
          <w:bCs/>
          <w:sz w:val="28"/>
          <w:szCs w:val="28"/>
          <w:lang w:val="en-US"/>
        </w:rPr>
      </w:pPr>
      <w:r w:rsidRPr="004579D6">
        <w:rPr>
          <w:rFonts w:ascii="Times New Roman" w:hAnsi="Times New Roman" w:cs="Times New Roman"/>
          <w:b/>
          <w:bCs/>
          <w:sz w:val="28"/>
          <w:szCs w:val="28"/>
          <w:lang w:val="en-US"/>
        </w:rPr>
        <w:t>Synthesis</w:t>
      </w:r>
    </w:p>
    <w:p w14:paraId="32A4E224" w14:textId="5640826E" w:rsidR="004579D6" w:rsidRPr="004579D6" w:rsidRDefault="004579D6" w:rsidP="004579D6">
      <w:pPr>
        <w:rPr>
          <w:rFonts w:ascii="Times New Roman" w:hAnsi="Times New Roman" w:cs="Times New Roman"/>
          <w:sz w:val="28"/>
          <w:szCs w:val="28"/>
          <w:lang w:val="en-US"/>
        </w:rPr>
      </w:pPr>
      <w:r w:rsidRPr="004579D6">
        <w:rPr>
          <w:rFonts w:ascii="Times New Roman" w:hAnsi="Times New Roman" w:cs="Times New Roman"/>
          <w:sz w:val="28"/>
          <w:szCs w:val="28"/>
          <w:lang w:val="en-US"/>
        </w:rPr>
        <w:t xml:space="preserve">The L2 landscape is rapidly maturing, but fundamental tradeoffs persist. Optimistic rollups offer superior EVM compatibility and ecosystem maturity today, at the cost of 7-day withdrawal delays and active monitoring assumptions. ZK-rollups provide stronger cryptographic guarantees and faster finality, but with higher infrastructure complexity and historically weaker EVM support. </w:t>
      </w:r>
    </w:p>
    <w:p w14:paraId="380A143E" w14:textId="21741E9A" w:rsidR="004579D6" w:rsidRPr="004579D6" w:rsidRDefault="004579D6" w:rsidP="004579D6">
      <w:pPr>
        <w:rPr>
          <w:rFonts w:ascii="Times New Roman" w:hAnsi="Times New Roman" w:cs="Times New Roman"/>
          <w:sz w:val="28"/>
          <w:szCs w:val="28"/>
          <w:lang w:val="en-US"/>
        </w:rPr>
      </w:pPr>
    </w:p>
    <w:p w14:paraId="61D08B54" w14:textId="77777777" w:rsidR="00C344DA" w:rsidRPr="00173E9D" w:rsidRDefault="00C344DA" w:rsidP="005746C6">
      <w:pPr>
        <w:rPr>
          <w:rFonts w:ascii="Times New Roman" w:hAnsi="Times New Roman" w:cs="Times New Roman"/>
          <w:sz w:val="28"/>
          <w:szCs w:val="28"/>
          <w:lang w:val="en-US"/>
        </w:rPr>
      </w:pPr>
    </w:p>
    <w:sectPr w:rsidR="00C344DA" w:rsidRPr="00173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28D0"/>
    <w:multiLevelType w:val="multilevel"/>
    <w:tmpl w:val="C0E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309A1"/>
    <w:multiLevelType w:val="multilevel"/>
    <w:tmpl w:val="42E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2207B"/>
    <w:multiLevelType w:val="multilevel"/>
    <w:tmpl w:val="90D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A5B63"/>
    <w:multiLevelType w:val="multilevel"/>
    <w:tmpl w:val="3A9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759CE"/>
    <w:multiLevelType w:val="multilevel"/>
    <w:tmpl w:val="111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128D5"/>
    <w:multiLevelType w:val="multilevel"/>
    <w:tmpl w:val="760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812CF"/>
    <w:multiLevelType w:val="multilevel"/>
    <w:tmpl w:val="881C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327705">
    <w:abstractNumId w:val="0"/>
  </w:num>
  <w:num w:numId="2" w16cid:durableId="1106652640">
    <w:abstractNumId w:val="2"/>
  </w:num>
  <w:num w:numId="3" w16cid:durableId="1175532015">
    <w:abstractNumId w:val="4"/>
  </w:num>
  <w:num w:numId="4" w16cid:durableId="429592282">
    <w:abstractNumId w:val="1"/>
  </w:num>
  <w:num w:numId="5" w16cid:durableId="1244753633">
    <w:abstractNumId w:val="3"/>
  </w:num>
  <w:num w:numId="6" w16cid:durableId="133956242">
    <w:abstractNumId w:val="5"/>
  </w:num>
  <w:num w:numId="7" w16cid:durableId="646206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7A"/>
    <w:rsid w:val="00173E9D"/>
    <w:rsid w:val="0040247E"/>
    <w:rsid w:val="004579D6"/>
    <w:rsid w:val="005746C6"/>
    <w:rsid w:val="006336F5"/>
    <w:rsid w:val="00823839"/>
    <w:rsid w:val="0088457A"/>
    <w:rsid w:val="0089018C"/>
    <w:rsid w:val="00941899"/>
    <w:rsid w:val="00972CD2"/>
    <w:rsid w:val="00C1029F"/>
    <w:rsid w:val="00C344DA"/>
    <w:rsid w:val="00D6340A"/>
    <w:rsid w:val="00DF4AE6"/>
    <w:rsid w:val="00F4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8295"/>
  <w15:chartTrackingRefBased/>
  <w15:docId w15:val="{852D3F3B-154B-4C2E-AF49-07EA665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9D6"/>
    <w:pPr>
      <w:spacing w:line="259" w:lineRule="auto"/>
    </w:pPr>
    <w:rPr>
      <w:rFonts w:eastAsiaTheme="minorEastAsia"/>
      <w:kern w:val="0"/>
      <w:sz w:val="22"/>
      <w:szCs w:val="22"/>
      <w:lang w:val="ru-RU"/>
      <w14:ligatures w14:val="none"/>
    </w:rPr>
  </w:style>
  <w:style w:type="paragraph" w:styleId="Heading1">
    <w:name w:val="heading 1"/>
    <w:basedOn w:val="Normal"/>
    <w:next w:val="Normal"/>
    <w:link w:val="Heading1Char"/>
    <w:uiPriority w:val="9"/>
    <w:qFormat/>
    <w:rsid w:val="008845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8845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8457A"/>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8457A"/>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8457A"/>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8457A"/>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8457A"/>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8457A"/>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8457A"/>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57A"/>
    <w:rPr>
      <w:rFonts w:eastAsiaTheme="majorEastAsia" w:cstheme="majorBidi"/>
      <w:color w:val="272727" w:themeColor="text1" w:themeTint="D8"/>
    </w:rPr>
  </w:style>
  <w:style w:type="paragraph" w:styleId="Title">
    <w:name w:val="Title"/>
    <w:basedOn w:val="Normal"/>
    <w:next w:val="Normal"/>
    <w:link w:val="TitleChar"/>
    <w:uiPriority w:val="10"/>
    <w:qFormat/>
    <w:rsid w:val="0088457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8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57A"/>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8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57A"/>
    <w:pPr>
      <w:spacing w:before="160" w:line="278" w:lineRule="auto"/>
      <w:jc w:val="center"/>
    </w:pPr>
    <w:rPr>
      <w:rFonts w:eastAsia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8457A"/>
    <w:rPr>
      <w:i/>
      <w:iCs/>
      <w:color w:val="404040" w:themeColor="text1" w:themeTint="BF"/>
    </w:rPr>
  </w:style>
  <w:style w:type="paragraph" w:styleId="ListParagraph">
    <w:name w:val="List Paragraph"/>
    <w:basedOn w:val="Normal"/>
    <w:uiPriority w:val="34"/>
    <w:qFormat/>
    <w:rsid w:val="0088457A"/>
    <w:pPr>
      <w:spacing w:line="278" w:lineRule="auto"/>
      <w:ind w:left="720"/>
      <w:contextualSpacing/>
    </w:pPr>
    <w:rPr>
      <w:rFonts w:eastAsiaTheme="minorHAnsi"/>
      <w:kern w:val="2"/>
      <w:sz w:val="24"/>
      <w:szCs w:val="24"/>
      <w:lang w:val="en-US"/>
      <w14:ligatures w14:val="standardContextual"/>
    </w:rPr>
  </w:style>
  <w:style w:type="character" w:styleId="IntenseEmphasis">
    <w:name w:val="Intense Emphasis"/>
    <w:basedOn w:val="DefaultParagraphFont"/>
    <w:uiPriority w:val="21"/>
    <w:qFormat/>
    <w:rsid w:val="0088457A"/>
    <w:rPr>
      <w:i/>
      <w:iCs/>
      <w:color w:val="2F5496" w:themeColor="accent1" w:themeShade="BF"/>
    </w:rPr>
  </w:style>
  <w:style w:type="paragraph" w:styleId="IntenseQuote">
    <w:name w:val="Intense Quote"/>
    <w:basedOn w:val="Normal"/>
    <w:next w:val="Normal"/>
    <w:link w:val="IntenseQuoteChar"/>
    <w:uiPriority w:val="30"/>
    <w:qFormat/>
    <w:rsid w:val="008845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8457A"/>
    <w:rPr>
      <w:i/>
      <w:iCs/>
      <w:color w:val="2F5496" w:themeColor="accent1" w:themeShade="BF"/>
    </w:rPr>
  </w:style>
  <w:style w:type="character" w:styleId="IntenseReference">
    <w:name w:val="Intense Reference"/>
    <w:basedOn w:val="DefaultParagraphFont"/>
    <w:uiPriority w:val="32"/>
    <w:qFormat/>
    <w:rsid w:val="0088457A"/>
    <w:rPr>
      <w:b/>
      <w:bCs/>
      <w:smallCaps/>
      <w:color w:val="2F5496" w:themeColor="accent1" w:themeShade="BF"/>
      <w:spacing w:val="5"/>
    </w:rPr>
  </w:style>
  <w:style w:type="table" w:styleId="TableGrid">
    <w:name w:val="Table Grid"/>
    <w:basedOn w:val="TableNormal"/>
    <w:uiPriority w:val="39"/>
    <w:rsid w:val="00173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79D6"/>
    <w:rPr>
      <w:color w:val="0563C1" w:themeColor="hyperlink"/>
      <w:u w:val="single"/>
    </w:rPr>
  </w:style>
  <w:style w:type="character" w:styleId="UnresolvedMention">
    <w:name w:val="Unresolved Mention"/>
    <w:basedOn w:val="DefaultParagraphFont"/>
    <w:uiPriority w:val="99"/>
    <w:semiHidden/>
    <w:unhideWhenUsed/>
    <w:rsid w:val="00457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Temirlan Sapargali</dc:creator>
  <cp:keywords/>
  <dc:description/>
  <cp:lastModifiedBy>Temirlan Sapargali</cp:lastModifiedBy>
  <cp:revision>5</cp:revision>
  <dcterms:created xsi:type="dcterms:W3CDTF">2026-04-05T05:39:00Z</dcterms:created>
  <dcterms:modified xsi:type="dcterms:W3CDTF">2026-04-19T06:08:00Z</dcterms:modified>
</cp:coreProperties>
</file>