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8.png" ContentType="image/png"/>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40" w:after="60"/>
        <w:rPr/>
      </w:pPr>
      <w:r>
        <w:rPr/>
        <w:t>Detailstufe I</w:t>
      </w:r>
    </w:p>
    <w:p>
      <w:pPr>
        <w:pStyle w:val="Heading3"/>
        <w:rPr/>
      </w:pPr>
      <w:r>
        <w:rPr/>
        <w:t>Datenquellen</w:t>
      </w:r>
    </w:p>
    <w:p>
      <w:pPr>
        <w:pStyle w:val="Aufzhlung"/>
        <w:rPr/>
      </w:pPr>
      <w:r>
        <w:rPr/>
        <w:t xml:space="preserve">nach „SEPP-Schema“ in eigener Feldarbeit aufgenommene Daten </w:t>
      </w:r>
    </w:p>
    <w:p>
      <w:pPr>
        <w:pStyle w:val="Aufzhlung"/>
        <w:rPr/>
      </w:pPr>
      <w:r>
        <w:rPr/>
        <w:t>Profil- und horizontbezogene Daten der Bodenkarte</w:t>
      </w:r>
    </w:p>
    <w:p>
      <w:pPr>
        <w:pStyle w:val="Aufzhlung"/>
        <w:rPr/>
      </w:pPr>
      <w:r>
        <w:rPr>
          <w:rFonts w:cs="Arial"/>
          <w:szCs w:val="22"/>
        </w:rPr>
        <w:t>Punktda</w:t>
      </w:r>
      <w:r>
        <w:rPr/>
        <w:t>ten aus der Forstlichen Standortskartierung, Bodenzustandsinventur, sonstige (BORIS)</w:t>
      </w:r>
    </w:p>
    <w:p>
      <w:pPr>
        <w:pStyle w:val="Aufzhlung"/>
        <w:rPr>
          <w:i/>
          <w:iCs/>
        </w:rPr>
      </w:pPr>
      <w:r>
        <w:rPr>
          <w:i/>
          <w:iCs/>
        </w:rPr>
        <w:t>Grablochbeschriebe der Bodenschätzung (selbständige Umschlüsselung erforderlich!)</w:t>
      </w:r>
    </w:p>
    <w:p>
      <w:pPr>
        <w:pStyle w:val="Aufzhlung"/>
        <w:rPr>
          <w:i/>
        </w:rPr>
      </w:pPr>
      <w:r>
        <w:rPr>
          <w:i/>
        </w:rPr>
        <w:t>zusätzlich: Eingabe von Feldaten und Labordaten für folgende Parameter ermöglichen: Lagerungsdichte, Humusgehalt, Skelettgehalt, Bodenart (bzw. Korngrößenverteilung), pH-Wert</w:t>
      </w:r>
    </w:p>
    <w:p>
      <w:pPr>
        <w:pStyle w:val="Heading3"/>
        <w:rPr>
          <w:i w:val="false"/>
          <w:iCs w:val="false"/>
          <w:u w:val="none"/>
        </w:rPr>
      </w:pPr>
      <w:r>
        <w:rPr>
          <w:i w:val="false"/>
          <w:iCs w:val="false"/>
          <w:u w:val="none"/>
        </w:rPr>
        <w:t>Anmerkungen allgemein zur Implementierung in SEPP:</w:t>
      </w:r>
    </w:p>
    <w:p>
      <w:pPr>
        <w:pStyle w:val="Normal"/>
        <w:rPr>
          <w:i w:val="false"/>
          <w:iCs w:val="false"/>
          <w:u w:val="none"/>
        </w:rPr>
      </w:pPr>
      <w:r>
        <w:rPr>
          <w:i w:val="false"/>
          <w:iCs w:val="false"/>
          <w:u w:val="none"/>
        </w:rPr>
        <w:t>-bei boolean (Ja oder Nein)  Abfragen wird immer true genommen wenn in der spalte nicht extra f oder false steht</w:t>
      </w:r>
    </w:p>
    <w:p>
      <w:pPr>
        <w:pStyle w:val="Normal"/>
        <w:rPr>
          <w:i w:val="false"/>
          <w:iCs w:val="false"/>
          <w:u w:val="none"/>
        </w:rPr>
      </w:pPr>
      <w:r>
        <w:rPr>
          <w:i w:val="false"/>
          <w:iCs w:val="false"/>
          <w:u w:val="none"/>
        </w:rPr>
        <w:t>- Bei Projektbeschreibung; wenn Vegetationsperiodentemperatur unbekannt ist, muss man hier -9999 angeben sonst wird der Wert 0 verwendet.</w:t>
      </w:r>
    </w:p>
    <w:p>
      <w:pPr>
        <w:pStyle w:val="BerschriftRahmen"/>
        <w:rPr/>
      </w:pPr>
      <w:r>
        <w:rPr/>
        <w:t>Bewertungsrelevante Parameter</w:t>
      </w:r>
    </w:p>
    <w:p>
      <w:pPr>
        <w:pStyle w:val="Heading3"/>
        <w:rPr/>
      </w:pPr>
      <w:r>
        <w:rPr/>
        <w:t>Px01 - Humusgehalt (Klassenmittelwert)</w:t>
      </w:r>
    </w:p>
    <w:p>
      <w:pPr>
        <w:pStyle w:val="Normal"/>
        <w:rPr>
          <w:i/>
        </w:rPr>
      </w:pPr>
      <w:r>
        <w:rPr>
          <w:b/>
          <w:i/>
        </w:rPr>
        <w:t>Eingangsparameter:</w:t>
      </w:r>
      <w:r>
        <w:rPr>
          <w:i/>
        </w:rPr>
        <w:t xml:space="preserve"> </w:t>
      </w:r>
    </w:p>
    <w:p>
      <w:pPr>
        <w:pStyle w:val="Normal"/>
        <w:ind w:left="142" w:right="0" w:hanging="0"/>
        <w:rPr>
          <w:i/>
        </w:rPr>
      </w:pPr>
      <w:r>
        <w:rPr>
          <w:i/>
        </w:rPr>
        <w:t xml:space="preserve">Humusgehalt (P168 oder B104)  </w:t>
      </w:r>
    </w:p>
    <w:p>
      <w:pPr>
        <w:pStyle w:val="Normal"/>
        <w:rPr>
          <w:rFonts w:cs="Arial"/>
          <w:szCs w:val="20"/>
        </w:rPr>
      </w:pPr>
      <w:r>
        <w:rPr>
          <w:rFonts w:cs="Arial"/>
          <w:szCs w:val="20"/>
        </w:rPr>
      </w:r>
    </w:p>
    <w:p>
      <w:pPr>
        <w:pStyle w:val="Normal"/>
        <w:jc w:val="both"/>
        <w:rPr>
          <w:lang w:val="de-AT"/>
        </w:rPr>
      </w:pPr>
      <w:r>
        <w:rPr>
          <w:lang w:val="de-AT"/>
        </w:rPr>
        <w:t>Der Humusgehalt eines Horizonts geht in sehr viele Funktionsbewertungen ein, wird aber nicht immer  im Labor genau ermittelt</w:t>
      </w:r>
      <w:r>
        <w:rPr/>
        <w:t xml:space="preserve">, sondern liegt meist nur als Wertbereich (Klasse) vor. Falls der exakte Humusgehalt bekannt ist, gilt: </w:t>
      </w:r>
      <w:r>
        <w:rPr>
          <w:b/>
        </w:rPr>
        <w:t>Px01 = B104</w:t>
      </w:r>
      <w:r>
        <w:rPr>
          <w:lang w:val="de-AT"/>
        </w:rPr>
        <w:t>, ansonsten wird der Mittelwert der in P168 angegebenen Klasse verwendet:</w:t>
      </w:r>
    </w:p>
    <w:p>
      <w:pPr>
        <w:pStyle w:val="Normal"/>
        <w:rPr>
          <w:rFonts w:cs="Arial"/>
          <w:szCs w:val="20"/>
          <w:lang w:val="de-AT"/>
        </w:rPr>
      </w:pPr>
      <w:r>
        <w:rPr>
          <w:rFonts w:cs="Arial"/>
          <w:szCs w:val="20"/>
          <w:lang w:val="de-AT"/>
        </w:rPr>
      </w:r>
    </w:p>
    <w:tbl>
      <w:tblPr>
        <w:jc w:val="left"/>
        <w:tblInd w:w="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697"/>
        <w:gridCol w:w="1700"/>
        <w:gridCol w:w="1984"/>
        <w:gridCol w:w="1702"/>
      </w:tblGrid>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P168</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Humusgehalt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Wertbereich B104</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Px01 =</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humusfrei</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0</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sehr schwach humos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&lt;1 %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0,5</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20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schwach humos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1 - &lt;2 %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1,5</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30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mittel humos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2 - &lt;4 %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3</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40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stark humos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4 - &lt;8 %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6</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50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sehr stark humos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8 - &lt;15 %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11,5</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60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anmoorig, äußerst humos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15 - &lt;30 %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22,5</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70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Torf</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Normal"/>
              <w:jc w:val="center"/>
              <w:rPr/>
            </w:pPr>
            <w:r>
              <w:rPr/>
              <w:t>&gt;30 %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50</w:t>
            </w:r>
          </w:p>
        </w:tc>
      </w:tr>
    </w:tbl>
    <w:p>
      <w:pPr>
        <w:pStyle w:val="Normal"/>
        <w:rPr>
          <w:rFonts w:cs="Arial"/>
          <w:szCs w:val="20"/>
          <w:lang w:val="de-AT"/>
        </w:rPr>
      </w:pPr>
      <w:r>
        <w:rPr>
          <w:rFonts w:cs="Arial"/>
          <w:szCs w:val="20"/>
          <w:lang w:val="de-AT"/>
        </w:rPr>
      </w:r>
    </w:p>
    <w:p>
      <w:pPr>
        <w:pStyle w:val="Normal"/>
        <w:rPr/>
      </w:pPr>
      <w:r>
        <w:rPr>
          <w:rFonts w:cs="Arial"/>
          <w:szCs w:val="20"/>
        </w:rPr>
        <w:t>Falls Angaben aus der Bodenkarte (Einteilung in nur 3 Klassen!) üb</w:t>
      </w:r>
      <w:r>
        <w:rPr/>
        <w:t xml:space="preserve">ernommen werden, so sind folgende Werte für </w:t>
      </w:r>
      <w:r>
        <w:rPr>
          <w:b/>
        </w:rPr>
        <w:t>Px01</w:t>
      </w:r>
      <w:r>
        <w:rPr/>
        <w:t xml:space="preserve"> zu verwenden (siehe Kuderna et al. 2000 und Codierung P115):</w:t>
      </w:r>
    </w:p>
    <w:p>
      <w:pPr>
        <w:pStyle w:val="Normal"/>
        <w:tabs>
          <w:tab w:val="left" w:pos="700" w:leader="none"/>
          <w:tab w:val="left" w:pos="3200" w:leader="none"/>
          <w:tab w:val="left" w:pos="4395" w:leader="none"/>
        </w:tabs>
        <w:rPr>
          <w:rFonts w:cs="Arial"/>
          <w:b/>
          <w:szCs w:val="20"/>
        </w:rPr>
      </w:pPr>
      <w:r>
        <w:rPr>
          <w:rFonts w:cs="Arial"/>
          <w:szCs w:val="20"/>
        </w:rPr>
        <w:tab/>
        <w:t>schwach humos (&lt;1,5%)</w:t>
        <w:tab/>
        <w:t xml:space="preserve">= Code 20 = </w:t>
        <w:tab/>
      </w:r>
      <w:r>
        <w:rPr>
          <w:rFonts w:cs="Arial"/>
          <w:b/>
          <w:szCs w:val="20"/>
        </w:rPr>
        <w:t>1,5</w:t>
      </w:r>
    </w:p>
    <w:p>
      <w:pPr>
        <w:pStyle w:val="Normal"/>
        <w:tabs>
          <w:tab w:val="left" w:pos="700" w:leader="none"/>
          <w:tab w:val="left" w:pos="3200" w:leader="none"/>
          <w:tab w:val="left" w:pos="4395" w:leader="none"/>
        </w:tabs>
        <w:rPr>
          <w:rFonts w:cs="Arial"/>
          <w:b/>
          <w:szCs w:val="20"/>
        </w:rPr>
      </w:pPr>
      <w:r>
        <w:rPr>
          <w:rFonts w:cs="Arial"/>
          <w:szCs w:val="20"/>
        </w:rPr>
        <w:tab/>
        <w:t>mittelhumos (1,5 bis 4%)</w:t>
        <w:tab/>
        <w:t xml:space="preserve">= Code 30 = </w:t>
        <w:tab/>
      </w:r>
      <w:r>
        <w:rPr>
          <w:rFonts w:cs="Arial"/>
          <w:b/>
          <w:szCs w:val="20"/>
        </w:rPr>
        <w:t>3</w:t>
      </w:r>
    </w:p>
    <w:p>
      <w:pPr>
        <w:pStyle w:val="Normal"/>
        <w:tabs>
          <w:tab w:val="left" w:pos="700" w:leader="none"/>
          <w:tab w:val="left" w:pos="3200" w:leader="none"/>
          <w:tab w:val="left" w:pos="4395" w:leader="none"/>
        </w:tabs>
        <w:rPr>
          <w:rFonts w:cs="Arial"/>
          <w:b/>
          <w:szCs w:val="20"/>
        </w:rPr>
      </w:pPr>
      <w:r>
        <w:rPr>
          <w:rFonts w:cs="Arial"/>
          <w:szCs w:val="20"/>
        </w:rPr>
        <w:tab/>
        <w:t xml:space="preserve">stark humos (&gt;4%) </w:t>
        <w:tab/>
        <w:t xml:space="preserve">= Code 40 = </w:t>
        <w:tab/>
      </w:r>
      <w:r>
        <w:rPr>
          <w:rFonts w:cs="Arial"/>
          <w:b/>
          <w:szCs w:val="20"/>
        </w:rPr>
        <w:t>6</w:t>
      </w:r>
    </w:p>
    <w:p>
      <w:pPr>
        <w:pStyle w:val="Normal"/>
        <w:tabs>
          <w:tab w:val="left" w:pos="4678" w:leader="none"/>
          <w:tab w:val="left" w:pos="4820" w:leader="none"/>
        </w:tabs>
        <w:rPr/>
      </w:pPr>
      <w:r>
        <w:rPr/>
      </w:r>
    </w:p>
    <w:p>
      <w:pPr>
        <w:pStyle w:val="Normal"/>
        <w:rPr>
          <w:b/>
        </w:rPr>
      </w:pPr>
      <w:r>
        <w:rPr>
          <w:rFonts w:cs="Arial"/>
          <w:szCs w:val="20"/>
        </w:rPr>
        <w:t>Falls in der Bodenkarte bei Bode</w:t>
      </w:r>
      <w:r>
        <w:rPr/>
        <w:t xml:space="preserve">nart „Torf“ (in verschiedenen Varianten) angegeben ist: </w:t>
      </w:r>
      <w:r>
        <w:rPr>
          <w:b/>
        </w:rPr>
        <w:t>Px01 = 50</w:t>
      </w:r>
    </w:p>
    <w:p>
      <w:pPr>
        <w:pStyle w:val="Normal"/>
        <w:rPr>
          <w:rFonts w:cs="Arial"/>
          <w:szCs w:val="20"/>
        </w:rPr>
      </w:pPr>
      <w:r>
        <w:rPr>
          <w:rFonts w:cs="Arial"/>
          <w:szCs w:val="20"/>
        </w:rPr>
      </w:r>
    </w:p>
    <w:p>
      <w:pPr>
        <w:pStyle w:val="Heading3"/>
        <w:rPr/>
      </w:pPr>
      <w:r>
        <w:rPr/>
        <w:t>Px02 -Skelettgehalt (Klassenmittelwert)</w:t>
      </w:r>
    </w:p>
    <w:p>
      <w:pPr>
        <w:pStyle w:val="Normal"/>
        <w:rPr>
          <w:i/>
        </w:rPr>
      </w:pPr>
      <w:r>
        <w:rPr>
          <w:b/>
          <w:i/>
        </w:rPr>
        <w:t>Eingangsparameter:</w:t>
      </w:r>
      <w:r>
        <w:rPr>
          <w:i/>
        </w:rPr>
        <w:t xml:space="preserve"> </w:t>
      </w:r>
    </w:p>
    <w:p>
      <w:pPr>
        <w:pStyle w:val="Normal"/>
        <w:ind w:left="142" w:right="0" w:hanging="0"/>
        <w:rPr>
          <w:i/>
        </w:rPr>
      </w:pPr>
      <w:r>
        <w:rPr>
          <w:i/>
        </w:rPr>
        <w:t xml:space="preserve">Skelettgehalt (P116 oder P117)  </w:t>
      </w:r>
    </w:p>
    <w:p>
      <w:pPr>
        <w:pStyle w:val="Normal"/>
        <w:rPr>
          <w:rFonts w:cs="Arial"/>
          <w:szCs w:val="20"/>
        </w:rPr>
      </w:pPr>
      <w:r>
        <w:rPr>
          <w:rFonts w:cs="Arial"/>
          <w:szCs w:val="20"/>
        </w:rPr>
      </w:r>
    </w:p>
    <w:p>
      <w:pPr>
        <w:pStyle w:val="Normal"/>
        <w:rPr/>
      </w:pPr>
      <w:r>
        <w:rPr>
          <w:rFonts w:cs="Arial"/>
          <w:szCs w:val="20"/>
        </w:rPr>
        <w:t>Ähnliches gilt für den Skelettgehalt, nur erfolgt hier die Speicherung eines genauen W</w:t>
      </w:r>
      <w:r>
        <w:rPr/>
        <w:t xml:space="preserve">ertes nicht unter den Messwertparametern (B) sondern im Textfeld P117. Falls der Skelettgehalt genau ermittelt und in Feld P117 gespeichert ist, gilt </w:t>
      </w:r>
      <w:r>
        <w:rPr>
          <w:b/>
        </w:rPr>
        <w:t xml:space="preserve">Px02 = </w:t>
      </w:r>
      <w:r>
        <w:rPr>
          <w:rFonts w:cs="Arial"/>
          <w:szCs w:val="20"/>
        </w:rPr>
        <w:t>(Zahlenwert aus)</w:t>
      </w:r>
      <w:r>
        <w:rPr>
          <w:rFonts w:cs="Arial"/>
          <w:b/>
          <w:szCs w:val="20"/>
        </w:rPr>
        <w:t xml:space="preserve"> </w:t>
      </w:r>
      <w:r>
        <w:rPr>
          <w:b/>
        </w:rPr>
        <w:t>P117</w:t>
      </w:r>
      <w:r>
        <w:rPr>
          <w:rFonts w:cs="Arial"/>
          <w:szCs w:val="20"/>
        </w:rPr>
        <w:t>, ansonsten wird der Skelettgehalt in Feld P116 (als Klasse) mit folgenden Zahl</w:t>
      </w:r>
      <w:r>
        <w:rPr/>
        <w:t>enwerten angesetzt:</w:t>
      </w:r>
    </w:p>
    <w:p>
      <w:pPr>
        <w:pStyle w:val="Normal"/>
        <w:rPr>
          <w:rFonts w:cs="Arial"/>
          <w:szCs w:val="20"/>
        </w:rPr>
      </w:pPr>
      <w:r>
        <w:rPr>
          <w:rFonts w:cs="Arial"/>
          <w:szCs w:val="20"/>
        </w:rPr>
      </w:r>
    </w:p>
    <w:tbl>
      <w:tblPr>
        <w:jc w:val="left"/>
        <w:tblInd w:w="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697"/>
        <w:gridCol w:w="1700"/>
        <w:gridCol w:w="1984"/>
        <w:gridCol w:w="1702"/>
      </w:tblGrid>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P116</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Skelettgehalt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Wertbereich P117</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Px02 =</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kein</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0</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199</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gering</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&gt;0 bis 10 %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5</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299</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mäßig</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&gt;10 bis 20 %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15</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399</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hoch</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&gt;20 bis 40 %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30</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499</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sehr hoch</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&gt;40 bis 80 %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60</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599</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vorwiegend</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&gt;80 %</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90</w:t>
            </w:r>
          </w:p>
        </w:tc>
      </w:tr>
    </w:tbl>
    <w:p>
      <w:pPr>
        <w:pStyle w:val="Normal"/>
        <w:rPr/>
      </w:pPr>
      <w:r>
        <w:rPr/>
      </w:r>
    </w:p>
    <w:p>
      <w:pPr>
        <w:pStyle w:val="Heading3"/>
        <w:rPr/>
      </w:pPr>
      <w:r>
        <w:rPr/>
        <w:t xml:space="preserve">Px03 und Px03a - Lagerungsdichte </w:t>
      </w:r>
    </w:p>
    <w:p>
      <w:pPr>
        <w:pStyle w:val="Normal"/>
        <w:rPr>
          <w:i/>
        </w:rPr>
      </w:pPr>
      <w:r>
        <w:rPr>
          <w:b/>
          <w:i/>
        </w:rPr>
        <w:t>Eingangsparameter:</w:t>
      </w:r>
      <w:r>
        <w:rPr>
          <w:i/>
        </w:rPr>
        <w:t xml:space="preserve"> </w:t>
      </w:r>
    </w:p>
    <w:p>
      <w:pPr>
        <w:pStyle w:val="Normal"/>
        <w:ind w:left="142" w:right="0" w:hanging="0"/>
        <w:rPr>
          <w:i/>
        </w:rPr>
      </w:pPr>
      <w:r>
        <w:rPr>
          <w:i/>
        </w:rPr>
        <w:t xml:space="preserve">Lagerungsdichte (P162 oder B210) </w:t>
      </w:r>
    </w:p>
    <w:p>
      <w:pPr>
        <w:pStyle w:val="Normal"/>
        <w:ind w:left="142" w:right="0" w:hanging="0"/>
        <w:rPr>
          <w:i/>
        </w:rPr>
      </w:pPr>
      <w:r>
        <w:rPr>
          <w:i/>
        </w:rPr>
        <w:tab/>
        <w:t>oder:</w:t>
      </w:r>
    </w:p>
    <w:p>
      <w:pPr>
        <w:pStyle w:val="Normal"/>
        <w:ind w:left="142" w:right="0" w:hanging="0"/>
        <w:rPr>
          <w:i/>
        </w:rPr>
      </w:pPr>
      <w:r>
        <w:rPr>
          <w:i/>
        </w:rPr>
        <w:t xml:space="preserve">Primär-Bodenstruktur (P128), </w:t>
      </w:r>
    </w:p>
    <w:p>
      <w:pPr>
        <w:pStyle w:val="Normal"/>
        <w:ind w:left="142" w:right="0" w:hanging="0"/>
        <w:rPr>
          <w:i/>
        </w:rPr>
      </w:pPr>
      <w:r>
        <w:rPr>
          <w:i/>
        </w:rPr>
        <w:t xml:space="preserve">Deutlichkeit der Aggregatbildung (P129) </w:t>
      </w:r>
    </w:p>
    <w:p>
      <w:pPr>
        <w:pStyle w:val="Normal"/>
        <w:ind w:left="142" w:right="0" w:hanging="0"/>
        <w:rPr>
          <w:i/>
        </w:rPr>
      </w:pPr>
      <w:r>
        <w:rPr>
          <w:i/>
        </w:rPr>
        <w:t xml:space="preserve">Größe der Aggregate (P130) </w:t>
      </w:r>
    </w:p>
    <w:p>
      <w:pPr>
        <w:pStyle w:val="Normal"/>
        <w:rPr>
          <w:rFonts w:cs="Arial"/>
          <w:szCs w:val="20"/>
        </w:rPr>
      </w:pPr>
      <w:r>
        <w:rPr>
          <w:rFonts w:cs="Arial"/>
          <w:szCs w:val="20"/>
        </w:rPr>
      </w:r>
    </w:p>
    <w:p>
      <w:pPr>
        <w:pStyle w:val="Normal"/>
        <w:jc w:val="both"/>
        <w:rPr/>
      </w:pPr>
      <w:r>
        <w:rPr>
          <w:rFonts w:cs="Arial"/>
          <w:szCs w:val="20"/>
        </w:rPr>
        <w:t>Falls Feld</w:t>
      </w:r>
      <w:r>
        <w:rPr>
          <w:rFonts w:cs="Arial"/>
          <w:b/>
          <w:szCs w:val="20"/>
        </w:rPr>
        <w:t xml:space="preserve"> B210</w:t>
      </w:r>
      <w:r>
        <w:rPr>
          <w:rFonts w:cs="Arial"/>
          <w:szCs w:val="20"/>
        </w:rPr>
        <w:t xml:space="preserve"> besetzt ist, wird diese Angabe für den in Px03a gespeicherten Zahlenwert direkt übernommen (</w:t>
      </w:r>
      <w:r>
        <w:rPr>
          <w:rFonts w:cs="Arial"/>
          <w:b/>
          <w:szCs w:val="20"/>
        </w:rPr>
        <w:t>Px03a = B210</w:t>
      </w:r>
      <w:r>
        <w:rPr>
          <w:rFonts w:cs="Arial"/>
          <w:szCs w:val="20"/>
        </w:rPr>
        <w:t>) und in Px03 in die benöt</w:t>
      </w:r>
      <w:r>
        <w:rPr/>
        <w:t xml:space="preserve">igten Klassen (Ld1-5) </w:t>
      </w:r>
      <w:r>
        <w:rPr>
          <w:rFonts w:cs="Arial"/>
          <w:szCs w:val="20"/>
        </w:rPr>
        <w:t xml:space="preserve">zur Ermittlung von nFK, LK, kf-Wert usw. </w:t>
      </w:r>
      <w:r>
        <w:rPr/>
        <w:t>umgesetzt (Eisenhut 1990, Kuderna et al. 2000). Sollte die Bestimmung der Lagerungsdichte nicht im Labor sondern nur näherungsweise im Feld erfolgt sein, so werden Px03 und Px03a anhand folgenden Schlüssels gesetzt:</w:t>
      </w:r>
    </w:p>
    <w:p>
      <w:pPr>
        <w:pStyle w:val="Normal"/>
        <w:rPr>
          <w:rFonts w:cs="Arial"/>
          <w:szCs w:val="20"/>
        </w:rPr>
      </w:pPr>
      <w:r>
        <w:rPr>
          <w:rFonts w:cs="Arial"/>
          <w:szCs w:val="20"/>
        </w:rPr>
      </w:r>
    </w:p>
    <w:tbl>
      <w:tblPr>
        <w:jc w:val="left"/>
        <w:tblInd w:w="9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415"/>
        <w:gridCol w:w="1984"/>
        <w:gridCol w:w="1984"/>
        <w:gridCol w:w="1700"/>
        <w:gridCol w:w="1708"/>
      </w:tblGrid>
      <w:tr>
        <w:trPr>
          <w:trHeight w:val="230" w:hRule="atLeast"/>
          <w:cantSplit w:val="false"/>
        </w:trPr>
        <w:tc>
          <w:tcPr>
            <w:tcW w:w="14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berschrift"/>
              <w:spacing w:before="120" w:after="60"/>
              <w:rPr/>
            </w:pPr>
            <w:r>
              <w:rPr/>
              <w:t>Code P162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berschrift"/>
              <w:spacing w:before="120" w:after="60"/>
              <w:rPr/>
            </w:pPr>
            <w:r>
              <w:rPr/>
              <w:t>Dichtekategorie</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berschrift"/>
              <w:spacing w:before="120" w:after="60"/>
              <w:rPr/>
            </w:pPr>
            <w:r>
              <w:rPr/>
              <w:t>Wertbereich B210</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berschrift"/>
              <w:spacing w:before="120" w:after="60"/>
              <w:rPr/>
            </w:pPr>
            <w:r>
              <w:rPr/>
              <w:t>Px03a [g/cm³] =</w:t>
            </w:r>
          </w:p>
        </w:tc>
        <w:tc>
          <w:tcPr>
            <w:tcW w:w="17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berschrift"/>
              <w:spacing w:before="120" w:after="60"/>
              <w:rPr/>
            </w:pPr>
            <w:r>
              <w:rPr/>
              <w:t>Px03=</w:t>
            </w:r>
          </w:p>
        </w:tc>
      </w:tr>
      <w:tr>
        <w:trPr>
          <w:trHeight w:val="230" w:hRule="atLeast"/>
          <w:cantSplit w:val="false"/>
        </w:trPr>
        <w:tc>
          <w:tcPr>
            <w:tcW w:w="14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10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lose / sehr locker</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&lt;1,2 g/cm³</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b/>
              </w:rPr>
            </w:pPr>
            <w:r>
              <w:rPr>
                <w:b/>
              </w:rPr>
              <w:t>1,0</w:t>
            </w:r>
          </w:p>
        </w:tc>
        <w:tc>
          <w:tcPr>
            <w:tcW w:w="17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Ld1</w:t>
            </w:r>
          </w:p>
        </w:tc>
      </w:tr>
      <w:tr>
        <w:trPr>
          <w:trHeight w:val="230" w:hRule="atLeast"/>
          <w:cantSplit w:val="false"/>
        </w:trPr>
        <w:tc>
          <w:tcPr>
            <w:tcW w:w="14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20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locker</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1,2 bis &lt;1,4 g/cm³</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b/>
              </w:rPr>
            </w:pPr>
            <w:r>
              <w:rPr>
                <w:b/>
              </w:rPr>
              <w:t>1,3</w:t>
            </w:r>
          </w:p>
        </w:tc>
        <w:tc>
          <w:tcPr>
            <w:tcW w:w="17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Ld2</w:t>
            </w:r>
          </w:p>
        </w:tc>
      </w:tr>
      <w:tr>
        <w:trPr>
          <w:trHeight w:val="230" w:hRule="atLeast"/>
          <w:cantSplit w:val="false"/>
        </w:trPr>
        <w:tc>
          <w:tcPr>
            <w:tcW w:w="14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30, 40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normal / mittel / schwach dicht</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1,4 bis &lt;1,7 g/cm³</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b/>
              </w:rPr>
            </w:pPr>
            <w:r>
              <w:rPr>
                <w:b/>
              </w:rPr>
              <w:t>1,55</w:t>
            </w:r>
          </w:p>
        </w:tc>
        <w:tc>
          <w:tcPr>
            <w:tcW w:w="17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Ld3</w:t>
            </w:r>
          </w:p>
        </w:tc>
      </w:tr>
      <w:tr>
        <w:trPr>
          <w:trHeight w:val="230" w:hRule="atLeast"/>
          <w:cantSplit w:val="false"/>
        </w:trPr>
        <w:tc>
          <w:tcPr>
            <w:tcW w:w="14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50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pPr>
            <w:r>
              <w:rPr>
                <w:rFonts w:cs="Arial"/>
                <w:szCs w:val="20"/>
              </w:rPr>
              <w:t>di</w:t>
            </w:r>
            <w:r>
              <w:rPr/>
              <w:t>cht</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1,7 bis 1,9 g/cm³</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b/>
              </w:rPr>
            </w:pPr>
            <w:r>
              <w:rPr>
                <w:b/>
              </w:rPr>
              <w:t>1,8</w:t>
            </w:r>
          </w:p>
        </w:tc>
        <w:tc>
          <w:tcPr>
            <w:tcW w:w="17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Ld4</w:t>
            </w:r>
          </w:p>
        </w:tc>
      </w:tr>
      <w:tr>
        <w:trPr>
          <w:trHeight w:val="230" w:hRule="atLeast"/>
          <w:cantSplit w:val="false"/>
        </w:trPr>
        <w:tc>
          <w:tcPr>
            <w:tcW w:w="141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60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sehr dicht</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&gt;1,9 g/cm³</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b/>
              </w:rPr>
            </w:pPr>
            <w:r>
              <w:rPr>
                <w:b/>
              </w:rPr>
              <w:t>2,0</w:t>
            </w:r>
          </w:p>
        </w:tc>
        <w:tc>
          <w:tcPr>
            <w:tcW w:w="170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Ld5</w:t>
            </w:r>
          </w:p>
        </w:tc>
      </w:tr>
    </w:tbl>
    <w:p>
      <w:pPr>
        <w:pStyle w:val="Normal"/>
        <w:rPr/>
      </w:pPr>
      <w:r>
        <w:rPr/>
      </w:r>
    </w:p>
    <w:p>
      <w:pPr>
        <w:pStyle w:val="Normal"/>
        <w:jc w:val="both"/>
        <w:rPr/>
      </w:pPr>
      <w:r>
        <w:rPr>
          <w:rFonts w:cs="Arial"/>
          <w:szCs w:val="20"/>
        </w:rPr>
        <w:t xml:space="preserve">Falls P162 und B210 nicht besetzt sind, was z.B. bei der Bearbeitung von Profilbeschrieben der Bodenkarte der Fall ist, kann die Lagerungsdichte </w:t>
      </w:r>
      <w:r>
        <w:rPr/>
        <w:t xml:space="preserve">gemäß Kuderna et al. (2000: 8f.) </w:t>
      </w:r>
      <w:r>
        <w:rPr>
          <w:rFonts w:cs="Arial"/>
          <w:szCs w:val="20"/>
        </w:rPr>
        <w:t>näherungsweise aus der Struktur abgeleitet werden (Felder P128, P12</w:t>
      </w:r>
      <w:r>
        <w:rPr/>
        <w:t xml:space="preserve">9, P130). </w:t>
      </w:r>
    </w:p>
    <w:p>
      <w:pPr>
        <w:pStyle w:val="Normal"/>
        <w:jc w:val="both"/>
        <w:rPr>
          <w:b/>
        </w:rPr>
      </w:pPr>
      <w:r>
        <w:rPr>
          <w:b/>
        </w:rPr>
        <w:t>Diese Variante ist nicht im digitalen Bewertungssystem umgesetzt und muss daher manuell durchgeführt werden!</w:t>
      </w:r>
    </w:p>
    <w:p>
      <w:pPr>
        <w:pStyle w:val="Normal"/>
        <w:rPr/>
      </w:pPr>
      <w:r>
        <w:rPr/>
      </w:r>
    </w:p>
    <w:p>
      <w:pPr>
        <w:pStyle w:val="Heading3"/>
        <w:rPr/>
      </w:pPr>
      <w:r>
        <w:rPr/>
      </w:r>
    </w:p>
    <w:p>
      <w:pPr>
        <w:pStyle w:val="Heading3"/>
        <w:rPr/>
      </w:pPr>
      <w:r>
        <w:rPr/>
      </w:r>
    </w:p>
    <w:p>
      <w:pPr>
        <w:pStyle w:val="Heading3"/>
        <w:rPr/>
      </w:pPr>
      <w:r>
        <w:rPr/>
        <w:drawing>
          <wp:anchor behindDoc="0" distT="0" distB="0" distL="114300" distR="114300" simplePos="0" locked="0" layoutInCell="1" allowOverlap="1" relativeHeight="1">
            <wp:simplePos x="0" y="0"/>
            <wp:positionH relativeFrom="column">
              <wp:posOffset>0</wp:posOffset>
            </wp:positionH>
            <wp:positionV relativeFrom="paragraph">
              <wp:posOffset>-5715</wp:posOffset>
            </wp:positionV>
            <wp:extent cx="4401185" cy="566166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01185" cy="5661660"/>
                    </a:xfrm>
                    <a:prstGeom prst="rect">
                      <a:avLst/>
                    </a:prstGeom>
                    <a:noFill/>
                    <a:ln w="9525">
                      <a:noFill/>
                      <a:miter lim="800000"/>
                      <a:headEnd/>
                      <a:tailEnd/>
                    </a:ln>
                  </pic:spPr>
                </pic:pic>
              </a:graphicData>
            </a:graphic>
          </wp:anchor>
        </w:drawing>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drawing>
          <wp:anchor behindDoc="0" distT="0" distB="0" distL="114300" distR="114300" simplePos="0" locked="0" layoutInCell="1" allowOverlap="1" relativeHeight="0">
            <wp:simplePos x="0" y="0"/>
            <wp:positionH relativeFrom="column">
              <wp:posOffset>-42545</wp:posOffset>
            </wp:positionH>
            <wp:positionV relativeFrom="paragraph">
              <wp:posOffset>220980</wp:posOffset>
            </wp:positionV>
            <wp:extent cx="3093720" cy="174752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093720" cy="1747520"/>
                    </a:xfrm>
                    <a:prstGeom prst="rect">
                      <a:avLst/>
                    </a:prstGeom>
                    <a:noFill/>
                    <a:ln w="9525">
                      <a:noFill/>
                      <a:miter lim="800000"/>
                      <a:headEnd/>
                      <a:tailEnd/>
                    </a:ln>
                  </pic:spPr>
                </pic:pic>
              </a:graphicData>
            </a:graphic>
          </wp:anchor>
        </w:drawing>
      </w:r>
    </w:p>
    <w:p>
      <w:pPr>
        <w:pStyle w:val="Heading3"/>
        <w:rPr/>
      </w:pPr>
      <w:r>
        <w:rPr/>
      </w:r>
    </w:p>
    <w:p>
      <w:pPr>
        <w:pStyle w:val="Heading3"/>
        <w:rPr/>
      </w:pPr>
      <w:r>
        <w:rPr/>
      </w:r>
    </w:p>
    <w:p>
      <w:pPr>
        <w:pStyle w:val="Heading3"/>
        <w:pageBreakBefore/>
        <w:rPr/>
      </w:pPr>
      <w:r>
        <w:rPr/>
        <w:t>Px04 - Feinbodenmenge</w:t>
      </w:r>
    </w:p>
    <w:p>
      <w:pPr>
        <w:pStyle w:val="Normal"/>
        <w:rPr>
          <w:i/>
        </w:rPr>
      </w:pPr>
      <w:bookmarkStart w:id="0" w:name="OLE_LINK1"/>
      <w:bookmarkStart w:id="1" w:name="OLE_LINK2"/>
      <w:bookmarkEnd w:id="0"/>
      <w:bookmarkEnd w:id="1"/>
      <w:r>
        <w:rPr>
          <w:b/>
          <w:i/>
        </w:rPr>
        <w:t>Eingangsparameter:</w:t>
      </w:r>
      <w:r>
        <w:rPr>
          <w:i/>
        </w:rPr>
        <w:t xml:space="preserve"> </w:t>
      </w:r>
    </w:p>
    <w:p>
      <w:pPr>
        <w:pStyle w:val="Normal"/>
        <w:ind w:left="142" w:right="0" w:hanging="0"/>
        <w:rPr>
          <w:i/>
        </w:rPr>
      </w:pPr>
      <w:r>
        <w:rPr>
          <w:i/>
        </w:rPr>
        <w:t>Horizontmächtigkeit</w:t>
      </w:r>
    </w:p>
    <w:p>
      <w:pPr>
        <w:pStyle w:val="Normal"/>
        <w:ind w:left="142" w:right="0" w:hanging="0"/>
        <w:rPr>
          <w:i/>
        </w:rPr>
      </w:pPr>
      <w:r>
        <w:rPr>
          <w:i/>
        </w:rPr>
        <w:t>Skelettgehalt (Px02)</w:t>
      </w:r>
    </w:p>
    <w:p>
      <w:pPr>
        <w:pStyle w:val="Normal"/>
        <w:ind w:left="142" w:right="0" w:hanging="0"/>
        <w:rPr>
          <w:i/>
        </w:rPr>
      </w:pPr>
      <w:r>
        <w:rPr>
          <w:i/>
        </w:rPr>
        <w:t>Lagerungsdichte (Px03a)</w:t>
      </w:r>
    </w:p>
    <w:p>
      <w:pPr>
        <w:pStyle w:val="Normal"/>
        <w:rPr/>
      </w:pPr>
      <w:r>
        <w:rPr/>
      </w:r>
    </w:p>
    <w:p>
      <w:pPr>
        <w:pStyle w:val="Normal"/>
        <w:rPr>
          <w:rFonts w:cs="Arial"/>
          <w:szCs w:val="20"/>
          <w:lang w:val="de-AT"/>
        </w:rPr>
      </w:pPr>
      <w:r>
        <w:rPr>
          <w:rFonts w:cs="Arial"/>
          <w:szCs w:val="20"/>
          <w:lang w:val="de-AT"/>
        </w:rPr>
        <w:t>Berechnung der Gesamtmenge an Feinboden für jeden Horizont:</w:t>
      </w:r>
    </w:p>
    <w:p>
      <w:pPr>
        <w:pStyle w:val="Normal"/>
        <w:ind w:left="2100" w:right="0" w:hanging="1400"/>
        <w:rPr>
          <w:b/>
        </w:rPr>
      </w:pPr>
      <w:r>
        <w:rPr>
          <w:b/>
        </w:rPr>
        <w:t xml:space="preserve">Px04 [kg/m²] = Lagerungsdichte [g/cm³] </w:t>
      </w:r>
      <w:r>
        <w:rPr>
          <w:b/>
          <w:i/>
        </w:rPr>
        <w:t>(Px03a)</w:t>
      </w:r>
      <w:r>
        <w:rPr>
          <w:b/>
        </w:rPr>
        <w:t xml:space="preserve"> * Mächtigkeit [cm] * 10 * (100 - SK% </w:t>
      </w:r>
      <w:r>
        <w:rPr>
          <w:b/>
          <w:i/>
        </w:rPr>
        <w:t>(Px02))</w:t>
      </w:r>
      <w:r>
        <w:rPr>
          <w:b/>
        </w:rPr>
        <w:t xml:space="preserve"> / 100 </w:t>
      </w:r>
    </w:p>
    <w:p>
      <w:pPr>
        <w:pStyle w:val="Normal"/>
        <w:rPr/>
      </w:pPr>
      <w:bookmarkStart w:id="2" w:name="OLE_LINK11"/>
      <w:bookmarkStart w:id="3" w:name="OLE_LINK21"/>
      <w:bookmarkStart w:id="4" w:name="OLE_LINK11"/>
      <w:bookmarkStart w:id="5" w:name="OLE_LINK21"/>
      <w:bookmarkEnd w:id="4"/>
      <w:bookmarkEnd w:id="5"/>
      <w:r>
        <w:rPr/>
      </w:r>
    </w:p>
    <w:p>
      <w:pPr>
        <w:pStyle w:val="Normal"/>
        <w:rPr>
          <w:b/>
        </w:rPr>
      </w:pPr>
      <w:r>
        <w:rPr>
          <w:b/>
        </w:rPr>
        <w:tab/>
        <w:t>FB</w:t>
      </w:r>
      <w:r>
        <w:rPr>
          <w:b/>
          <w:vertAlign w:val="subscript"/>
        </w:rPr>
        <w:t>ges</w:t>
      </w:r>
      <w:r>
        <w:rPr>
          <w:b/>
        </w:rPr>
        <w:t xml:space="preserve"> [kg/m</w:t>
      </w:r>
      <w:r>
        <w:rPr>
          <w:b/>
          <w:vertAlign w:val="superscript"/>
        </w:rPr>
        <w:t>3</w:t>
      </w:r>
      <w:r>
        <w:rPr>
          <w:b/>
        </w:rPr>
        <w:t>] (Sx01) = Summe der Px04 für das gesamte Profil</w:t>
      </w:r>
    </w:p>
    <w:p>
      <w:pPr>
        <w:pStyle w:val="Normal"/>
        <w:rPr/>
      </w:pPr>
      <w:r>
        <w:rPr/>
      </w:r>
    </w:p>
    <w:p>
      <w:pPr>
        <w:pStyle w:val="Heading3"/>
        <w:rPr/>
      </w:pPr>
      <w:r>
        <w:rPr/>
      </w:r>
    </w:p>
    <w:p>
      <w:pPr>
        <w:pStyle w:val="Heading3"/>
        <w:rPr/>
      </w:pPr>
      <w:r>
        <w:rPr/>
        <w:t>Px05 - Tonmenge</w:t>
      </w:r>
    </w:p>
    <w:p>
      <w:pPr>
        <w:pStyle w:val="Normal"/>
        <w:rPr>
          <w:i/>
        </w:rPr>
      </w:pPr>
      <w:r>
        <w:rPr>
          <w:b/>
          <w:i/>
        </w:rPr>
        <w:t>Eingangsparameter:</w:t>
      </w:r>
      <w:r>
        <w:rPr>
          <w:i/>
        </w:rPr>
        <w:t xml:space="preserve"> </w:t>
      </w:r>
    </w:p>
    <w:p>
      <w:pPr>
        <w:pStyle w:val="Normal"/>
        <w:ind w:left="142" w:right="0" w:hanging="0"/>
        <w:rPr>
          <w:i/>
        </w:rPr>
      </w:pPr>
      <w:r>
        <w:rPr>
          <w:i/>
        </w:rPr>
        <w:t>Tongehalt (B200 oder Ableitung aus B209 oder P140)</w:t>
      </w:r>
    </w:p>
    <w:p>
      <w:pPr>
        <w:pStyle w:val="Normal"/>
        <w:ind w:left="142" w:right="0" w:hanging="0"/>
        <w:rPr>
          <w:i/>
        </w:rPr>
      </w:pPr>
      <w:r>
        <w:rPr>
          <w:i/>
        </w:rPr>
        <w:t>Feinbodenmenge (Px04)</w:t>
      </w:r>
    </w:p>
    <w:p>
      <w:pPr>
        <w:pStyle w:val="Normal"/>
        <w:rPr>
          <w:i/>
        </w:rPr>
      </w:pPr>
      <w:r>
        <w:rPr>
          <w:i/>
        </w:rPr>
      </w:r>
    </w:p>
    <w:p>
      <w:pPr>
        <w:pStyle w:val="Normal"/>
        <w:jc w:val="both"/>
        <w:rPr/>
      </w:pPr>
      <w:bookmarkStart w:id="6" w:name="OLE_LINK3"/>
      <w:bookmarkStart w:id="7" w:name="OLE_LINK4"/>
      <w:r>
        <w:rPr>
          <w:rFonts w:cs="Arial"/>
          <w:szCs w:val="20"/>
        </w:rPr>
        <w:t>F</w:t>
      </w:r>
      <w:r>
        <w:rPr>
          <w:rFonts w:cs="Arial"/>
          <w:szCs w:val="20"/>
          <w:lang w:val="de-AT"/>
        </w:rPr>
        <w:t>alls der Tongehalt im Labor genau ermittelt wurde, ist dieser Wert heran zu ziehe</w:t>
      </w:r>
      <w:r>
        <w:rPr/>
        <w:t xml:space="preserve">n </w:t>
      </w:r>
      <w:r>
        <w:rPr>
          <w:rFonts w:cs="Arial"/>
          <w:szCs w:val="20"/>
          <w:lang w:val="de-AT"/>
        </w:rPr>
        <w:t>(</w:t>
      </w:r>
      <w:r>
        <w:rPr>
          <w:rFonts w:cs="Arial"/>
          <w:b/>
          <w:szCs w:val="20"/>
          <w:lang w:val="de-AT"/>
        </w:rPr>
        <w:t>B200</w:t>
      </w:r>
      <w:r>
        <w:rPr>
          <w:rFonts w:cs="Arial"/>
          <w:szCs w:val="20"/>
          <w:lang w:val="de-AT"/>
        </w:rPr>
        <w:t>)</w:t>
      </w:r>
      <w:r>
        <w:rPr/>
        <w:t xml:space="preserve">, ansonsten </w:t>
      </w:r>
      <w:bookmarkEnd w:id="6"/>
      <w:bookmarkEnd w:id="7"/>
      <w:r>
        <w:rPr/>
        <w:t>kann der Tongehalt näherungsweise nach folgender Tabelle aus der Bodenart (per Messung im Labor: B209, per Fingerprobe im Gelände: P140) abgeleitet werden:</w:t>
      </w:r>
    </w:p>
    <w:p>
      <w:pPr>
        <w:pStyle w:val="Normal"/>
        <w:rPr/>
      </w:pPr>
      <w:r>
        <w:rPr/>
      </w:r>
    </w:p>
    <w:tbl>
      <w:tblPr>
        <w:jc w:val="left"/>
        <w:tblInd w:w="9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700"/>
        <w:gridCol w:w="1984"/>
        <w:gridCol w:w="1700"/>
        <w:gridCol w:w="1702"/>
      </w:tblGrid>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berschrift"/>
              <w:spacing w:before="120" w:after="60"/>
              <w:rPr/>
            </w:pPr>
            <w:r>
              <w:rPr/>
              <w:t>Code P140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berschrift"/>
              <w:spacing w:before="120" w:after="60"/>
              <w:rPr/>
            </w:pPr>
            <w:r>
              <w:rPr/>
              <w:t>Bodenart</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berschrift"/>
              <w:spacing w:before="120" w:after="60"/>
              <w:rPr/>
            </w:pPr>
            <w:r>
              <w:rPr/>
              <w:t>Kürzel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berschrift"/>
              <w:spacing w:before="120" w:after="60"/>
              <w:rPr/>
            </w:pPr>
            <w:r>
              <w:rPr/>
              <w:t>Ton%=</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101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2,5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121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schluffiger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uS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2,5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212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sandiger 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sU</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7,5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202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U</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10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231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lehmiger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10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332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lehmiger 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lU</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20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341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toniger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tS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20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313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sandiger 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20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423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schluffiger 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uL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30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403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30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414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sandiger 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sT</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30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534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lehmiger 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lT</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45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504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T</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70</w:t>
            </w:r>
          </w:p>
        </w:tc>
      </w:tr>
    </w:tbl>
    <w:p>
      <w:pPr>
        <w:pStyle w:val="Bildunterschrift"/>
        <w:rPr/>
      </w:pPr>
      <w:r>
        <w:rPr/>
        <w:t>Quelle: eigene Zuordnung aus Mittelwerten der (analysierten) Korngrößenverteilung aus der Bodenkarte Kufstein (KB 211 und 198) und Körnungsdiagramm Österreich (Geologischer Dienst NRW, http://www.gd.nrw.de/l_bartaut.htm, 16.7.2009)</w:t>
      </w:r>
    </w:p>
    <w:p>
      <w:pPr>
        <w:pStyle w:val="Normal"/>
        <w:rPr/>
      </w:pPr>
      <w:r>
        <w:rPr/>
      </w:r>
    </w:p>
    <w:p>
      <w:pPr>
        <w:pStyle w:val="Normal"/>
        <w:jc w:val="both"/>
        <w:rPr>
          <w:rFonts w:cs="Arial"/>
          <w:szCs w:val="20"/>
        </w:rPr>
      </w:pPr>
      <w:r>
        <w:rPr>
          <w:rFonts w:cs="Arial"/>
          <w:szCs w:val="20"/>
          <w:lang w:val="de-AT"/>
        </w:rPr>
        <w:t xml:space="preserve">Sollten, wie z.B. bei der Bodenkarte möglich, für einen Horizont 2 Bodenarten angegeben sein, wird der Mittelwert berechnet: </w:t>
      </w:r>
      <w:r>
        <w:rPr>
          <w:rFonts w:cs="Arial"/>
          <w:szCs w:val="20"/>
        </w:rPr>
        <w:t>z.B. lS/SL=15, sU/lU=5 usw.</w:t>
      </w:r>
    </w:p>
    <w:p>
      <w:pPr>
        <w:pStyle w:val="Normal"/>
        <w:rPr>
          <w:rFonts w:cs="Arial"/>
          <w:szCs w:val="20"/>
        </w:rPr>
      </w:pPr>
      <w:r>
        <w:rPr>
          <w:rFonts w:cs="Arial"/>
          <w:szCs w:val="20"/>
        </w:rPr>
      </w:r>
    </w:p>
    <w:p>
      <w:pPr>
        <w:pStyle w:val="Normal"/>
        <w:rPr>
          <w:rFonts w:cs="Arial"/>
          <w:szCs w:val="20"/>
          <w:lang w:val="de-AT"/>
        </w:rPr>
      </w:pPr>
      <w:r>
        <w:rPr>
          <w:rFonts w:cs="Arial"/>
          <w:szCs w:val="20"/>
          <w:lang w:val="de-AT"/>
        </w:rPr>
      </w:r>
    </w:p>
    <w:p>
      <w:pPr>
        <w:pStyle w:val="Normal"/>
        <w:rPr/>
      </w:pPr>
      <w:r>
        <w:rPr>
          <w:rFonts w:cs="Arial"/>
          <w:szCs w:val="20"/>
          <w:lang w:val="de-AT"/>
        </w:rPr>
        <w:t>Berechnung d</w:t>
      </w:r>
      <w:r>
        <w:rPr/>
        <w:t>er Gesamtmenge an Ton (=Korngröße &lt;2 µm) für jeden Horizont:</w:t>
      </w:r>
    </w:p>
    <w:p>
      <w:pPr>
        <w:pStyle w:val="Normal"/>
        <w:rPr>
          <w:b/>
        </w:rPr>
      </w:pPr>
      <w:r>
        <w:rPr>
          <w:b/>
        </w:rPr>
        <w:tab/>
        <w:t xml:space="preserve">Px05 [kg/m²] = FB [kg/m²] </w:t>
      </w:r>
      <w:r>
        <w:rPr>
          <w:b/>
          <w:i/>
        </w:rPr>
        <w:t>(Px04)</w:t>
      </w:r>
      <w:r>
        <w:rPr>
          <w:b/>
        </w:rPr>
        <w:t xml:space="preserve"> * Tongehalt / 100 [%] (</w:t>
      </w:r>
      <w:r>
        <w:rPr>
          <w:b/>
          <w:i/>
        </w:rPr>
        <w:t>B200 oder Ton% lt. Tabelle</w:t>
      </w:r>
      <w:r>
        <w:rPr>
          <w:b/>
        </w:rPr>
        <w:t>)</w:t>
      </w:r>
    </w:p>
    <w:p>
      <w:pPr>
        <w:pStyle w:val="Normal"/>
        <w:rPr>
          <w:b/>
        </w:rPr>
      </w:pPr>
      <w:r>
        <w:rPr>
          <w:b/>
        </w:rPr>
      </w:r>
    </w:p>
    <w:p>
      <w:pPr>
        <w:pStyle w:val="Normal"/>
        <w:rPr>
          <w:b/>
        </w:rPr>
      </w:pPr>
      <w:r>
        <w:rPr>
          <w:b/>
        </w:rPr>
        <w:tab/>
        <w:t>TM</w:t>
      </w:r>
      <w:r>
        <w:rPr>
          <w:b/>
          <w:vertAlign w:val="subscript"/>
        </w:rPr>
        <w:t>ges</w:t>
      </w:r>
      <w:r>
        <w:rPr>
          <w:b/>
        </w:rPr>
        <w:t xml:space="preserve"> [kg/m</w:t>
      </w:r>
      <w:r>
        <w:rPr>
          <w:b/>
          <w:vertAlign w:val="superscript"/>
        </w:rPr>
        <w:t>3</w:t>
      </w:r>
      <w:r>
        <w:rPr>
          <w:b/>
        </w:rPr>
        <w:t>] (Sx02) = Summe der Px05 für das gesamte Profil</w:t>
      </w:r>
    </w:p>
    <w:p>
      <w:pPr>
        <w:pStyle w:val="Normal"/>
        <w:rPr/>
      </w:pPr>
      <w:r>
        <w:rPr/>
      </w:r>
    </w:p>
    <w:p>
      <w:pPr>
        <w:pStyle w:val="Heading3"/>
        <w:rPr/>
      </w:pPr>
      <w:r>
        <w:rPr/>
        <w:t>Px06 - Humusmenge</w:t>
      </w:r>
    </w:p>
    <w:p>
      <w:pPr>
        <w:pStyle w:val="Normal"/>
        <w:rPr>
          <w:i/>
        </w:rPr>
      </w:pPr>
      <w:r>
        <w:rPr>
          <w:b/>
          <w:i/>
        </w:rPr>
        <w:t>Eingangsparameter:</w:t>
      </w:r>
      <w:r>
        <w:rPr>
          <w:i/>
        </w:rPr>
        <w:t xml:space="preserve"> </w:t>
      </w:r>
    </w:p>
    <w:p>
      <w:pPr>
        <w:pStyle w:val="Normal"/>
        <w:ind w:left="142" w:right="0" w:hanging="0"/>
        <w:rPr>
          <w:i/>
        </w:rPr>
      </w:pPr>
      <w:r>
        <w:rPr>
          <w:i/>
        </w:rPr>
        <w:t>Humusgehalt (Px01)</w:t>
      </w:r>
    </w:p>
    <w:p>
      <w:pPr>
        <w:pStyle w:val="Normal"/>
        <w:ind w:left="142" w:right="0" w:hanging="0"/>
        <w:rPr>
          <w:i/>
        </w:rPr>
      </w:pPr>
      <w:r>
        <w:rPr>
          <w:i/>
        </w:rPr>
        <w:t>Feinbodenmenge (Px04)</w:t>
      </w:r>
    </w:p>
    <w:p>
      <w:pPr>
        <w:pStyle w:val="Normal"/>
        <w:rPr/>
      </w:pPr>
      <w:r>
        <w:rPr/>
      </w:r>
    </w:p>
    <w:p>
      <w:pPr>
        <w:pStyle w:val="Normal"/>
        <w:rPr>
          <w:rFonts w:cs="Arial"/>
          <w:szCs w:val="20"/>
          <w:lang w:val="de-AT"/>
        </w:rPr>
      </w:pPr>
      <w:r>
        <w:rPr>
          <w:rFonts w:cs="Arial"/>
          <w:szCs w:val="20"/>
          <w:lang w:val="de-AT"/>
        </w:rPr>
        <w:t>Berechnung der Gesamtmenge an Humus für jeden Horizont:</w:t>
      </w:r>
    </w:p>
    <w:p>
      <w:pPr>
        <w:pStyle w:val="Normal"/>
        <w:rPr>
          <w:b/>
          <w:i/>
        </w:rPr>
      </w:pPr>
      <w:r>
        <w:rPr>
          <w:b/>
        </w:rPr>
        <w:tab/>
        <w:t xml:space="preserve">Px06 [kg/m²] = FB [kg/m²] </w:t>
      </w:r>
      <w:r>
        <w:rPr>
          <w:b/>
          <w:i/>
        </w:rPr>
        <w:t xml:space="preserve">(Px04) </w:t>
      </w:r>
      <w:r>
        <w:rPr>
          <w:b/>
        </w:rPr>
        <w:t xml:space="preserve">* Humusgehalt [%] </w:t>
      </w:r>
      <w:r>
        <w:rPr>
          <w:b/>
          <w:i/>
        </w:rPr>
        <w:t>(Px01) / 100</w:t>
      </w:r>
    </w:p>
    <w:p>
      <w:pPr>
        <w:pStyle w:val="Normal"/>
        <w:rPr>
          <w:b/>
        </w:rPr>
      </w:pPr>
      <w:r>
        <w:rPr>
          <w:b/>
        </w:rPr>
      </w:r>
    </w:p>
    <w:p>
      <w:pPr>
        <w:pStyle w:val="Normal"/>
        <w:rPr>
          <w:b/>
        </w:rPr>
      </w:pPr>
      <w:r>
        <w:rPr>
          <w:b/>
        </w:rPr>
        <w:tab/>
        <w:t>HM</w:t>
      </w:r>
      <w:r>
        <w:rPr>
          <w:b/>
          <w:vertAlign w:val="subscript"/>
        </w:rPr>
        <w:t>ges</w:t>
      </w:r>
      <w:r>
        <w:rPr>
          <w:b/>
        </w:rPr>
        <w:t xml:space="preserve"> [kg/m</w:t>
      </w:r>
      <w:r>
        <w:rPr>
          <w:b/>
          <w:vertAlign w:val="superscript"/>
        </w:rPr>
        <w:t>3</w:t>
      </w:r>
      <w:r>
        <w:rPr>
          <w:b/>
        </w:rPr>
        <w:t>] (Sx03) = Summe der Px06 für das gesamte Profil</w:t>
      </w:r>
    </w:p>
    <w:p>
      <w:pPr>
        <w:pStyle w:val="Normal"/>
        <w:rPr/>
      </w:pPr>
      <w:r>
        <w:rPr/>
      </w:r>
    </w:p>
    <w:p>
      <w:pPr>
        <w:pStyle w:val="Normal"/>
        <w:rPr/>
      </w:pPr>
      <w:r>
        <w:rPr/>
      </w:r>
    </w:p>
    <w:p>
      <w:pPr>
        <w:pStyle w:val="Normal"/>
        <w:shd w:fill="E6E6E6" w:val="clear"/>
        <w:rPr/>
      </w:pPr>
      <w:r>
        <w:rPr/>
      </w:r>
    </w:p>
    <w:p>
      <w:pPr>
        <w:pStyle w:val="Normal"/>
        <w:shd w:fill="E6E6E6" w:val="clear"/>
        <w:rPr>
          <w:b/>
          <w:i/>
        </w:rPr>
      </w:pPr>
      <w:r>
        <w:rPr>
          <w:b/>
          <w:i/>
        </w:rPr>
        <w:t>Erläuterung: Übersicht über die nachfolgend ermittelten Kennwerte im Wasser- und Lufthaus</w:t>
        <w:softHyphen/>
        <w:t>halt (KA5: 343)</w:t>
      </w:r>
    </w:p>
    <w:p>
      <w:pPr>
        <w:pStyle w:val="Normal"/>
        <w:shd w:fill="E6E6E6" w:val="clear"/>
        <w:rPr/>
      </w:pPr>
      <w:r>
        <w:rPr/>
      </w:r>
    </w:p>
    <w:tbl>
      <w:tblPr>
        <w:jc w:val="left"/>
        <w:tblInd w:w="9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296"/>
        <w:gridCol w:w="1799"/>
        <w:gridCol w:w="1700"/>
        <w:gridCol w:w="1675"/>
        <w:gridCol w:w="1"/>
        <w:gridCol w:w="1600"/>
      </w:tblGrid>
      <w:tr>
        <w:trPr>
          <w:trHeight w:val="350" w:hRule="atLeast"/>
          <w:cantSplit w:val="false"/>
        </w:trPr>
        <w:tc>
          <w:tcPr>
            <w:tcW w:w="2296" w:type="dxa"/>
            <w:vMerge w:val="restart"/>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berschrift"/>
              <w:spacing w:before="120" w:after="60"/>
              <w:rPr/>
            </w:pPr>
            <w:r>
              <w:rPr/>
              <w:t>Kennwerte</w:t>
            </w:r>
          </w:p>
        </w:tc>
        <w:tc>
          <w:tcPr>
            <w:tcW w:w="6775"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vAlign w:val="center"/>
          </w:tcPr>
          <w:p>
            <w:pPr>
              <w:pStyle w:val="Tabellenberschrift"/>
              <w:spacing w:before="120" w:after="60"/>
              <w:rPr/>
            </w:pPr>
            <w:r>
              <w:rPr/>
              <w:t>Gesamtporenvolumen</w:t>
            </w:r>
          </w:p>
        </w:tc>
      </w:tr>
      <w:tr>
        <w:trPr>
          <w:trHeight w:val="290" w:hRule="atLeast"/>
          <w:cantSplit w:val="false"/>
        </w:trPr>
        <w:tc>
          <w:tcPr>
            <w:tcW w:w="2296" w:type="dxa"/>
            <w:vMerge w:val="continue"/>
            <w:tcBorders>
              <w:top w:val="nil"/>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berschrift"/>
              <w:spacing w:before="120" w:after="60"/>
              <w:rPr/>
            </w:pPr>
            <w:r>
              <w:rPr/>
            </w:r>
          </w:p>
        </w:tc>
        <w:tc>
          <w:tcPr>
            <w:tcW w:w="1799" w:type="dxa"/>
            <w:vMerge w:val="restart"/>
            <w:tcBorders>
              <w:top w:val="single" w:sz="4" w:space="0" w:color="000001"/>
              <w:left w:val="single" w:sz="4" w:space="0" w:color="000001"/>
              <w:bottom w:val="nil"/>
              <w:insideH w:val="nil"/>
              <w:right w:val="nil"/>
              <w:insideV w:val="nil"/>
            </w:tcBorders>
            <w:shd w:fill="E6E6E6" w:val="clear"/>
            <w:tcMar>
              <w:left w:w="88" w:type="dxa"/>
            </w:tcMar>
            <w:vAlign w:val="center"/>
          </w:tcPr>
          <w:p>
            <w:pPr>
              <w:pStyle w:val="Tabellenberschrift"/>
              <w:spacing w:before="120" w:after="60"/>
              <w:rPr/>
            </w:pPr>
            <w:r>
              <w:rPr/>
              <w:t>Luftkapazität</w:t>
            </w:r>
          </w:p>
        </w:tc>
        <w:tc>
          <w:tcPr>
            <w:tcW w:w="4976"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vAlign w:val="center"/>
          </w:tcPr>
          <w:p>
            <w:pPr>
              <w:pStyle w:val="Tabellenberschrift"/>
              <w:spacing w:before="120" w:after="60"/>
              <w:rPr/>
            </w:pPr>
            <w:r>
              <w:rPr/>
              <w:t>Feldkapazität</w:t>
            </w:r>
          </w:p>
        </w:tc>
      </w:tr>
      <w:tr>
        <w:trPr>
          <w:trHeight w:val="290" w:hRule="atLeast"/>
          <w:cantSplit w:val="false"/>
        </w:trPr>
        <w:tc>
          <w:tcPr>
            <w:tcW w:w="2296" w:type="dxa"/>
            <w:vMerge w:val="continue"/>
            <w:tcBorders>
              <w:top w:val="nil"/>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berschrift"/>
              <w:spacing w:before="120" w:after="60"/>
              <w:rPr/>
            </w:pPr>
            <w:r>
              <w:rPr/>
            </w:r>
          </w:p>
        </w:tc>
        <w:tc>
          <w:tcPr>
            <w:tcW w:w="1799" w:type="dxa"/>
            <w:vMerge w:val="continue"/>
            <w:tcBorders>
              <w:top w:val="nil"/>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berschrift"/>
              <w:spacing w:before="120" w:after="60"/>
              <w:rPr/>
            </w:pPr>
            <w:r>
              <w:rPr/>
            </w:r>
          </w:p>
        </w:tc>
        <w:tc>
          <w:tcPr>
            <w:tcW w:w="3376" w:type="dxa"/>
            <w:gridSpan w:val="3"/>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berschrift"/>
              <w:spacing w:before="120" w:after="60"/>
              <w:rPr/>
            </w:pPr>
            <w:r>
              <w:rPr/>
              <w:t>nutzbare FK</w:t>
            </w:r>
          </w:p>
        </w:tc>
        <w:tc>
          <w:tcPr>
            <w:tcW w:w="16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vAlign w:val="center"/>
          </w:tcPr>
          <w:p>
            <w:pPr>
              <w:pStyle w:val="Tabellenberschrift"/>
              <w:spacing w:before="120" w:after="60"/>
              <w:rPr/>
            </w:pPr>
            <w:r>
              <w:rPr/>
              <w:t>Totwasser</w:t>
            </w:r>
          </w:p>
        </w:tc>
      </w:tr>
      <w:tr>
        <w:trPr>
          <w:trHeight w:val="290" w:hRule="atLeast"/>
          <w:cantSplit w:val="false"/>
        </w:trPr>
        <w:tc>
          <w:tcPr>
            <w:tcW w:w="2296"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berschrift"/>
              <w:spacing w:before="120" w:after="60"/>
              <w:rPr/>
            </w:pPr>
            <w:r>
              <w:rPr/>
              <w:t>Saugspannung (hPa)</w:t>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&lt;60</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60 bis &lt;300</w:t>
            </w:r>
          </w:p>
        </w:tc>
        <w:tc>
          <w:tcPr>
            <w:tcW w:w="1675"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300 bis &lt;15.000</w:t>
            </w:r>
          </w:p>
        </w:tc>
        <w:tc>
          <w:tcPr>
            <w:tcW w:w="160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vAlign w:val="center"/>
          </w:tcPr>
          <w:p>
            <w:pPr>
              <w:pStyle w:val="TabellenInhalt"/>
              <w:suppressLineNumbers/>
              <w:spacing w:lineRule="auto" w:line="240" w:before="60" w:after="60"/>
              <w:jc w:val="center"/>
              <w:rPr/>
            </w:pPr>
            <w:r>
              <w:rPr>
                <w:rFonts w:ascii="Symbol" w:hAnsi="Symbol"/>
              </w:rPr>
              <w:t></w:t>
            </w:r>
            <w:r>
              <w:rPr/>
              <w:t>15.000</w:t>
            </w:r>
          </w:p>
        </w:tc>
      </w:tr>
      <w:tr>
        <w:trPr>
          <w:trHeight w:val="290" w:hRule="atLeast"/>
          <w:cantSplit w:val="false"/>
        </w:trPr>
        <w:tc>
          <w:tcPr>
            <w:tcW w:w="2296"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berschrift"/>
              <w:spacing w:before="120" w:after="60"/>
              <w:rPr/>
            </w:pPr>
            <w:r>
              <w:rPr/>
              <w:t>pF-Wert</w:t>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&lt;1,8</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1,8 bis &lt;2,5</w:t>
            </w:r>
          </w:p>
        </w:tc>
        <w:tc>
          <w:tcPr>
            <w:tcW w:w="1675"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2,5 bis &lt;4,2</w:t>
            </w:r>
          </w:p>
        </w:tc>
        <w:tc>
          <w:tcPr>
            <w:tcW w:w="160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vAlign w:val="center"/>
          </w:tcPr>
          <w:p>
            <w:pPr>
              <w:pStyle w:val="TabellenInhalt"/>
              <w:suppressLineNumbers/>
              <w:spacing w:lineRule="auto" w:line="240" w:before="60" w:after="60"/>
              <w:jc w:val="center"/>
              <w:rPr/>
            </w:pPr>
            <w:r>
              <w:rPr>
                <w:rFonts w:ascii="Symbol" w:hAnsi="Symbol"/>
              </w:rPr>
              <w:t></w:t>
            </w:r>
            <w:r>
              <w:rPr/>
              <w:t>4,2</w:t>
            </w:r>
          </w:p>
        </w:tc>
      </w:tr>
      <w:tr>
        <w:trPr>
          <w:trHeight w:val="290" w:hRule="atLeast"/>
          <w:cantSplit w:val="false"/>
        </w:trPr>
        <w:tc>
          <w:tcPr>
            <w:tcW w:w="2296"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berschrift"/>
              <w:spacing w:before="120" w:after="60"/>
              <w:rPr/>
            </w:pPr>
            <w:r>
              <w:rPr/>
              <w:t>Porenäquivalent (µm)</w:t>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&gt;50</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50 bis &gt;10</w:t>
            </w:r>
          </w:p>
        </w:tc>
        <w:tc>
          <w:tcPr>
            <w:tcW w:w="1675"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10 bis &gt;0,2</w:t>
            </w:r>
          </w:p>
        </w:tc>
        <w:tc>
          <w:tcPr>
            <w:tcW w:w="160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vAlign w:val="center"/>
          </w:tcPr>
          <w:p>
            <w:pPr>
              <w:pStyle w:val="TabellenInhalt"/>
              <w:suppressLineNumbers/>
              <w:spacing w:lineRule="auto" w:line="240" w:before="60" w:after="60"/>
              <w:jc w:val="center"/>
              <w:rPr/>
            </w:pPr>
            <w:r>
              <w:rPr>
                <w:rFonts w:ascii="Symbol" w:hAnsi="Symbol"/>
              </w:rPr>
              <w:t></w:t>
            </w:r>
            <w:r>
              <w:rPr/>
              <w:t>0,2</w:t>
            </w:r>
          </w:p>
        </w:tc>
      </w:tr>
      <w:tr>
        <w:trPr>
          <w:trHeight w:val="290" w:hRule="atLeast"/>
          <w:cantSplit w:val="false"/>
        </w:trPr>
        <w:tc>
          <w:tcPr>
            <w:tcW w:w="2296"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berschrift"/>
              <w:spacing w:before="120" w:after="60"/>
              <w:rPr/>
            </w:pPr>
            <w:r>
              <w:rPr/>
              <w:t>Porenbezeichnung</w:t>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weite Grobporen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enge Grobporen</w:t>
            </w:r>
          </w:p>
        </w:tc>
        <w:tc>
          <w:tcPr>
            <w:tcW w:w="1675"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Mittelporen</w:t>
            </w:r>
          </w:p>
        </w:tc>
        <w:tc>
          <w:tcPr>
            <w:tcW w:w="160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vAlign w:val="center"/>
          </w:tcPr>
          <w:p>
            <w:pPr>
              <w:pStyle w:val="TabellenInhalt"/>
              <w:suppressLineNumbers/>
              <w:spacing w:lineRule="auto" w:line="240" w:before="60" w:after="60"/>
              <w:jc w:val="center"/>
              <w:rPr/>
            </w:pPr>
            <w:r>
              <w:rPr/>
              <w:t>Feinporen</w:t>
            </w:r>
          </w:p>
        </w:tc>
      </w:tr>
      <w:tr>
        <w:trPr>
          <w:trHeight w:val="290" w:hRule="atLeast"/>
          <w:cantSplit w:val="false"/>
        </w:trPr>
        <w:tc>
          <w:tcPr>
            <w:tcW w:w="2296" w:type="dxa"/>
            <w:vMerge w:val="restart"/>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berschrift"/>
              <w:spacing w:before="120" w:after="60"/>
              <w:rPr/>
            </w:pPr>
            <w:r>
              <w:rPr/>
              <w:t>Bodenwasser</w:t>
            </w:r>
          </w:p>
        </w:tc>
        <w:tc>
          <w:tcPr>
            <w:tcW w:w="3499" w:type="dxa"/>
            <w:gridSpan w:val="2"/>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Sickerwasser</w:t>
            </w:r>
          </w:p>
        </w:tc>
        <w:tc>
          <w:tcPr>
            <w:tcW w:w="3276"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vAlign w:val="center"/>
          </w:tcPr>
          <w:p>
            <w:pPr>
              <w:pStyle w:val="TabellenInhalt"/>
              <w:suppressLineNumbers/>
              <w:spacing w:lineRule="auto" w:line="240" w:before="60" w:after="60"/>
              <w:jc w:val="center"/>
              <w:rPr/>
            </w:pPr>
            <w:r>
              <w:rPr/>
              <w:t>Haftwasser</w:t>
            </w:r>
          </w:p>
        </w:tc>
      </w:tr>
      <w:tr>
        <w:trPr>
          <w:trHeight w:val="350" w:hRule="atLeast"/>
          <w:cantSplit w:val="false"/>
        </w:trPr>
        <w:tc>
          <w:tcPr>
            <w:tcW w:w="2296"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pacing w:before="60" w:after="60"/>
              <w:rPr>
                <w:rFonts w:cs="Arial"/>
                <w:i/>
                <w:szCs w:val="20"/>
              </w:rPr>
            </w:pPr>
            <w:r>
              <w:rPr>
                <w:rFonts w:cs="Arial"/>
                <w:i/>
                <w:szCs w:val="20"/>
              </w:rPr>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schnell beweglich</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langsam beweglich</w:t>
            </w:r>
          </w:p>
        </w:tc>
        <w:tc>
          <w:tcPr>
            <w:tcW w:w="1675"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88" w:type="dxa"/>
            </w:tcMar>
            <w:vAlign w:val="center"/>
          </w:tcPr>
          <w:p>
            <w:pPr>
              <w:pStyle w:val="TabellenInhalt"/>
              <w:suppressLineNumbers/>
              <w:spacing w:lineRule="auto" w:line="240" w:before="60" w:after="60"/>
              <w:jc w:val="center"/>
              <w:rPr/>
            </w:pPr>
            <w:r>
              <w:rPr/>
              <w:t>pflanzen-verfügbar</w:t>
            </w:r>
          </w:p>
        </w:tc>
        <w:tc>
          <w:tcPr>
            <w:tcW w:w="1601"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88" w:type="dxa"/>
            </w:tcMar>
            <w:vAlign w:val="center"/>
          </w:tcPr>
          <w:p>
            <w:pPr>
              <w:pStyle w:val="TabellenInhalt"/>
              <w:suppressLineNumbers/>
              <w:spacing w:lineRule="auto" w:line="240" w:before="60" w:after="60"/>
              <w:jc w:val="center"/>
              <w:rPr/>
            </w:pPr>
            <w:r>
              <w:rPr/>
              <w:t>nicht pflanzen-verfügbar</w:t>
            </w:r>
          </w:p>
        </w:tc>
      </w:tr>
    </w:tbl>
    <w:p>
      <w:pPr>
        <w:pStyle w:val="Normal"/>
        <w:rPr/>
      </w:pPr>
      <w:r>
        <w:rPr/>
      </w:r>
    </w:p>
    <w:p>
      <w:pPr>
        <w:pStyle w:val="Heading3"/>
        <w:rPr/>
      </w:pPr>
      <w:r>
        <w:rPr/>
        <w:t>Px07 - nutzbare Feldkapazität</w:t>
      </w:r>
    </w:p>
    <w:p>
      <w:pPr>
        <w:pStyle w:val="Normal"/>
        <w:rPr>
          <w:i/>
        </w:rPr>
      </w:pPr>
      <w:r>
        <w:rPr>
          <w:b/>
          <w:i/>
        </w:rPr>
        <w:t>Eingangsparameter:</w:t>
      </w:r>
      <w:r>
        <w:rPr>
          <w:i/>
        </w:rPr>
        <w:t xml:space="preserve"> </w:t>
      </w:r>
    </w:p>
    <w:p>
      <w:pPr>
        <w:pStyle w:val="Normal"/>
        <w:ind w:left="142" w:right="0" w:hanging="0"/>
        <w:rPr>
          <w:i/>
        </w:rPr>
      </w:pPr>
      <w:r>
        <w:rPr>
          <w:i/>
        </w:rPr>
        <w:t>falls bekannt: Mittelporenanteil in % (B222)</w:t>
      </w:r>
    </w:p>
    <w:p>
      <w:pPr>
        <w:pStyle w:val="Normal"/>
        <w:ind w:left="142" w:right="0" w:hanging="0"/>
        <w:rPr>
          <w:i/>
        </w:rPr>
      </w:pPr>
      <w:r>
        <w:rPr>
          <w:i/>
        </w:rPr>
        <w:t>Horizontmächtigkeit</w:t>
      </w:r>
    </w:p>
    <w:p>
      <w:pPr>
        <w:pStyle w:val="Normal"/>
        <w:ind w:left="142" w:right="0" w:hanging="0"/>
        <w:rPr>
          <w:i/>
        </w:rPr>
      </w:pPr>
      <w:r>
        <w:rPr>
          <w:i/>
        </w:rPr>
        <w:t>Bodenart (P140 oder B209)</w:t>
      </w:r>
    </w:p>
    <w:p>
      <w:pPr>
        <w:pStyle w:val="Normal"/>
        <w:ind w:left="142" w:right="0" w:hanging="0"/>
        <w:rPr>
          <w:i/>
        </w:rPr>
      </w:pPr>
      <w:r>
        <w:rPr>
          <w:i/>
        </w:rPr>
        <w:t>Humusgehalt (Px01)</w:t>
      </w:r>
    </w:p>
    <w:p>
      <w:pPr>
        <w:pStyle w:val="Normal"/>
        <w:ind w:left="142" w:right="0" w:hanging="0"/>
        <w:rPr>
          <w:i/>
        </w:rPr>
      </w:pPr>
      <w:r>
        <w:rPr>
          <w:i/>
        </w:rPr>
        <w:t>Skelettgehalt (Px02)</w:t>
      </w:r>
    </w:p>
    <w:p>
      <w:pPr>
        <w:pStyle w:val="Normal"/>
        <w:ind w:left="142" w:right="0" w:hanging="0"/>
        <w:rPr>
          <w:i/>
        </w:rPr>
      </w:pPr>
      <w:r>
        <w:rPr>
          <w:i/>
        </w:rPr>
        <w:t>Lagerungsdichte (Px03)</w:t>
      </w:r>
    </w:p>
    <w:p>
      <w:pPr>
        <w:pStyle w:val="Normal"/>
        <w:rPr>
          <w:rFonts w:cs="Arial"/>
          <w:szCs w:val="20"/>
        </w:rPr>
      </w:pPr>
      <w:r>
        <w:rPr>
          <w:rFonts w:cs="Arial"/>
          <w:szCs w:val="20"/>
        </w:rPr>
      </w:r>
    </w:p>
    <w:p>
      <w:pPr>
        <w:pStyle w:val="Normal"/>
        <w:rPr/>
      </w:pPr>
      <w:r>
        <w:rPr/>
        <w:t xml:space="preserve">Falls der relevante Porenanteil bekannt ist (Feld </w:t>
      </w:r>
      <w:r>
        <w:rPr>
          <w:b/>
        </w:rPr>
        <w:t>B222</w:t>
      </w:r>
      <w:r>
        <w:rPr/>
        <w:t xml:space="preserve"> „Mittelporenanteil %“), so ist dieser Wert ohne weitere Modifikation zu verwenden und in die unten angegebene Formel zur Berechnung von </w:t>
      </w:r>
      <w:r>
        <w:rPr>
          <w:b/>
        </w:rPr>
        <w:t>Px07</w:t>
      </w:r>
      <w:r>
        <w:rPr/>
        <w:t xml:space="preserve"> einzusetzen. </w:t>
      </w:r>
    </w:p>
    <w:p>
      <w:pPr>
        <w:pStyle w:val="Normal"/>
        <w:rPr/>
      </w:pPr>
      <w:r>
        <w:rPr>
          <w:rFonts w:cs="Arial"/>
          <w:szCs w:val="20"/>
        </w:rPr>
        <w:t>Ansonsten wird der Anteil von Poren, die Wasser pflanzenverfügbar im Böden halten können</w:t>
      </w:r>
      <w:r>
        <w:rPr/>
        <w:t xml:space="preserve"> (in % bzw. weiterführend absolut in l/m²), nach folgender Tabelle ermittelt:</w:t>
      </w:r>
    </w:p>
    <w:p>
      <w:pPr>
        <w:pStyle w:val="Normal"/>
        <w:rPr>
          <w:rFonts w:cs="Arial"/>
          <w:szCs w:val="20"/>
        </w:rPr>
      </w:pPr>
      <w:r>
        <w:rPr>
          <w:rFonts w:cs="Arial"/>
          <w:szCs w:val="20"/>
        </w:rPr>
      </w:r>
    </w:p>
    <w:tbl>
      <w:tblPr>
        <w:jc w:val="left"/>
        <w:tblInd w:w="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414"/>
        <w:gridCol w:w="1416"/>
        <w:gridCol w:w="1983"/>
        <w:gridCol w:w="1983"/>
        <w:gridCol w:w="1997"/>
      </w:tblGrid>
      <w:tr>
        <w:trPr>
          <w:trHeight w:val="410" w:hRule="atLeast"/>
          <w:cantSplit w:val="false"/>
        </w:trPr>
        <w:tc>
          <w:tcPr>
            <w:tcW w:w="1414"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P140</w:t>
            </w:r>
          </w:p>
        </w:tc>
        <w:tc>
          <w:tcPr>
            <w:tcW w:w="141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Bodenart</w:t>
            </w:r>
          </w:p>
        </w:tc>
        <w:tc>
          <w:tcPr>
            <w:tcW w:w="596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berschrift"/>
              <w:spacing w:before="120" w:after="60"/>
              <w:rPr/>
            </w:pPr>
            <w:r>
              <w:rPr/>
              <w:t>nutzbare FK (Poren &gt;0,2 bis 50µm) – nFK%=</w:t>
            </w:r>
          </w:p>
        </w:tc>
      </w:tr>
      <w:tr>
        <w:trPr>
          <w:trHeight w:val="290" w:hRule="atLeast"/>
          <w:cantSplit w:val="false"/>
        </w:trPr>
        <w:tc>
          <w:tcPr>
            <w:tcW w:w="1414"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41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en-GB"/>
              </w:rPr>
            </w:pPr>
            <w:r>
              <w:rPr>
                <w:lang w:val="en-GB"/>
              </w:rPr>
              <w:t>Px03: Ld1+2</w:t>
              <w:br/>
            </w:r>
            <w:r>
              <w:rPr>
                <w:b w:val="false"/>
                <w:i/>
                <w:lang w:val="en-GB"/>
              </w:rPr>
              <w:t>(B210: &lt;1,4 g/cm³)</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rPr>
            </w:pPr>
            <w:r>
              <w:rPr/>
              <w:t>Ld3</w:t>
              <w:br/>
            </w:r>
            <w:r>
              <w:rPr>
                <w:b w:val="false"/>
                <w:i/>
              </w:rPr>
              <w:t>(1,4 bis 1,7 g/cm³)</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en-GB"/>
              </w:rPr>
            </w:pPr>
            <w:r>
              <w:rPr>
                <w:lang w:val="en-GB"/>
              </w:rPr>
              <w:t>Ld4+5</w:t>
              <w:br/>
            </w:r>
            <w:r>
              <w:rPr>
                <w:b w:val="false"/>
                <w:i/>
                <w:lang w:val="en-GB"/>
              </w:rPr>
              <w:t>(&gt;1,7 g/cm³)</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101</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S</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16</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14,5</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12</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121</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uS</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26</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23</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20</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212</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sU</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26</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23,5</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21</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202</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U</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26</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24</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22,5</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231</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lS</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21</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18</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332</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lU</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22</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19</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17</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341</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tS</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19</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15</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13</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313</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sL</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22</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17</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14,5</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423</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uL</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20,5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16</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12,5</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403</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19</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15,5</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11,5</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414</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sT</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18</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15,5</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11,5</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534</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lT</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21</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14,5</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11</w:t>
            </w:r>
          </w:p>
        </w:tc>
      </w:tr>
      <w:tr>
        <w:trPr>
          <w:trHeight w:val="290" w:hRule="atLeast"/>
          <w:cantSplit w:val="false"/>
        </w:trPr>
        <w:tc>
          <w:tcPr>
            <w:tcW w:w="141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504</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T</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21,5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14,5</w:t>
            </w:r>
          </w:p>
        </w:tc>
        <w:tc>
          <w:tcPr>
            <w:tcW w:w="1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11</w:t>
            </w:r>
          </w:p>
        </w:tc>
      </w:tr>
    </w:tbl>
    <w:p>
      <w:pPr>
        <w:pStyle w:val="Bildunterschrift"/>
        <w:rPr/>
      </w:pPr>
      <w:r>
        <w:rPr/>
        <w:t>Quelle: Ableitung nach Müller (2004: 103ff., VKR 6.1.7), auf österreichische Systematik übertragen nach Kuderna et al. (2000: 9)</w:t>
      </w:r>
    </w:p>
    <w:p>
      <w:pPr>
        <w:pStyle w:val="Bildunterschrift"/>
        <w:rPr>
          <w:i/>
          <w:color w:val="FF0000"/>
        </w:rPr>
      </w:pPr>
      <w:r>
        <w:rPr>
          <w:i/>
          <w:color w:val="FF0000"/>
        </w:rPr>
        <w:t xml:space="preserve">Anm.: Die Angaben aus Müller (2004) werden verwendet, da die Werte für die Lagerungsdichte (Klassen Ld1+2, Ld3 und Ld4+5) ermittelt wurden, während in der KA5 (Ad-hoc-AG Boden 2005: 344) die Trockenrohdichte (Klassen </w:t>
      </w:r>
      <w:r>
        <w:rPr>
          <w:rFonts w:cs="Arial"/>
          <w:i/>
          <w:color w:val="FF0000"/>
        </w:rPr>
        <w:t>φ</w:t>
      </w:r>
      <w:r>
        <w:rPr>
          <w:i/>
          <w:color w:val="FF0000"/>
        </w:rPr>
        <w:t xml:space="preserve">t1+2, </w:t>
      </w:r>
      <w:r>
        <w:rPr>
          <w:rFonts w:cs="Arial"/>
          <w:i/>
          <w:color w:val="FF0000"/>
        </w:rPr>
        <w:t>φ</w:t>
      </w:r>
      <w:r>
        <w:rPr>
          <w:i/>
          <w:color w:val="FF0000"/>
        </w:rPr>
        <w:t xml:space="preserve">t3, </w:t>
      </w:r>
      <w:r>
        <w:rPr>
          <w:rFonts w:cs="Arial"/>
          <w:i/>
          <w:color w:val="FF0000"/>
        </w:rPr>
        <w:t>φ</w:t>
      </w:r>
      <w:r>
        <w:rPr>
          <w:i/>
          <w:color w:val="FF0000"/>
        </w:rPr>
        <w:t>t4+5) herangezogen wird. Die durchaus mögliche Umrechnung ist mit weiteren Unsicherheiten behaftet, welche die geringfügigen Abweichungen der Bewertungsergebnisse übersteigen würde.</w:t>
      </w:r>
    </w:p>
    <w:p>
      <w:pPr>
        <w:pStyle w:val="Bildunterschrift"/>
        <w:rPr>
          <w:i/>
          <w:color w:val="FF0000"/>
        </w:rPr>
      </w:pPr>
      <w:r>
        <w:rPr>
          <w:i/>
          <w:color w:val="FF0000"/>
        </w:rPr>
        <w:t>Ein Vergleich zeigt darüber hinaus eine bessere Differenzierung bei Verwendung der Angaben aus Müller (2004) – siehe Komplexe Parameter Ö.xls.</w:t>
      </w:r>
    </w:p>
    <w:p>
      <w:pPr>
        <w:pStyle w:val="Normal"/>
        <w:rPr>
          <w:rFonts w:cs="Arial"/>
          <w:szCs w:val="20"/>
        </w:rPr>
      </w:pPr>
      <w:r>
        <w:rPr>
          <w:rFonts w:cs="Arial"/>
          <w:szCs w:val="20"/>
        </w:rPr>
      </w:r>
    </w:p>
    <w:p>
      <w:pPr>
        <w:pStyle w:val="Normal"/>
        <w:jc w:val="both"/>
        <w:rPr>
          <w:rFonts w:cs="Arial"/>
          <w:szCs w:val="20"/>
        </w:rPr>
      </w:pPr>
      <w:r>
        <w:rPr>
          <w:rFonts w:cs="Arial"/>
          <w:szCs w:val="20"/>
        </w:rPr>
        <w:t xml:space="preserve">Die nutzbare Feldkapazität der organischen Substanz (P168 oder B104) ist in Abhängigkeit von der Bodenart zu berücksichtigen, der entsprechende Wert aus folgender Tabelle ist zu </w:t>
      </w:r>
      <w:r>
        <w:rPr>
          <w:rFonts w:cs="Arial"/>
          <w:b/>
          <w:szCs w:val="20"/>
        </w:rPr>
        <w:t>nFK%</w:t>
      </w:r>
      <w:r>
        <w:rPr>
          <w:rFonts w:cs="Arial"/>
          <w:szCs w:val="20"/>
        </w:rPr>
        <w:t xml:space="preserve"> zu addieren (Müller 2004: 107, Modifikation auf Basis der BK-Daten von Kufstein angelehnt an Kuderna et al. 2000: 9f.).</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tbl>
      <w:tblPr>
        <w:jc w:val="left"/>
        <w:tblInd w:w="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243"/>
        <w:gridCol w:w="1245"/>
        <w:gridCol w:w="1346"/>
        <w:gridCol w:w="1261"/>
        <w:gridCol w:w="1302"/>
        <w:gridCol w:w="1302"/>
        <w:gridCol w:w="1311"/>
      </w:tblGrid>
      <w:tr>
        <w:trPr>
          <w:trHeight w:val="410" w:hRule="atLeast"/>
          <w:cantSplit w:val="false"/>
        </w:trPr>
        <w:tc>
          <w:tcPr>
            <w:tcW w:w="124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P140</w:t>
            </w:r>
          </w:p>
        </w:tc>
        <w:tc>
          <w:tcPr>
            <w:tcW w:w="124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Bodenart</w:t>
            </w:r>
          </w:p>
        </w:tc>
        <w:tc>
          <w:tcPr>
            <w:tcW w:w="6522"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berschrift"/>
              <w:spacing w:before="120" w:after="60"/>
              <w:rPr/>
            </w:pPr>
            <w:r>
              <w:rPr/>
              <w:t xml:space="preserve">Modifikation nach Humusgehalt </w:t>
            </w:r>
          </w:p>
        </w:tc>
      </w:tr>
      <w:tr>
        <w:trPr>
          <w:trHeight w:val="290" w:hRule="atLeast"/>
          <w:cantSplit w:val="false"/>
        </w:trPr>
        <w:tc>
          <w:tcPr>
            <w:tcW w:w="124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24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berschrift"/>
              <w:spacing w:before="120" w:after="60"/>
              <w:rPr>
                <w:b w:val="false"/>
                <w:i/>
              </w:rPr>
            </w:pPr>
            <w:r>
              <w:rPr/>
              <w:t>P168: 10</w:t>
              <w:br/>
            </w:r>
            <w:r>
              <w:rPr>
                <w:b w:val="false"/>
                <w:i/>
              </w:rPr>
              <w:t>(B104: &lt;1 %)</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berschrift"/>
              <w:spacing w:before="120" w:after="60"/>
              <w:rPr>
                <w:b w:val="false"/>
                <w:i/>
              </w:rPr>
            </w:pPr>
            <w:r>
              <w:rPr/>
              <w:t>20</w:t>
              <w:br/>
            </w:r>
            <w:r>
              <w:rPr>
                <w:b w:val="false"/>
                <w:i/>
              </w:rPr>
              <w:t>(1-&lt;2 %)</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berschrift"/>
              <w:spacing w:before="120" w:after="60"/>
              <w:rPr>
                <w:b w:val="false"/>
                <w:i/>
              </w:rPr>
            </w:pPr>
            <w:r>
              <w:rPr/>
              <w:t>30</w:t>
              <w:br/>
            </w:r>
            <w:r>
              <w:rPr>
                <w:b w:val="false"/>
                <w:i/>
              </w:rPr>
              <w:t>(2-&lt;4 %)</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berschrift"/>
              <w:spacing w:before="120" w:after="60"/>
              <w:rPr>
                <w:b w:val="false"/>
                <w:i/>
              </w:rPr>
            </w:pPr>
            <w:r>
              <w:rPr/>
              <w:t>40</w:t>
              <w:br/>
            </w:r>
            <w:r>
              <w:rPr>
                <w:b w:val="false"/>
                <w:i/>
              </w:rPr>
              <w:t>(4-&lt;8 %)</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rPr>
            </w:pPr>
            <w:r>
              <w:rPr/>
              <w:t>50</w:t>
              <w:br/>
            </w:r>
            <w:r>
              <w:rPr>
                <w:b w:val="false"/>
                <w:i/>
              </w:rPr>
              <w:t>(8-&lt;15 %)</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101, 121</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 uS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0,5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3</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3,5</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231, 341</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lS, tS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0,5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3</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4</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202, 212</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sU, U</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0,5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3,5</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4,5</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 xml:space="preserve">313, 332, </w:t>
              <w:br/>
              <w:t>403, 423</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lU, sL, uL, L</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0,5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4</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7</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 xml:space="preserve">414, 504, </w:t>
              <w:br/>
              <w:t>534</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sT, lT, T</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2,5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5,5</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10</w:t>
            </w:r>
          </w:p>
        </w:tc>
      </w:tr>
    </w:tbl>
    <w:p>
      <w:pPr>
        <w:pStyle w:val="Normal"/>
        <w:rPr/>
      </w:pPr>
      <w:r>
        <w:rPr/>
      </w:r>
    </w:p>
    <w:p>
      <w:pPr>
        <w:pStyle w:val="Normal"/>
        <w:jc w:val="both"/>
        <w:rPr/>
      </w:pPr>
      <w:r>
        <w:rPr/>
        <w:t>Grau hinterlegt sind jene Klassen, die angesetzt werden sollen, wenn die Angaben aus der Bodenkarte übernommen werden, in der nur drei Klassen (schwach humos &lt;1,5 %, mittelhumos 1,5-4 % und stark humos &gt;4 % - siehe Kuderna et al. 2000: 10) angegeben sind.</w:t>
      </w:r>
    </w:p>
    <w:p>
      <w:pPr>
        <w:pStyle w:val="Normal"/>
        <w:jc w:val="both"/>
        <w:rPr>
          <w:rFonts w:cs="Arial"/>
          <w:szCs w:val="20"/>
        </w:rPr>
      </w:pPr>
      <w:r>
        <w:rPr>
          <w:rFonts w:cs="Arial"/>
          <w:szCs w:val="20"/>
        </w:rPr>
      </w:r>
    </w:p>
    <w:p>
      <w:pPr>
        <w:pStyle w:val="Normal"/>
        <w:jc w:val="both"/>
        <w:rPr>
          <w:rFonts w:cs="Arial"/>
          <w:szCs w:val="20"/>
        </w:rPr>
      </w:pPr>
      <w:r>
        <w:rPr>
          <w:rFonts w:cs="Arial"/>
          <w:szCs w:val="20"/>
        </w:rPr>
        <w:t>Gemäß Müller (2004: 105) ist bei sehr humusreichen Böden und Anmooren die nutzbare Feldkapazität weitgehend unabhängig von der Bodenart. Für Horizonte mit einem Humusgehalt von &gt;15 % werden daher fixe Werte für das relevante Porenvolumen angenommen:</w:t>
      </w:r>
    </w:p>
    <w:p>
      <w:pPr>
        <w:pStyle w:val="Aufzhlung"/>
        <w:rPr>
          <w:b/>
        </w:rPr>
      </w:pPr>
      <w:r>
        <w:rPr/>
        <w:t xml:space="preserve">Torfe (Code 70 in Feld P168 bzw. &gt;30 % in Feld B104): </w:t>
        <w:tab/>
        <w:tab/>
        <w:tab/>
      </w:r>
      <w:r>
        <w:rPr>
          <w:b/>
        </w:rPr>
        <w:t>nFK% = 50 %</w:t>
      </w:r>
    </w:p>
    <w:p>
      <w:pPr>
        <w:pStyle w:val="Aufzhlung"/>
        <w:rPr>
          <w:b/>
        </w:rPr>
      </w:pPr>
      <w:r>
        <w:rPr/>
        <w:t>äußerst humose / anmoorige Böden (Code 60 bzw. 15-30 % lt. B104):</w:t>
        <w:tab/>
      </w:r>
      <w:r>
        <w:rPr>
          <w:b/>
        </w:rPr>
        <w:t>nFK% = 37 %</w:t>
      </w:r>
    </w:p>
    <w:p>
      <w:pPr>
        <w:pStyle w:val="Normal"/>
        <w:rPr/>
      </w:pPr>
      <w:r>
        <w:rPr/>
      </w:r>
    </w:p>
    <w:p>
      <w:pPr>
        <w:pStyle w:val="Normal"/>
        <w:jc w:val="both"/>
        <w:rPr>
          <w:rFonts w:cs="Arial"/>
          <w:szCs w:val="20"/>
        </w:rPr>
      </w:pPr>
      <w:r>
        <w:rPr>
          <w:rFonts w:cs="Arial"/>
          <w:szCs w:val="20"/>
        </w:rPr>
        <w:t>Berechnung der nutzbaren Feldkapazität in [l/m²] unter Berücksichtigung von Horizontmächtigkeit (Horizontuntergrenze minus Horizontobergrenze), Skelettgehalt (Px02) und relevantem Porenvolumen (nFK%, siehe Tabelle).</w:t>
      </w:r>
    </w:p>
    <w:p>
      <w:pPr>
        <w:pStyle w:val="Normal"/>
        <w:rPr/>
      </w:pPr>
      <w:r>
        <w:rPr/>
      </w:r>
    </w:p>
    <w:p>
      <w:pPr>
        <w:pStyle w:val="Normal"/>
        <w:rPr>
          <w:b/>
        </w:rPr>
      </w:pPr>
      <w:r>
        <w:rPr>
          <w:b/>
        </w:rPr>
        <w:tab/>
        <w:t xml:space="preserve">Px07 [l/m²] = Mächtigkeit [cm] * 10 * (100 - SK% </w:t>
      </w:r>
      <w:r>
        <w:rPr>
          <w:b/>
          <w:i/>
        </w:rPr>
        <w:t>(Px02)</w:t>
      </w:r>
      <w:r>
        <w:rPr>
          <w:b/>
        </w:rPr>
        <w:t>) / 100 * (nFK% / 100)</w:t>
      </w:r>
    </w:p>
    <w:p>
      <w:pPr>
        <w:pStyle w:val="Normal"/>
        <w:rPr/>
      </w:pPr>
      <w:r>
        <w:rPr/>
      </w:r>
    </w:p>
    <w:p>
      <w:pPr>
        <w:pStyle w:val="Normal"/>
        <w:rPr>
          <w:b/>
        </w:rPr>
      </w:pPr>
      <w:r>
        <w:rPr>
          <w:b/>
        </w:rPr>
        <w:tab/>
        <w:t>nFK</w:t>
      </w:r>
      <w:r>
        <w:rPr>
          <w:b/>
          <w:vertAlign w:val="subscript"/>
        </w:rPr>
        <w:t>ges</w:t>
      </w:r>
      <w:r>
        <w:rPr>
          <w:b/>
        </w:rPr>
        <w:t xml:space="preserve"> </w:t>
      </w:r>
      <w:r>
        <w:rPr>
          <w:rFonts w:cs="Arial"/>
          <w:b/>
          <w:szCs w:val="20"/>
        </w:rPr>
        <w:t>[l/m²]</w:t>
      </w:r>
      <w:r>
        <w:rPr>
          <w:b/>
        </w:rPr>
        <w:t xml:space="preserve"> (Sx04) = Summe der nFK für das gesamte Profil</w:t>
      </w:r>
    </w:p>
    <w:p>
      <w:pPr>
        <w:pStyle w:val="Normal"/>
        <w:rPr>
          <w:b/>
        </w:rPr>
      </w:pPr>
      <w:r>
        <w:rPr>
          <w:b/>
        </w:rPr>
      </w:r>
    </w:p>
    <w:p>
      <w:pPr>
        <w:pStyle w:val="Normal"/>
        <w:rPr>
          <w:b/>
        </w:rPr>
      </w:pPr>
      <w:r>
        <w:rPr>
          <w:b/>
        </w:rPr>
        <w:tab/>
        <w:t>nFK</w:t>
      </w:r>
      <w:r>
        <w:rPr>
          <w:b/>
          <w:vertAlign w:val="subscript"/>
        </w:rPr>
        <w:t>We</w:t>
      </w:r>
      <w:r>
        <w:rPr>
          <w:b/>
        </w:rPr>
        <w:t xml:space="preserve"> </w:t>
      </w:r>
      <w:r>
        <w:rPr>
          <w:rFonts w:cs="Arial"/>
          <w:b/>
          <w:szCs w:val="20"/>
        </w:rPr>
        <w:t>[l/m²]</w:t>
      </w:r>
      <w:r>
        <w:rPr>
          <w:b/>
        </w:rPr>
        <w:t xml:space="preserve"> (Sx04a) = Summe der nFK für den effektiven Wurzelraum</w:t>
      </w:r>
    </w:p>
    <w:p>
      <w:pPr>
        <w:pStyle w:val="Normal"/>
        <w:rPr/>
      </w:pPr>
      <w:r>
        <w:rPr/>
      </w:r>
    </w:p>
    <w:p>
      <w:pPr>
        <w:pStyle w:val="Normal"/>
        <w:jc w:val="both"/>
        <w:rPr/>
      </w:pPr>
      <w:r>
        <w:rPr/>
        <w:t xml:space="preserve">Für die Bestimmung von Sx04a werden die nFK-Werte bis zur in Sx12 festgelegten Tiefe für alle Horizonte aufsummiert. Weicht die dort definierte Tiefe von einer Horizontgrenze ab, so wird die nFK des betreffenden Horizontes anteilsmäßig berücksichtigt. </w:t>
      </w:r>
    </w:p>
    <w:p>
      <w:pPr>
        <w:pStyle w:val="Normal"/>
        <w:rPr/>
      </w:pPr>
      <w:r>
        <w:rPr/>
      </w:r>
    </w:p>
    <w:p>
      <w:pPr>
        <w:pStyle w:val="Normal"/>
        <w:rPr>
          <w:i/>
          <w:sz w:val="18"/>
        </w:rPr>
      </w:pPr>
      <w:r>
        <w:rPr>
          <w:i/>
          <w:sz w:val="18"/>
        </w:rPr>
        <w:t xml:space="preserve">Beispiel: </w:t>
      </w:r>
    </w:p>
    <w:p>
      <w:pPr>
        <w:pStyle w:val="Formatvorlage1"/>
        <w:numPr>
          <w:ilvl w:val="0"/>
          <w:numId w:val="2"/>
        </w:numPr>
        <w:rPr>
          <w:i/>
          <w:sz w:val="18"/>
          <w:szCs w:val="18"/>
          <w:lang w:val="pl-PL"/>
        </w:rPr>
      </w:pPr>
      <w:r>
        <w:rPr>
          <w:i/>
          <w:sz w:val="18"/>
          <w:szCs w:val="18"/>
          <w:lang w:val="pl-PL"/>
        </w:rPr>
        <w:t xml:space="preserve">Horizontabfolge = A (0-20 cm) – Go (20-40 cm) – Gr (40-100 cm) </w:t>
      </w:r>
    </w:p>
    <w:p>
      <w:pPr>
        <w:pStyle w:val="Formatvorlage1"/>
        <w:numPr>
          <w:ilvl w:val="0"/>
          <w:numId w:val="2"/>
        </w:numPr>
        <w:rPr>
          <w:i/>
          <w:sz w:val="18"/>
          <w:szCs w:val="18"/>
        </w:rPr>
      </w:pPr>
      <w:r>
        <w:rPr>
          <w:i/>
          <w:sz w:val="18"/>
          <w:szCs w:val="18"/>
        </w:rPr>
        <w:t>lt. Regel in Sx12 beträgt die Durchwurzelungstiefe 30 cm (Obergrenze Gr minus 10 cm)</w:t>
      </w:r>
    </w:p>
    <w:p>
      <w:pPr>
        <w:pStyle w:val="Formatvorlage1"/>
        <w:numPr>
          <w:ilvl w:val="0"/>
          <w:numId w:val="2"/>
        </w:numPr>
        <w:rPr>
          <w:i/>
          <w:sz w:val="18"/>
          <w:szCs w:val="18"/>
        </w:rPr>
      </w:pPr>
      <w:r>
        <w:rPr>
          <w:i/>
          <w:sz w:val="18"/>
          <w:szCs w:val="18"/>
        </w:rPr>
        <w:t>für die Berechnung der nFKWe geht nun die nFK des A-Horizonts vollständig, die des Go-Horizonts zur Hälfte (Bereich von 20 bis 30 cm Tiefe), die des Gr-Horizonts überhaupt nicht ein</w:t>
      </w:r>
    </w:p>
    <w:p>
      <w:pPr>
        <w:pStyle w:val="Normal"/>
        <w:rPr>
          <w:i/>
          <w:sz w:val="18"/>
          <w:szCs w:val="18"/>
        </w:rPr>
      </w:pPr>
      <w:r>
        <w:rPr>
          <w:i/>
          <w:sz w:val="18"/>
          <w:szCs w:val="18"/>
        </w:rPr>
      </w:r>
    </w:p>
    <w:p>
      <w:pPr>
        <w:pStyle w:val="Heading3"/>
        <w:rPr/>
      </w:pPr>
      <w:r>
        <w:rPr/>
        <w:t>Px08 - Feldkapazität</w:t>
      </w:r>
    </w:p>
    <w:p>
      <w:pPr>
        <w:pStyle w:val="Normal"/>
        <w:rPr>
          <w:i/>
        </w:rPr>
      </w:pPr>
      <w:r>
        <w:rPr>
          <w:b/>
          <w:i/>
        </w:rPr>
        <w:t>Eingangsparameter:</w:t>
      </w:r>
      <w:r>
        <w:rPr>
          <w:i/>
        </w:rPr>
        <w:t xml:space="preserve"> </w:t>
      </w:r>
    </w:p>
    <w:p>
      <w:pPr>
        <w:pStyle w:val="Normal"/>
        <w:ind w:left="142" w:right="0" w:hanging="0"/>
        <w:rPr>
          <w:i/>
        </w:rPr>
      </w:pPr>
      <w:r>
        <w:rPr>
          <w:i/>
        </w:rPr>
        <w:t>falls bekannt: Feinporenanteil in % (B223), Mittelporenanteil in % (B222)</w:t>
      </w:r>
    </w:p>
    <w:p>
      <w:pPr>
        <w:pStyle w:val="Normal"/>
        <w:ind w:left="142" w:right="0" w:hanging="0"/>
        <w:rPr>
          <w:i/>
        </w:rPr>
      </w:pPr>
      <w:r>
        <w:rPr>
          <w:i/>
        </w:rPr>
        <w:t>Horizontmächtigkeit</w:t>
      </w:r>
    </w:p>
    <w:p>
      <w:pPr>
        <w:pStyle w:val="Normal"/>
        <w:ind w:left="142" w:right="0" w:hanging="0"/>
        <w:rPr>
          <w:i/>
        </w:rPr>
      </w:pPr>
      <w:r>
        <w:rPr>
          <w:i/>
        </w:rPr>
        <w:t>Bodenart (P140 oder B209)</w:t>
      </w:r>
    </w:p>
    <w:p>
      <w:pPr>
        <w:pStyle w:val="Normal"/>
        <w:ind w:left="142" w:right="0" w:hanging="0"/>
        <w:rPr>
          <w:i/>
        </w:rPr>
      </w:pPr>
      <w:r>
        <w:rPr>
          <w:i/>
        </w:rPr>
        <w:t>Humusgehalt (Px01)</w:t>
      </w:r>
    </w:p>
    <w:p>
      <w:pPr>
        <w:pStyle w:val="Normal"/>
        <w:ind w:left="142" w:right="0" w:hanging="0"/>
        <w:rPr>
          <w:i/>
        </w:rPr>
      </w:pPr>
      <w:r>
        <w:rPr>
          <w:i/>
        </w:rPr>
        <w:t>Skelettgehalt (Px02)</w:t>
      </w:r>
    </w:p>
    <w:p>
      <w:pPr>
        <w:pStyle w:val="Normal"/>
        <w:ind w:left="142" w:right="0" w:hanging="0"/>
        <w:rPr>
          <w:i/>
        </w:rPr>
      </w:pPr>
      <w:r>
        <w:rPr>
          <w:i/>
        </w:rPr>
        <w:t>Lagerungsdichte (Px03)</w:t>
      </w:r>
    </w:p>
    <w:p>
      <w:pPr>
        <w:pStyle w:val="Normal"/>
        <w:rPr>
          <w:rFonts w:cs="Arial"/>
          <w:szCs w:val="20"/>
        </w:rPr>
      </w:pPr>
      <w:r>
        <w:rPr>
          <w:rFonts w:cs="Arial"/>
          <w:szCs w:val="20"/>
        </w:rPr>
      </w:r>
    </w:p>
    <w:p>
      <w:pPr>
        <w:pStyle w:val="Normal"/>
        <w:jc w:val="both"/>
        <w:rPr/>
      </w:pPr>
      <w:r>
        <w:rPr/>
        <w:t>Falls der relevante Porenanteil bekannt ist (</w:t>
      </w:r>
      <w:r>
        <w:rPr>
          <w:b/>
        </w:rPr>
        <w:t>B223</w:t>
      </w:r>
      <w:r>
        <w:rPr/>
        <w:t xml:space="preserve"> „Feinporenanteil %“ + </w:t>
      </w:r>
      <w:r>
        <w:rPr>
          <w:b/>
        </w:rPr>
        <w:t>B222</w:t>
      </w:r>
      <w:r>
        <w:rPr/>
        <w:t xml:space="preserve"> „Mittelporenanteil %“), so ist dieser Wert ohne weitere Modifikation zu verwenden und in die unten angegebene Formel zur Berechnung von </w:t>
      </w:r>
      <w:r>
        <w:rPr>
          <w:b/>
        </w:rPr>
        <w:t>Px08</w:t>
      </w:r>
      <w:r>
        <w:rPr/>
        <w:t xml:space="preserve"> einzusetzen. </w:t>
      </w:r>
    </w:p>
    <w:p>
      <w:pPr>
        <w:pStyle w:val="Normal"/>
        <w:jc w:val="both"/>
        <w:rPr/>
      </w:pPr>
      <w:r>
        <w:rPr>
          <w:rFonts w:cs="Arial"/>
          <w:szCs w:val="20"/>
        </w:rPr>
        <w:t>Ansonsten wird der Anteil von Poren, die Wasser pflanzenverfügbar oder als „Totwasser“ im Böden halten können</w:t>
      </w:r>
      <w:r>
        <w:rPr/>
        <w:t xml:space="preserve"> (in % bzw. weiterführend absolut in l/m²), nach folgender Tabelle ermittelt:</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tbl>
      <w:tblPr>
        <w:jc w:val="left"/>
        <w:tblInd w:w="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415"/>
        <w:gridCol w:w="1415"/>
        <w:gridCol w:w="1984"/>
        <w:gridCol w:w="1983"/>
        <w:gridCol w:w="1994"/>
      </w:tblGrid>
      <w:tr>
        <w:trPr>
          <w:trHeight w:val="410" w:hRule="atLeast"/>
          <w:cantSplit w:val="false"/>
        </w:trPr>
        <w:tc>
          <w:tcPr>
            <w:tcW w:w="141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P140</w:t>
            </w:r>
          </w:p>
        </w:tc>
        <w:tc>
          <w:tcPr>
            <w:tcW w:w="141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Bodenart</w:t>
            </w:r>
          </w:p>
        </w:tc>
        <w:tc>
          <w:tcPr>
            <w:tcW w:w="5961"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berschrift"/>
              <w:spacing w:before="120" w:after="60"/>
              <w:rPr/>
            </w:pPr>
            <w:r>
              <w:rPr/>
              <w:t>FK (</w:t>
            </w:r>
            <w:r>
              <w:rPr>
                <w:rFonts w:ascii="Symbol" w:hAnsi="Symbol"/>
              </w:rPr>
              <w:t></w:t>
            </w:r>
            <w:r>
              <w:rPr/>
              <w:t>50µm) – FK%=</w:t>
            </w:r>
          </w:p>
        </w:tc>
      </w:tr>
      <w:tr>
        <w:trPr>
          <w:trHeight w:val="290" w:hRule="atLeast"/>
          <w:cantSplit w:val="false"/>
        </w:trPr>
        <w:tc>
          <w:tcPr>
            <w:tcW w:w="141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41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en-GB"/>
              </w:rPr>
            </w:pPr>
            <w:r>
              <w:rPr>
                <w:lang w:val="en-GB"/>
              </w:rPr>
              <w:t>Px03: Ld1+2</w:t>
              <w:br/>
            </w:r>
            <w:r>
              <w:rPr>
                <w:b w:val="false"/>
                <w:i/>
                <w:lang w:val="en-GB"/>
              </w:rPr>
              <w:t>(B210: &lt;1,4 g/cm³)</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rPr>
            </w:pPr>
            <w:r>
              <w:rPr/>
              <w:t>Ld3</w:t>
              <w:br/>
            </w:r>
            <w:r>
              <w:rPr>
                <w:b w:val="false"/>
                <w:i/>
              </w:rPr>
              <w:t>(1,4 bis 1,7 g/cm³)</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en-GB"/>
              </w:rPr>
            </w:pPr>
            <w:r>
              <w:rPr>
                <w:lang w:val="en-GB"/>
              </w:rPr>
              <w:t>Ld4+5</w:t>
              <w:br/>
            </w:r>
            <w:r>
              <w:rPr>
                <w:b w:val="false"/>
                <w:i/>
                <w:lang w:val="en-GB"/>
              </w:rPr>
              <w:t>(&gt;1,7 g/cm³)</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101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23</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20</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17,5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121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uS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36</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30</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28</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212</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sU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39</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33,5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31</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202</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39</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35,5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33,5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231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35,5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30,5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27,5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332</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41,5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36</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33</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341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iCs/>
                <w:szCs w:val="20"/>
              </w:rPr>
            </w:pPr>
            <w:r>
              <w:rPr>
                <w:rFonts w:cs="Arial"/>
                <w:iCs/>
                <w:szCs w:val="20"/>
              </w:rPr>
              <w:t>29</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iCs/>
                <w:szCs w:val="20"/>
              </w:rPr>
            </w:pPr>
            <w:r>
              <w:rPr>
                <w:rFonts w:cs="Arial"/>
                <w:iCs/>
                <w:szCs w:val="20"/>
              </w:rPr>
              <w:t>26,5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iCs/>
                <w:szCs w:val="20"/>
              </w:rPr>
            </w:pPr>
            <w:r>
              <w:rPr>
                <w:rFonts w:cs="Arial"/>
                <w:iCs/>
                <w:szCs w:val="20"/>
              </w:rPr>
              <w:t>26</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313</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41</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34</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30,5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423</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uL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47</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38,5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34</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403</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48,5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39,5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414</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iCs/>
                <w:szCs w:val="20"/>
              </w:rPr>
            </w:pPr>
            <w:r>
              <w:rPr>
                <w:rFonts w:cs="Arial"/>
                <w:iCs/>
                <w:szCs w:val="20"/>
              </w:rPr>
              <w:t>42</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iCs/>
                <w:szCs w:val="20"/>
              </w:rPr>
            </w:pPr>
            <w:r>
              <w:rPr>
                <w:rFonts w:cs="Arial"/>
                <w:iCs/>
                <w:szCs w:val="20"/>
              </w:rPr>
              <w:t>36</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iCs/>
                <w:szCs w:val="20"/>
              </w:rPr>
            </w:pPr>
            <w:r>
              <w:rPr>
                <w:rFonts w:cs="Arial"/>
                <w:iCs/>
                <w:szCs w:val="20"/>
              </w:rPr>
              <w:t>31</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534</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56,5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48</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42</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504</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58</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49</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42,5</w:t>
            </w:r>
          </w:p>
        </w:tc>
      </w:tr>
    </w:tbl>
    <w:p>
      <w:pPr>
        <w:pStyle w:val="Bildunterschrift"/>
        <w:rPr/>
      </w:pPr>
      <w:r>
        <w:rPr/>
        <w:t>Quelle: Ableitung nach Müller (2004: 109ff., VKR 6.1.8), auf österreichische Systematik übertragen nach Kuderna et al. (2000: 9)</w:t>
      </w:r>
    </w:p>
    <w:p>
      <w:pPr>
        <w:pStyle w:val="Normal"/>
        <w:rPr>
          <w:rFonts w:cs="Arial"/>
          <w:szCs w:val="20"/>
        </w:rPr>
      </w:pPr>
      <w:r>
        <w:rPr>
          <w:rFonts w:cs="Arial"/>
          <w:szCs w:val="20"/>
        </w:rPr>
      </w:r>
    </w:p>
    <w:p>
      <w:pPr>
        <w:pStyle w:val="Normal"/>
        <w:jc w:val="both"/>
        <w:rPr>
          <w:rFonts w:cs="Arial"/>
          <w:szCs w:val="20"/>
        </w:rPr>
      </w:pPr>
      <w:r>
        <w:rPr>
          <w:rFonts w:cs="Arial"/>
          <w:szCs w:val="20"/>
        </w:rPr>
        <w:t xml:space="preserve">Die Feldkapazität der organischen Substanz (P168 oder B104) ist in Abhängigkeit von der Bodenart zu berücksichtigen, der entsprechende Wert aus folgender Tabelle ist zu </w:t>
      </w:r>
      <w:r>
        <w:rPr>
          <w:rFonts w:cs="Arial"/>
          <w:b/>
          <w:szCs w:val="20"/>
        </w:rPr>
        <w:t>FK%</w:t>
      </w:r>
      <w:r>
        <w:rPr>
          <w:rFonts w:cs="Arial"/>
          <w:szCs w:val="20"/>
        </w:rPr>
        <w:t xml:space="preserve"> zu addieren (Müller 2004: 113, Modifikation auf Basis der BK-Daten von Kufstein angelehnt an Kuderna et al. 2000: 9f.).</w:t>
      </w:r>
    </w:p>
    <w:p>
      <w:pPr>
        <w:pStyle w:val="Normal"/>
        <w:rPr>
          <w:rFonts w:cs="Arial"/>
          <w:szCs w:val="20"/>
        </w:rPr>
      </w:pPr>
      <w:r>
        <w:rPr>
          <w:rFonts w:cs="Arial"/>
          <w:szCs w:val="20"/>
        </w:rPr>
      </w:r>
    </w:p>
    <w:tbl>
      <w:tblPr>
        <w:jc w:val="left"/>
        <w:tblInd w:w="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243"/>
        <w:gridCol w:w="1245"/>
        <w:gridCol w:w="1346"/>
        <w:gridCol w:w="1261"/>
        <w:gridCol w:w="1302"/>
        <w:gridCol w:w="1302"/>
        <w:gridCol w:w="1311"/>
      </w:tblGrid>
      <w:tr>
        <w:trPr>
          <w:trHeight w:val="410" w:hRule="atLeast"/>
          <w:cantSplit w:val="false"/>
        </w:trPr>
        <w:tc>
          <w:tcPr>
            <w:tcW w:w="124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P140</w:t>
            </w:r>
          </w:p>
        </w:tc>
        <w:tc>
          <w:tcPr>
            <w:tcW w:w="124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Bodenart</w:t>
            </w:r>
          </w:p>
        </w:tc>
        <w:tc>
          <w:tcPr>
            <w:tcW w:w="6522"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berschrift"/>
              <w:spacing w:before="120" w:after="60"/>
              <w:rPr/>
            </w:pPr>
            <w:r>
              <w:rPr/>
              <w:t xml:space="preserve">Modifikation nach Humusgehalt </w:t>
            </w:r>
          </w:p>
        </w:tc>
      </w:tr>
      <w:tr>
        <w:trPr>
          <w:trHeight w:val="290" w:hRule="atLeast"/>
          <w:cantSplit w:val="false"/>
        </w:trPr>
        <w:tc>
          <w:tcPr>
            <w:tcW w:w="124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24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berschrift"/>
              <w:spacing w:before="120" w:after="60"/>
              <w:rPr>
                <w:b w:val="false"/>
                <w:i/>
              </w:rPr>
            </w:pPr>
            <w:r>
              <w:rPr/>
              <w:t>P168: 10</w:t>
              <w:br/>
            </w:r>
            <w:r>
              <w:rPr>
                <w:b w:val="false"/>
                <w:i/>
              </w:rPr>
              <w:t>(B104: &lt;1 %)</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berschrift"/>
              <w:spacing w:before="120" w:after="60"/>
              <w:rPr>
                <w:b w:val="false"/>
                <w:i/>
              </w:rPr>
            </w:pPr>
            <w:r>
              <w:rPr/>
              <w:t>20</w:t>
              <w:br/>
            </w:r>
            <w:r>
              <w:rPr>
                <w:b w:val="false"/>
                <w:i/>
              </w:rPr>
              <w:t>(1-&lt;2 %)</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berschrift"/>
              <w:spacing w:before="120" w:after="60"/>
              <w:rPr>
                <w:b w:val="false"/>
                <w:i/>
              </w:rPr>
            </w:pPr>
            <w:r>
              <w:rPr/>
              <w:t>30</w:t>
              <w:br/>
            </w:r>
            <w:r>
              <w:rPr>
                <w:b w:val="false"/>
                <w:i/>
              </w:rPr>
              <w:t>(2-&lt;4 %)</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berschrift"/>
              <w:spacing w:before="120" w:after="60"/>
              <w:rPr>
                <w:b w:val="false"/>
                <w:i/>
              </w:rPr>
            </w:pPr>
            <w:r>
              <w:rPr/>
              <w:t>40</w:t>
              <w:br/>
            </w:r>
            <w:r>
              <w:rPr>
                <w:b w:val="false"/>
                <w:i/>
              </w:rPr>
              <w:t>(4-&lt;8 %)</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rPr>
            </w:pPr>
            <w:r>
              <w:rPr/>
              <w:t>50</w:t>
              <w:br/>
            </w:r>
            <w:r>
              <w:rPr>
                <w:b w:val="false"/>
                <w:i/>
              </w:rPr>
              <w:t>(8-&lt;15 %)</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101, 121</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 uS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1,5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7,5</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10</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231, 341</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lS, tS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1,5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8</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11,5</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202, 212</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sU, U</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color w:val="000000"/>
                <w:szCs w:val="20"/>
              </w:rPr>
            </w:pPr>
            <w:r>
              <w:rPr>
                <w:rFonts w:cs="Arial"/>
                <w:color w:val="000000"/>
                <w:szCs w:val="20"/>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color w:val="000000"/>
                <w:szCs w:val="20"/>
              </w:rPr>
            </w:pPr>
            <w:r>
              <w:rPr>
                <w:rFonts w:cs="Arial"/>
                <w:color w:val="000000"/>
                <w:szCs w:val="20"/>
              </w:rPr>
              <w:t>1,5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color w:val="000000"/>
                <w:szCs w:val="20"/>
              </w:rPr>
            </w:pPr>
            <w:r>
              <w:rPr>
                <w:rFonts w:cs="Arial"/>
                <w:color w:val="000000"/>
                <w:szCs w:val="20"/>
              </w:rPr>
              <w:t>3,5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color w:val="000000"/>
                <w:szCs w:val="20"/>
              </w:rPr>
            </w:pPr>
            <w:r>
              <w:rPr>
                <w:rFonts w:cs="Arial"/>
                <w:color w:val="000000"/>
                <w:szCs w:val="20"/>
              </w:rPr>
              <w:t>7,5</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color w:val="000000"/>
                <w:szCs w:val="20"/>
              </w:rPr>
            </w:pPr>
            <w:r>
              <w:rPr>
                <w:rFonts w:cs="Arial"/>
                <w:color w:val="000000"/>
                <w:szCs w:val="20"/>
              </w:rPr>
              <w:t>10</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 xml:space="preserve">313, 332, </w:t>
              <w:br/>
              <w:t>403, 423</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lU, sL, uL, L</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2,5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4</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10</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13,5</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 xml:space="preserve">414, 504, </w:t>
              <w:br/>
              <w:t>534</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sT, lT, T</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3</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6</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11,5</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rFonts w:cs="Arial"/>
                <w:szCs w:val="20"/>
              </w:rPr>
            </w:pPr>
            <w:r>
              <w:rPr>
                <w:rFonts w:cs="Arial"/>
                <w:szCs w:val="20"/>
              </w:rPr>
              <w:t>17</w:t>
            </w:r>
          </w:p>
        </w:tc>
      </w:tr>
    </w:tbl>
    <w:p>
      <w:pPr>
        <w:pStyle w:val="Normal"/>
        <w:rPr/>
      </w:pPr>
      <w:r>
        <w:rPr/>
      </w:r>
    </w:p>
    <w:p>
      <w:pPr>
        <w:pStyle w:val="Normal"/>
        <w:jc w:val="both"/>
        <w:rPr/>
      </w:pPr>
      <w:r>
        <w:rPr/>
        <w:t>Grau hinterlegt sind jene Klassen, die angesetzt werden sollen, wenn die Angaben aus der Bodenkarte übernommen werden, in der nur drei Klassen (schwach humos &lt;1,5 %, mittelhumos 1,5-4 % und stark humos &gt;4 % – siehe Kuderna et al. 2000: 10) angegeben sind.</w:t>
      </w:r>
    </w:p>
    <w:p>
      <w:pPr>
        <w:pStyle w:val="Normal"/>
        <w:jc w:val="both"/>
        <w:rPr>
          <w:rFonts w:cs="Arial"/>
          <w:szCs w:val="20"/>
        </w:rPr>
      </w:pPr>
      <w:r>
        <w:rPr>
          <w:rFonts w:cs="Arial"/>
          <w:szCs w:val="20"/>
        </w:rPr>
      </w:r>
    </w:p>
    <w:p>
      <w:pPr>
        <w:pStyle w:val="Normal"/>
        <w:jc w:val="both"/>
        <w:rPr>
          <w:rFonts w:cs="Arial"/>
          <w:szCs w:val="20"/>
        </w:rPr>
      </w:pPr>
      <w:r>
        <w:rPr>
          <w:rFonts w:cs="Arial"/>
          <w:szCs w:val="20"/>
        </w:rPr>
        <w:t>Gemäß Müller (2004: 111) ist bei sehr humusreichen Böden und Anmooren die Feldkapazität weitgehend unabhängig von der Bodenart. Für Horizonte mit einem Humusgehalt von &gt;15% werden daher fixe Werte für das relevante Porenvolumen angenommen:</w:t>
      </w:r>
    </w:p>
    <w:p>
      <w:pPr>
        <w:pStyle w:val="Aufzhlung"/>
        <w:rPr>
          <w:b/>
        </w:rPr>
      </w:pPr>
      <w:r>
        <w:rPr/>
        <w:t xml:space="preserve">Torfe (Code 70 in Feld P168 bzw. &gt;30 % in Feld B104): </w:t>
        <w:tab/>
        <w:tab/>
        <w:tab/>
      </w:r>
      <w:r>
        <w:rPr>
          <w:b/>
        </w:rPr>
        <w:t>FK% = 76 %</w:t>
      </w:r>
    </w:p>
    <w:p>
      <w:pPr>
        <w:pStyle w:val="Aufzhlung"/>
        <w:rPr/>
      </w:pPr>
      <w:r>
        <w:rPr/>
        <w:t>äußerst humose / anmoorige Böden (Code 60 bzw. 15-30% lt. B104):</w:t>
        <w:tab/>
        <w:br/>
        <w:tab/>
      </w:r>
      <w:r>
        <w:rPr>
          <w:b/>
        </w:rPr>
        <w:t xml:space="preserve">FK% = 56 % </w:t>
      </w:r>
      <w:r>
        <w:rPr/>
        <w:t>(für Bodenarten S, lS, tS – P140: 101, 231, 341)</w:t>
        <w:br/>
        <w:tab/>
      </w:r>
      <w:r>
        <w:rPr>
          <w:b/>
        </w:rPr>
        <w:t xml:space="preserve">FK% = 67 % </w:t>
      </w:r>
      <w:r>
        <w:rPr/>
        <w:t>(für alle anderen Bodenarten)</w:t>
      </w:r>
    </w:p>
    <w:p>
      <w:pPr>
        <w:pStyle w:val="Normal"/>
        <w:jc w:val="both"/>
        <w:rPr>
          <w:rFonts w:cs="Arial"/>
          <w:szCs w:val="20"/>
        </w:rPr>
      </w:pPr>
      <w:r>
        <w:rPr>
          <w:rFonts w:cs="Arial"/>
          <w:szCs w:val="20"/>
        </w:rPr>
        <w:t>Berechnung der nutzbaren Feldkapazität in [l/m²] unter Berücksichtigung von Horizontmächtigkeit (Horizontuntergrenze minus Horizontobergrenze), Skelettgehalt (Px02) und relevantem Porenvolumen (FK%, siehe Tabelle).</w:t>
      </w:r>
    </w:p>
    <w:p>
      <w:pPr>
        <w:pStyle w:val="Normal"/>
        <w:rPr/>
      </w:pPr>
      <w:r>
        <w:rPr/>
      </w:r>
    </w:p>
    <w:p>
      <w:pPr>
        <w:pStyle w:val="Normal"/>
        <w:rPr>
          <w:b/>
        </w:rPr>
      </w:pPr>
      <w:r>
        <w:rPr>
          <w:b/>
        </w:rPr>
        <w:tab/>
        <w:t xml:space="preserve">Px08 [l/m²] = Mächtigkeit [cm] * 10 * (100 - SK% </w:t>
      </w:r>
      <w:r>
        <w:rPr>
          <w:b/>
          <w:i/>
        </w:rPr>
        <w:t>(Px02)</w:t>
      </w:r>
      <w:r>
        <w:rPr>
          <w:b/>
        </w:rPr>
        <w:t>) / 100 * (FK% / 100)</w:t>
      </w:r>
    </w:p>
    <w:p>
      <w:pPr>
        <w:pStyle w:val="Normal"/>
        <w:rPr/>
      </w:pPr>
      <w:r>
        <w:rPr/>
      </w:r>
    </w:p>
    <w:p>
      <w:pPr>
        <w:pStyle w:val="Normal"/>
        <w:rPr>
          <w:b/>
        </w:rPr>
      </w:pPr>
      <w:r>
        <w:rPr>
          <w:b/>
        </w:rPr>
        <w:tab/>
        <w:t>FK</w:t>
      </w:r>
      <w:r>
        <w:rPr>
          <w:b/>
          <w:vertAlign w:val="subscript"/>
        </w:rPr>
        <w:t>ges</w:t>
      </w:r>
      <w:r>
        <w:rPr>
          <w:b/>
        </w:rPr>
        <w:t xml:space="preserve"> </w:t>
      </w:r>
      <w:r>
        <w:rPr>
          <w:rFonts w:cs="Arial"/>
          <w:b/>
          <w:szCs w:val="20"/>
        </w:rPr>
        <w:t>[l/m²]</w:t>
      </w:r>
      <w:r>
        <w:rPr>
          <w:b/>
        </w:rPr>
        <w:t xml:space="preserve"> (Sx05) = Summe der FK für das gesamte Profil</w:t>
      </w:r>
    </w:p>
    <w:p>
      <w:pPr>
        <w:pStyle w:val="Normal"/>
        <w:rPr>
          <w:b/>
        </w:rPr>
      </w:pPr>
      <w:r>
        <w:rPr>
          <w:b/>
        </w:rPr>
      </w:r>
    </w:p>
    <w:p>
      <w:pPr>
        <w:pStyle w:val="Normal"/>
        <w:rPr>
          <w:b/>
        </w:rPr>
      </w:pPr>
      <w:r>
        <w:rPr>
          <w:b/>
        </w:rPr>
        <w:tab/>
        <w:t>FK</w:t>
      </w:r>
      <w:r>
        <w:rPr>
          <w:b/>
          <w:vertAlign w:val="subscript"/>
        </w:rPr>
        <w:t>We</w:t>
      </w:r>
      <w:r>
        <w:rPr>
          <w:b/>
        </w:rPr>
        <w:t xml:space="preserve"> </w:t>
      </w:r>
      <w:r>
        <w:rPr>
          <w:rFonts w:cs="Arial"/>
          <w:b/>
          <w:szCs w:val="20"/>
        </w:rPr>
        <w:t>[l/m²]</w:t>
      </w:r>
      <w:r>
        <w:rPr>
          <w:b/>
        </w:rPr>
        <w:t xml:space="preserve"> (Sx05a) = Summe der FK für den effektiven Wurzelraum</w:t>
      </w:r>
    </w:p>
    <w:p>
      <w:pPr>
        <w:pStyle w:val="Normal"/>
        <w:rPr/>
      </w:pPr>
      <w:r>
        <w:rPr/>
      </w:r>
    </w:p>
    <w:p>
      <w:pPr>
        <w:pStyle w:val="Normal"/>
        <w:jc w:val="both"/>
        <w:rPr/>
      </w:pPr>
      <w:r>
        <w:rPr/>
        <w:t>Für die Bestimmung von Sx05a werden die FK-Werte bis zur in Sx12 festgelegten Tiefe für alle Horizonte aufsummiert. Weicht die dort definierte Tiefe von einer Horizontgrenze ab, so wird die FK des betreffenden Horizontes anteilsmäßig berücksichtigt (siehe Sx04a - nFK</w:t>
      </w:r>
      <w:r>
        <w:rPr>
          <w:vertAlign w:val="subscript"/>
        </w:rPr>
        <w:t>We</w:t>
      </w:r>
      <w:r>
        <w:rPr/>
        <w:t>)</w:t>
      </w:r>
    </w:p>
    <w:p>
      <w:pPr>
        <w:pStyle w:val="Normal"/>
        <w:rPr/>
      </w:pPr>
      <w:r>
        <w:rPr/>
      </w:r>
    </w:p>
    <w:p>
      <w:pPr>
        <w:pStyle w:val="Heading3"/>
        <w:rPr/>
      </w:pPr>
      <w:r>
        <w:rPr/>
        <w:t>Px09 - Luftkapazität</w:t>
      </w:r>
    </w:p>
    <w:p>
      <w:pPr>
        <w:pStyle w:val="Normal"/>
        <w:rPr>
          <w:i/>
        </w:rPr>
      </w:pPr>
      <w:r>
        <w:rPr>
          <w:b/>
          <w:i/>
        </w:rPr>
        <w:t>Eingangsparameter:</w:t>
      </w:r>
      <w:r>
        <w:rPr>
          <w:i/>
        </w:rPr>
        <w:t xml:space="preserve"> </w:t>
      </w:r>
    </w:p>
    <w:p>
      <w:pPr>
        <w:pStyle w:val="Normal"/>
        <w:ind w:left="142" w:right="0" w:hanging="0"/>
        <w:rPr>
          <w:i/>
        </w:rPr>
      </w:pPr>
      <w:r>
        <w:rPr>
          <w:i/>
        </w:rPr>
        <w:t>falls bekannt: Grobporenanteil in % (B221)</w:t>
      </w:r>
    </w:p>
    <w:p>
      <w:pPr>
        <w:pStyle w:val="Normal"/>
        <w:ind w:left="142" w:right="0" w:hanging="0"/>
        <w:rPr>
          <w:i/>
        </w:rPr>
      </w:pPr>
      <w:r>
        <w:rPr>
          <w:i/>
        </w:rPr>
        <w:t>Horizontmächtigkeit</w:t>
      </w:r>
    </w:p>
    <w:p>
      <w:pPr>
        <w:pStyle w:val="Normal"/>
        <w:ind w:left="142" w:right="0" w:hanging="0"/>
        <w:rPr>
          <w:i/>
        </w:rPr>
      </w:pPr>
      <w:r>
        <w:rPr>
          <w:i/>
        </w:rPr>
        <w:t>Bodenart (P140 oder B209)</w:t>
      </w:r>
    </w:p>
    <w:p>
      <w:pPr>
        <w:pStyle w:val="Normal"/>
        <w:ind w:left="142" w:right="0" w:hanging="0"/>
        <w:rPr>
          <w:i/>
        </w:rPr>
      </w:pPr>
      <w:r>
        <w:rPr>
          <w:i/>
        </w:rPr>
        <w:t>Humusgehalt (Px01)</w:t>
      </w:r>
    </w:p>
    <w:p>
      <w:pPr>
        <w:pStyle w:val="Normal"/>
        <w:ind w:left="142" w:right="0" w:hanging="0"/>
        <w:rPr>
          <w:i/>
        </w:rPr>
      </w:pPr>
      <w:r>
        <w:rPr>
          <w:i/>
        </w:rPr>
        <w:t>Skelettgehalt (Px02)</w:t>
      </w:r>
    </w:p>
    <w:p>
      <w:pPr>
        <w:pStyle w:val="Normal"/>
        <w:ind w:left="142" w:right="0" w:hanging="0"/>
        <w:rPr>
          <w:i/>
        </w:rPr>
      </w:pPr>
      <w:r>
        <w:rPr>
          <w:i/>
        </w:rPr>
        <w:t>Lagerungsdichte (Px03)</w:t>
      </w:r>
    </w:p>
    <w:p>
      <w:pPr>
        <w:pStyle w:val="Normal"/>
        <w:rPr>
          <w:rFonts w:cs="Arial"/>
          <w:szCs w:val="20"/>
        </w:rPr>
      </w:pPr>
      <w:r>
        <w:rPr>
          <w:rFonts w:cs="Arial"/>
          <w:szCs w:val="20"/>
        </w:rPr>
      </w:r>
    </w:p>
    <w:p>
      <w:pPr>
        <w:pStyle w:val="Normal"/>
        <w:jc w:val="both"/>
        <w:rPr/>
      </w:pPr>
      <w:r>
        <w:rPr/>
        <w:t>Falls der relevante Porenanteil bekannt ist (</w:t>
      </w:r>
      <w:r>
        <w:rPr>
          <w:b/>
        </w:rPr>
        <w:t>B221</w:t>
      </w:r>
      <w:r>
        <w:rPr/>
        <w:t xml:space="preserve"> „Grobporenanteil %“), so ist dieser Wert ohne weitere Modifikation zu verwenden und in die unten angegebene Formel zur Berechnung von </w:t>
      </w:r>
      <w:r>
        <w:rPr>
          <w:b/>
        </w:rPr>
        <w:t>Px09</w:t>
      </w:r>
      <w:r>
        <w:rPr/>
        <w:t xml:space="preserve"> einzusetzen. </w:t>
      </w:r>
    </w:p>
    <w:p>
      <w:pPr>
        <w:pStyle w:val="Normal"/>
        <w:rPr>
          <w:rFonts w:cs="Arial"/>
          <w:szCs w:val="20"/>
        </w:rPr>
      </w:pPr>
      <w:r>
        <w:rPr>
          <w:rFonts w:cs="Arial"/>
          <w:szCs w:val="20"/>
        </w:rPr>
      </w:r>
    </w:p>
    <w:p>
      <w:pPr>
        <w:pStyle w:val="Normal"/>
        <w:jc w:val="both"/>
        <w:rPr>
          <w:rFonts w:cs="Arial"/>
          <w:szCs w:val="20"/>
        </w:rPr>
      </w:pPr>
      <w:r>
        <w:rPr>
          <w:rFonts w:cs="Arial"/>
          <w:szCs w:val="20"/>
        </w:rPr>
        <w:t>Ansonsten wird der Anteil von Poren, die nur kurzzeitig mit Wasser gefüllt sind (z.B. nach Starknieder</w:t>
        <w:softHyphen/>
        <w:t>schlägen) und rasch wieder entwässern, nach folgender Tabelle ermittelt:</w:t>
      </w:r>
    </w:p>
    <w:p>
      <w:pPr>
        <w:pStyle w:val="Normal"/>
        <w:rPr>
          <w:rFonts w:cs="Arial"/>
          <w:szCs w:val="20"/>
        </w:rPr>
      </w:pPr>
      <w:r>
        <w:rPr>
          <w:rFonts w:cs="Arial"/>
          <w:szCs w:val="20"/>
        </w:rPr>
      </w:r>
    </w:p>
    <w:tbl>
      <w:tblPr>
        <w:jc w:val="left"/>
        <w:tblInd w:w="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415"/>
        <w:gridCol w:w="1415"/>
        <w:gridCol w:w="1984"/>
        <w:gridCol w:w="1983"/>
        <w:gridCol w:w="1994"/>
      </w:tblGrid>
      <w:tr>
        <w:trPr>
          <w:trHeight w:val="410" w:hRule="atLeast"/>
          <w:cantSplit w:val="false"/>
        </w:trPr>
        <w:tc>
          <w:tcPr>
            <w:tcW w:w="141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P140</w:t>
            </w:r>
          </w:p>
        </w:tc>
        <w:tc>
          <w:tcPr>
            <w:tcW w:w="141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Bodenart</w:t>
            </w:r>
          </w:p>
        </w:tc>
        <w:tc>
          <w:tcPr>
            <w:tcW w:w="5961"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berschrift"/>
              <w:spacing w:before="120" w:after="60"/>
              <w:rPr/>
            </w:pPr>
            <w:r>
              <w:rPr/>
              <w:t>LK (&gt;50µm) – LK%=</w:t>
            </w:r>
          </w:p>
        </w:tc>
      </w:tr>
      <w:tr>
        <w:trPr>
          <w:trHeight w:val="290" w:hRule="atLeast"/>
          <w:cantSplit w:val="false"/>
        </w:trPr>
        <w:tc>
          <w:tcPr>
            <w:tcW w:w="141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41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en-GB"/>
              </w:rPr>
            </w:pPr>
            <w:r>
              <w:rPr>
                <w:lang w:val="en-GB"/>
              </w:rPr>
              <w:t>Px03: Ld1+2</w:t>
              <w:br/>
            </w:r>
            <w:r>
              <w:rPr>
                <w:b w:val="false"/>
                <w:i/>
                <w:lang w:val="en-GB"/>
              </w:rPr>
              <w:t>(B210: &lt;1,4 g/cm³)</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rPr>
            </w:pPr>
            <w:r>
              <w:rPr/>
              <w:t>Ld3</w:t>
              <w:br/>
            </w:r>
            <w:r>
              <w:rPr>
                <w:b w:val="false"/>
                <w:i/>
              </w:rPr>
              <w:t>(1,4 bis 1,7 g/cm³)</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en-GB"/>
              </w:rPr>
            </w:pPr>
            <w:r>
              <w:rPr>
                <w:lang w:val="en-GB"/>
              </w:rPr>
              <w:t>Ld4+5</w:t>
              <w:br/>
            </w:r>
            <w:r>
              <w:rPr>
                <w:b w:val="false"/>
                <w:i/>
                <w:lang w:val="en-GB"/>
              </w:rPr>
              <w:t>(&gt;1,7 g/cm³)</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101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19</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16</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13</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121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uS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9,5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7</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4</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212</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sU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8,5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5,5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3</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202</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8,5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4,5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2</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231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10</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7,5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332</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8</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6</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3,5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341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12</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9</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313</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8,5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6,5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423</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uL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7</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5,5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4</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403</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7</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3,5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414</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8,5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7,5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6</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534</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4,5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3</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2</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504</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4</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3</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2</w:t>
            </w:r>
          </w:p>
        </w:tc>
      </w:tr>
    </w:tbl>
    <w:p>
      <w:pPr>
        <w:pStyle w:val="Bildunterschrift"/>
        <w:rPr/>
      </w:pPr>
      <w:r>
        <w:rPr/>
        <w:t>Quelle: Ableitung nach Müller (2004: 115ff., VKR 6.1.9), auf österreichische Systematik übertragen nach Kuderna et al. (2000: 9)</w:t>
      </w:r>
    </w:p>
    <w:p>
      <w:pPr>
        <w:pStyle w:val="Normal"/>
        <w:rPr>
          <w:rFonts w:cs="Arial"/>
          <w:szCs w:val="20"/>
        </w:rPr>
      </w:pPr>
      <w:r>
        <w:rPr>
          <w:rFonts w:cs="Arial"/>
          <w:szCs w:val="20"/>
        </w:rPr>
      </w:r>
    </w:p>
    <w:p>
      <w:pPr>
        <w:pStyle w:val="Normal"/>
        <w:jc w:val="both"/>
        <w:rPr>
          <w:rFonts w:cs="Arial"/>
          <w:szCs w:val="20"/>
        </w:rPr>
      </w:pPr>
      <w:r>
        <w:rPr>
          <w:rFonts w:cs="Arial"/>
          <w:szCs w:val="20"/>
        </w:rPr>
        <w:t xml:space="preserve">Die Luftkapazität der organischen Substanz (P168 oder B104) ist in Abhängigkeit von der Bodenart zu berücksichtigen, der entsprechende Wert aus folgender Tabelle ist zu </w:t>
      </w:r>
      <w:r>
        <w:rPr>
          <w:rFonts w:cs="Arial"/>
          <w:b/>
          <w:szCs w:val="20"/>
        </w:rPr>
        <w:t>LK%</w:t>
      </w:r>
      <w:r>
        <w:rPr>
          <w:rFonts w:cs="Arial"/>
          <w:szCs w:val="20"/>
        </w:rPr>
        <w:t xml:space="preserve"> zu addieren (Müller 2004: 117, Modifikation auf Basis der BK-Daten von Kufstein angelehnt an Kuderna et al. 2000: 9f.).</w:t>
      </w:r>
    </w:p>
    <w:p>
      <w:pPr>
        <w:pStyle w:val="Normal"/>
        <w:rPr>
          <w:rFonts w:cs="Arial"/>
          <w:szCs w:val="20"/>
        </w:rPr>
      </w:pPr>
      <w:r>
        <w:rPr>
          <w:rFonts w:cs="Arial"/>
          <w:szCs w:val="20"/>
        </w:rPr>
      </w:r>
    </w:p>
    <w:tbl>
      <w:tblPr>
        <w:jc w:val="left"/>
        <w:tblInd w:w="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243"/>
        <w:gridCol w:w="1245"/>
        <w:gridCol w:w="1346"/>
        <w:gridCol w:w="1261"/>
        <w:gridCol w:w="1302"/>
        <w:gridCol w:w="1302"/>
        <w:gridCol w:w="1311"/>
      </w:tblGrid>
      <w:tr>
        <w:trPr>
          <w:trHeight w:val="410" w:hRule="atLeast"/>
          <w:cantSplit w:val="false"/>
        </w:trPr>
        <w:tc>
          <w:tcPr>
            <w:tcW w:w="124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P140</w:t>
            </w:r>
          </w:p>
        </w:tc>
        <w:tc>
          <w:tcPr>
            <w:tcW w:w="124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Bodenart</w:t>
            </w:r>
          </w:p>
        </w:tc>
        <w:tc>
          <w:tcPr>
            <w:tcW w:w="6522"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berschrift"/>
              <w:spacing w:before="120" w:after="60"/>
              <w:rPr/>
            </w:pPr>
            <w:r>
              <w:rPr/>
              <w:t xml:space="preserve">Modifikation nach Humusgehalt </w:t>
            </w:r>
          </w:p>
        </w:tc>
      </w:tr>
      <w:tr>
        <w:trPr>
          <w:trHeight w:val="290" w:hRule="atLeast"/>
          <w:cantSplit w:val="false"/>
        </w:trPr>
        <w:tc>
          <w:tcPr>
            <w:tcW w:w="124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24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berschrift"/>
              <w:spacing w:before="120" w:after="60"/>
              <w:rPr>
                <w:b w:val="false"/>
                <w:i/>
              </w:rPr>
            </w:pPr>
            <w:r>
              <w:rPr/>
              <w:t>P168: 10</w:t>
              <w:br/>
            </w:r>
            <w:r>
              <w:rPr>
                <w:b w:val="false"/>
                <w:i/>
              </w:rPr>
              <w:t>(B104: &lt;1 %)</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berschrift"/>
              <w:spacing w:before="120" w:after="60"/>
              <w:rPr>
                <w:b w:val="false"/>
                <w:i/>
              </w:rPr>
            </w:pPr>
            <w:r>
              <w:rPr/>
              <w:t>20</w:t>
              <w:br/>
            </w:r>
            <w:r>
              <w:rPr>
                <w:b w:val="false"/>
                <w:i/>
              </w:rPr>
              <w:t>(1-&lt;2 %)</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berschrift"/>
              <w:spacing w:before="120" w:after="60"/>
              <w:rPr>
                <w:b w:val="false"/>
                <w:i/>
              </w:rPr>
            </w:pPr>
            <w:r>
              <w:rPr/>
              <w:t>30</w:t>
              <w:br/>
            </w:r>
            <w:r>
              <w:rPr>
                <w:b w:val="false"/>
                <w:i/>
              </w:rPr>
              <w:t>(2-&lt;4 %)</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berschrift"/>
              <w:spacing w:before="120" w:after="60"/>
              <w:rPr>
                <w:b w:val="false"/>
                <w:i/>
              </w:rPr>
            </w:pPr>
            <w:r>
              <w:rPr/>
              <w:t>40</w:t>
              <w:br/>
            </w:r>
            <w:r>
              <w:rPr>
                <w:b w:val="false"/>
                <w:i/>
              </w:rPr>
              <w:t>(4-&lt;8 %)</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rPr>
            </w:pPr>
            <w:r>
              <w:rPr/>
              <w:t>50</w:t>
              <w:br/>
            </w:r>
            <w:r>
              <w:rPr>
                <w:b w:val="false"/>
                <w:i/>
              </w:rPr>
              <w:t>(8-&lt;15 %)</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101, 121</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 uS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231, 341</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lS, tS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0</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2</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2,5</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202, 212</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sU, U</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0,5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2,5</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5,5</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 xml:space="preserve">313, 332, </w:t>
              <w:br/>
              <w:t>403, 423</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lU, sL, uL, L</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0,5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3</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5</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 xml:space="preserve">414, 504, </w:t>
              <w:br/>
              <w:t>534</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sT, lT, T</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0,5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2,5</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4,5</w:t>
            </w:r>
          </w:p>
        </w:tc>
      </w:tr>
    </w:tbl>
    <w:p>
      <w:pPr>
        <w:pStyle w:val="Normal"/>
        <w:rPr>
          <w:rFonts w:cs="Arial"/>
          <w:szCs w:val="20"/>
        </w:rPr>
      </w:pPr>
      <w:r>
        <w:rPr>
          <w:rFonts w:cs="Arial"/>
          <w:szCs w:val="20"/>
        </w:rPr>
      </w:r>
    </w:p>
    <w:p>
      <w:pPr>
        <w:pStyle w:val="Normal"/>
        <w:jc w:val="both"/>
        <w:rPr/>
      </w:pPr>
      <w:r>
        <w:rPr/>
        <w:t>Grau hinterlegt sind jene Klassen, die angesetzt werden sollen, wenn die Angaben aus der Bodenkarte übernommen werden, in der nur drei Klassen (schwach humos &lt;1,5 %, mittelhumos 1,5-4 % und stark humos &gt;4 % – siehe Kuderna et al. 2000: 10) angegeben sind.</w:t>
      </w:r>
    </w:p>
    <w:p>
      <w:pPr>
        <w:pStyle w:val="Normal"/>
        <w:rPr>
          <w:rFonts w:cs="Arial"/>
          <w:szCs w:val="20"/>
        </w:rPr>
      </w:pPr>
      <w:r>
        <w:rPr>
          <w:rFonts w:cs="Arial"/>
          <w:szCs w:val="20"/>
        </w:rPr>
      </w:r>
    </w:p>
    <w:p>
      <w:pPr>
        <w:pStyle w:val="Normal"/>
        <w:jc w:val="both"/>
        <w:rPr>
          <w:rFonts w:cs="Arial"/>
          <w:szCs w:val="20"/>
        </w:rPr>
      </w:pPr>
      <w:r>
        <w:rPr>
          <w:rFonts w:cs="Arial"/>
          <w:szCs w:val="20"/>
        </w:rPr>
        <w:t>Gemäß Müller (2004: 117) ist bei sehr humusreichen oder sehr skelettreichen Böden sowie Anmooren die Luftkapazität weit</w:t>
        <w:softHyphen/>
        <w:t>gehend unabhängig von der Bodenart. Für Horizonte mit einem Humusgehalt von &gt;15% werden daher fixe Werte für das relevante Porenvolumen angenommen:</w:t>
      </w:r>
    </w:p>
    <w:p>
      <w:pPr>
        <w:pStyle w:val="Aufzhlung"/>
        <w:rPr>
          <w:b/>
        </w:rPr>
      </w:pPr>
      <w:r>
        <w:rPr/>
        <w:t xml:space="preserve">Torfe (Code 70 in Feld P168 bzw. &gt;30% in Feld B104): </w:t>
        <w:tab/>
        <w:tab/>
        <w:tab/>
      </w:r>
      <w:r>
        <w:rPr>
          <w:b/>
        </w:rPr>
        <w:t>LK% = 20 %</w:t>
      </w:r>
    </w:p>
    <w:p>
      <w:pPr>
        <w:pStyle w:val="Aufzhlung"/>
        <w:rPr/>
      </w:pPr>
      <w:r>
        <w:rPr/>
        <w:t>äußerst humose / anmoorige Böden (Code 60 bzw. 15-30% lt. B104):</w:t>
        <w:tab/>
        <w:br/>
        <w:tab/>
      </w:r>
      <w:r>
        <w:rPr>
          <w:b/>
        </w:rPr>
        <w:t xml:space="preserve">LK% = 11 % </w:t>
      </w:r>
      <w:r>
        <w:rPr/>
        <w:t>(für Bodenarten S, lS, tS – P140: 101, 231, 341)</w:t>
        <w:br/>
        <w:tab/>
      </w:r>
      <w:r>
        <w:rPr>
          <w:b/>
        </w:rPr>
        <w:t xml:space="preserve">LK% =   6 % </w:t>
      </w:r>
      <w:r>
        <w:rPr/>
        <w:t>(für alle anderen Bodenarten)</w:t>
      </w:r>
    </w:p>
    <w:p>
      <w:pPr>
        <w:pStyle w:val="Aufzhlung"/>
        <w:rPr/>
      </w:pPr>
      <w:r>
        <w:rPr/>
        <w:t xml:space="preserve">für Böden mit einem Skelettgehalt von </w:t>
      </w:r>
      <w:r>
        <w:rPr>
          <w:rFonts w:eastAsia="Arial"/>
        </w:rPr>
        <w:t>&gt;</w:t>
      </w:r>
      <w:r>
        <w:rPr/>
        <w:t xml:space="preserve">60% (in P117 bzw. Code 599 in Feld P116): </w:t>
        <w:tab/>
        <w:br/>
        <w:tab/>
      </w:r>
      <w:r>
        <w:rPr>
          <w:b/>
        </w:rPr>
        <w:t xml:space="preserve">LK% = 25 % </w:t>
      </w:r>
      <w:r>
        <w:rPr/>
        <w:t>(Lehmann 2008: 55)</w:t>
      </w:r>
    </w:p>
    <w:p>
      <w:pPr>
        <w:pStyle w:val="Normal"/>
        <w:rPr/>
      </w:pPr>
      <w:r>
        <w:rPr/>
      </w:r>
    </w:p>
    <w:p>
      <w:pPr>
        <w:pStyle w:val="Normal"/>
        <w:jc w:val="both"/>
        <w:rPr>
          <w:rFonts w:cs="Arial"/>
          <w:szCs w:val="20"/>
        </w:rPr>
      </w:pPr>
      <w:r>
        <w:rPr>
          <w:rFonts w:cs="Arial"/>
          <w:szCs w:val="20"/>
        </w:rPr>
        <w:t>Berechnung der Luftkapazität in [l/m²] unter Berücksichtigung von Horizontmächtigkeit (Horizontunter</w:t>
        <w:softHyphen/>
        <w:t>grenze minus Horizontobergrenze), Skelettgehalt (Px02) und relevantem Porenvolumen (LK%, siehe Tabelle).</w:t>
      </w:r>
    </w:p>
    <w:p>
      <w:pPr>
        <w:pStyle w:val="Normal"/>
        <w:rPr/>
      </w:pPr>
      <w:r>
        <w:rPr/>
      </w:r>
    </w:p>
    <w:p>
      <w:pPr>
        <w:pStyle w:val="Normal"/>
        <w:rPr>
          <w:b/>
        </w:rPr>
      </w:pPr>
      <w:r>
        <w:rPr>
          <w:b/>
        </w:rPr>
        <w:tab/>
        <w:t xml:space="preserve">Px09 [l/m²] = Mächtigkeit [cm] * 10 * (100 - SK% </w:t>
      </w:r>
      <w:r>
        <w:rPr>
          <w:b/>
          <w:i/>
        </w:rPr>
        <w:t>(Px02)</w:t>
      </w:r>
      <w:r>
        <w:rPr>
          <w:b/>
        </w:rPr>
        <w:t>) / 100 * (LK% / 100)</w:t>
      </w:r>
    </w:p>
    <w:p>
      <w:pPr>
        <w:pStyle w:val="Normal"/>
        <w:rPr/>
      </w:pPr>
      <w:r>
        <w:rPr/>
      </w:r>
    </w:p>
    <w:p>
      <w:pPr>
        <w:pStyle w:val="Normal"/>
        <w:rPr>
          <w:b/>
        </w:rPr>
      </w:pPr>
      <w:r>
        <w:rPr>
          <w:b/>
        </w:rPr>
        <w:tab/>
        <w:t>LK</w:t>
      </w:r>
      <w:r>
        <w:rPr>
          <w:b/>
          <w:vertAlign w:val="subscript"/>
        </w:rPr>
        <w:t>ges</w:t>
      </w:r>
      <w:r>
        <w:rPr>
          <w:b/>
        </w:rPr>
        <w:t xml:space="preserve"> </w:t>
      </w:r>
      <w:r>
        <w:rPr>
          <w:rFonts w:cs="Arial"/>
          <w:b/>
          <w:szCs w:val="20"/>
        </w:rPr>
        <w:t>[l/m²]</w:t>
      </w:r>
      <w:r>
        <w:rPr>
          <w:b/>
        </w:rPr>
        <w:t xml:space="preserve"> (Sx06) = Summe der LK für das gesamte Profil</w:t>
      </w:r>
    </w:p>
    <w:p>
      <w:pPr>
        <w:pStyle w:val="Normal"/>
        <w:rPr>
          <w:b/>
        </w:rPr>
      </w:pPr>
      <w:r>
        <w:rPr>
          <w:b/>
        </w:rPr>
      </w:r>
    </w:p>
    <w:p>
      <w:pPr>
        <w:pStyle w:val="Normal"/>
        <w:rPr>
          <w:b/>
        </w:rPr>
      </w:pPr>
      <w:r>
        <w:rPr>
          <w:b/>
        </w:rPr>
        <w:tab/>
        <w:t>LK</w:t>
      </w:r>
      <w:r>
        <w:rPr>
          <w:b/>
          <w:vertAlign w:val="subscript"/>
        </w:rPr>
        <w:t>We</w:t>
      </w:r>
      <w:r>
        <w:rPr>
          <w:b/>
        </w:rPr>
        <w:t xml:space="preserve"> </w:t>
      </w:r>
      <w:r>
        <w:rPr>
          <w:rFonts w:cs="Arial"/>
          <w:b/>
          <w:szCs w:val="20"/>
        </w:rPr>
        <w:t>[l/m²]</w:t>
      </w:r>
      <w:r>
        <w:rPr>
          <w:b/>
        </w:rPr>
        <w:t xml:space="preserve"> (Sx06a) = Summe der LK für den effektiven Wurzelraum</w:t>
      </w:r>
    </w:p>
    <w:p>
      <w:pPr>
        <w:pStyle w:val="Normal"/>
        <w:rPr>
          <w:b/>
        </w:rPr>
      </w:pPr>
      <w:r>
        <w:rPr>
          <w:b/>
        </w:rPr>
      </w:r>
    </w:p>
    <w:p>
      <w:pPr>
        <w:pStyle w:val="Normal"/>
        <w:rPr>
          <w:b/>
        </w:rPr>
      </w:pPr>
      <w:r>
        <w:rPr>
          <w:b/>
        </w:rPr>
        <w:tab/>
        <w:t>LK</w:t>
      </w:r>
      <w:r>
        <w:rPr>
          <w:b/>
          <w:vertAlign w:val="subscript"/>
        </w:rPr>
        <w:t>oben</w:t>
      </w:r>
      <w:r>
        <w:rPr>
          <w:b/>
        </w:rPr>
        <w:t xml:space="preserve"> </w:t>
      </w:r>
      <w:r>
        <w:rPr>
          <w:rFonts w:cs="Arial"/>
          <w:b/>
          <w:szCs w:val="20"/>
        </w:rPr>
        <w:t>[l/m²]</w:t>
      </w:r>
      <w:r>
        <w:rPr>
          <w:b/>
        </w:rPr>
        <w:t xml:space="preserve"> (Sx07) = Summe der LK für den Bereich oberhalb eines Stauhorizontes</w:t>
      </w:r>
    </w:p>
    <w:p>
      <w:pPr>
        <w:pStyle w:val="Normal"/>
        <w:rPr/>
      </w:pPr>
      <w:r>
        <w:rPr/>
      </w:r>
    </w:p>
    <w:p>
      <w:pPr>
        <w:pStyle w:val="Normal"/>
        <w:jc w:val="both"/>
        <w:rPr/>
      </w:pPr>
      <w:r>
        <w:rPr/>
        <w:t>Für die Bestimmung von Sx06a werden die LK-Werte bis zur in Sx12 festgelegten Tiefe für alle Horizonte aufsummiert. Weicht die dort definierte Tiefe von einer Horizontgrenze ab, so wird die LK des betreffenden Horizontes anteilsmäßig berücksichtigt (siehe Sx04a - nFK</w:t>
      </w:r>
      <w:r>
        <w:rPr>
          <w:vertAlign w:val="subscript"/>
        </w:rPr>
        <w:t>We</w:t>
      </w:r>
      <w:r>
        <w:rPr/>
        <w:t xml:space="preserve">). </w:t>
      </w:r>
    </w:p>
    <w:p>
      <w:pPr>
        <w:pStyle w:val="Normal"/>
        <w:rPr/>
      </w:pPr>
      <w:r>
        <w:rPr/>
      </w:r>
    </w:p>
    <w:p>
      <w:pPr>
        <w:pStyle w:val="Normal"/>
        <w:jc w:val="both"/>
        <w:rPr/>
      </w:pPr>
      <w:r>
        <w:rPr/>
        <w:t>Die Berechung von Sx07 umfasst die LK-Werte aller Horizonte oberhalb (und inklusive) jenem, der die minimale Wasserdurchlässigkeit (siehe Sx10 - kf</w:t>
      </w:r>
      <w:r>
        <w:rPr>
          <w:vertAlign w:val="subscript"/>
        </w:rPr>
        <w:t>min</w:t>
      </w:r>
      <w:r>
        <w:rPr/>
        <w:t>) aufweist.</w:t>
      </w:r>
    </w:p>
    <w:p>
      <w:pPr>
        <w:pStyle w:val="Normal"/>
        <w:jc w:val="both"/>
        <w:rPr>
          <w:color w:val="9900FF"/>
        </w:rPr>
      </w:pPr>
      <w:r>
        <w:rPr>
          <w:color w:val="9900FF"/>
        </w:rPr>
        <w:t>Anm: Macht es Sinn einen Ah mit kf =11 als Stauhorizont zu bezeichnen, nur weil die Horizonte darunter sehr skelettreich sind und daher einen sehr hohen kf-Wert zugewiesen werden?</w:t>
      </w:r>
    </w:p>
    <w:p>
      <w:pPr>
        <w:pStyle w:val="Normal"/>
        <w:rPr/>
      </w:pPr>
      <w:r>
        <w:rPr/>
      </w:r>
    </w:p>
    <w:p>
      <w:pPr>
        <w:pStyle w:val="Heading3"/>
        <w:rPr/>
      </w:pPr>
      <w:r>
        <w:rPr/>
        <w:t>Px10 - Wasserspeichervermögen</w:t>
      </w:r>
    </w:p>
    <w:p>
      <w:pPr>
        <w:pStyle w:val="Normal"/>
        <w:rPr>
          <w:i/>
        </w:rPr>
      </w:pPr>
      <w:r>
        <w:rPr>
          <w:b/>
          <w:i/>
        </w:rPr>
        <w:t>Eingangsparameter:</w:t>
      </w:r>
      <w:r>
        <w:rPr>
          <w:i/>
        </w:rPr>
        <w:t xml:space="preserve"> </w:t>
      </w:r>
    </w:p>
    <w:p>
      <w:pPr>
        <w:pStyle w:val="Normal"/>
        <w:ind w:left="142" w:right="0" w:hanging="0"/>
        <w:rPr>
          <w:i/>
        </w:rPr>
      </w:pPr>
      <w:r>
        <w:rPr>
          <w:i/>
        </w:rPr>
        <w:t>nutzbare Feldkapazität (Px07)</w:t>
      </w:r>
    </w:p>
    <w:p>
      <w:pPr>
        <w:pStyle w:val="Normal"/>
        <w:ind w:left="142" w:right="0" w:hanging="0"/>
        <w:rPr>
          <w:i/>
        </w:rPr>
      </w:pPr>
      <w:r>
        <w:rPr>
          <w:i/>
        </w:rPr>
        <w:t>Luftkapazität (Px09)</w:t>
      </w:r>
    </w:p>
    <w:p>
      <w:pPr>
        <w:pStyle w:val="Normal"/>
        <w:ind w:left="142" w:right="0" w:hanging="0"/>
        <w:rPr>
          <w:i/>
        </w:rPr>
      </w:pPr>
      <w:r>
        <w:rPr>
          <w:i/>
        </w:rPr>
        <w:t>Hangneigung (S135)</w:t>
      </w:r>
    </w:p>
    <w:p>
      <w:pPr>
        <w:pStyle w:val="Normal"/>
        <w:rPr>
          <w:rFonts w:cs="Arial"/>
          <w:szCs w:val="20"/>
        </w:rPr>
      </w:pPr>
      <w:r>
        <w:rPr>
          <w:rFonts w:cs="Arial"/>
          <w:szCs w:val="20"/>
        </w:rPr>
      </w:r>
    </w:p>
    <w:p>
      <w:pPr>
        <w:pStyle w:val="Normal"/>
        <w:jc w:val="both"/>
        <w:rPr/>
      </w:pPr>
      <w:r>
        <w:rPr>
          <w:rFonts w:cs="Arial"/>
          <w:szCs w:val="20"/>
        </w:rPr>
        <w:t xml:space="preserve">Das Wasserspeichervermögen gibt das Volumen jener </w:t>
      </w:r>
      <w:r>
        <w:rPr/>
        <w:t>Poren an, die nicht ständig wassergesättigt sind und somit oberflächlich anfallendes Wasser (z.B. Regenwasser) aufnehmen können (absolut in l/m²). Für Böden in ebener oder abflussträger Lage (Hangneigung  &lt;9 %) entspricht das Wasser</w:t>
        <w:softHyphen/>
        <w:t xml:space="preserve">speichervermögen der nutzbaren Feldkapazität + Luftkapazität, für Hangbereiche wird nur die nutzbare Feldkapazität herangezogen (BayGLA 2003: 40). </w:t>
      </w:r>
    </w:p>
    <w:p>
      <w:pPr>
        <w:pStyle w:val="Normal"/>
        <w:rPr>
          <w:rFonts w:cs="Arial"/>
          <w:szCs w:val="20"/>
        </w:rPr>
      </w:pPr>
      <w:r>
        <w:rPr>
          <w:rFonts w:cs="Arial"/>
          <w:szCs w:val="20"/>
        </w:rPr>
      </w:r>
    </w:p>
    <w:p>
      <w:pPr>
        <w:pStyle w:val="Normal"/>
        <w:tabs>
          <w:tab w:val="left" w:pos="4962" w:leader="none"/>
        </w:tabs>
        <w:rPr>
          <w:b/>
          <w:i/>
        </w:rPr>
      </w:pPr>
      <w:r>
        <w:rPr/>
        <w:t xml:space="preserve">Falls die Hangneigung weniger als 9 % beträgt (Feld S135 = 11, 12, 21 oder 22, d.h. Klassen „eben“ + „schwach geneigt“):  </w:t>
        <w:tab/>
        <w:tab/>
      </w:r>
      <w:r>
        <w:rPr>
          <w:b/>
        </w:rPr>
        <w:t xml:space="preserve">Px10 = LK </w:t>
      </w:r>
      <w:r>
        <w:rPr>
          <w:b/>
          <w:i/>
        </w:rPr>
        <w:t>(Px09)</w:t>
      </w:r>
      <w:r>
        <w:rPr>
          <w:b/>
        </w:rPr>
        <w:t xml:space="preserve"> + nFK </w:t>
      </w:r>
      <w:r>
        <w:rPr>
          <w:b/>
          <w:i/>
        </w:rPr>
        <w:t>(Px07)</w:t>
      </w:r>
    </w:p>
    <w:p>
      <w:pPr>
        <w:pStyle w:val="Normal"/>
        <w:tabs>
          <w:tab w:val="left" w:pos="4962" w:leader="none"/>
        </w:tabs>
        <w:rPr>
          <w:b/>
          <w:i/>
        </w:rPr>
      </w:pPr>
      <w:r>
        <w:rPr/>
        <w:t xml:space="preserve">Bei größeren Neigungen (andere Ausprägungen von S135):  </w:t>
        <w:tab/>
      </w:r>
      <w:r>
        <w:rPr>
          <w:b/>
        </w:rPr>
        <w:t xml:space="preserve">Px10 = nFK </w:t>
      </w:r>
      <w:r>
        <w:rPr>
          <w:b/>
          <w:i/>
        </w:rPr>
        <w:t>(Px07)</w:t>
      </w:r>
    </w:p>
    <w:p>
      <w:pPr>
        <w:pStyle w:val="Normal"/>
        <w:rPr/>
      </w:pPr>
      <w:r>
        <w:rPr/>
      </w:r>
    </w:p>
    <w:p>
      <w:pPr>
        <w:pStyle w:val="Normal"/>
        <w:rPr>
          <w:rFonts w:cs="Arial"/>
          <w:b/>
          <w:szCs w:val="20"/>
        </w:rPr>
      </w:pPr>
      <w:r>
        <w:rPr>
          <w:rFonts w:cs="Arial"/>
          <w:b/>
          <w:szCs w:val="20"/>
        </w:rPr>
        <w:tab/>
        <w:t>WSV</w:t>
      </w:r>
      <w:r>
        <w:rPr>
          <w:rFonts w:cs="Arial"/>
          <w:b/>
          <w:szCs w:val="20"/>
          <w:vertAlign w:val="subscript"/>
        </w:rPr>
        <w:t>ges</w:t>
      </w:r>
      <w:r>
        <w:rPr>
          <w:rFonts w:cs="Arial"/>
          <w:b/>
          <w:szCs w:val="20"/>
        </w:rPr>
        <w:t xml:space="preserve"> [l/m²] (Sx08) = Summe der WSV für das gesamte Profil</w:t>
      </w:r>
    </w:p>
    <w:p>
      <w:pPr>
        <w:pStyle w:val="Normal"/>
        <w:rPr>
          <w:rFonts w:cs="Arial"/>
          <w:b/>
          <w:szCs w:val="20"/>
        </w:rPr>
      </w:pPr>
      <w:r>
        <w:rPr>
          <w:rFonts w:cs="Arial"/>
          <w:b/>
          <w:szCs w:val="20"/>
        </w:rPr>
        <w:tab/>
        <w:t>WSV</w:t>
      </w:r>
      <w:r>
        <w:rPr>
          <w:rFonts w:cs="Arial"/>
          <w:b/>
          <w:szCs w:val="20"/>
          <w:vertAlign w:val="subscript"/>
        </w:rPr>
        <w:t>We</w:t>
      </w:r>
      <w:r>
        <w:rPr>
          <w:rFonts w:cs="Arial"/>
          <w:b/>
          <w:szCs w:val="20"/>
        </w:rPr>
        <w:t xml:space="preserve"> [l/m²] (Sx09) = Summe der WSV für den effektiven Wurzelraum</w:t>
      </w:r>
    </w:p>
    <w:p>
      <w:pPr>
        <w:pStyle w:val="Normal"/>
        <w:rPr/>
      </w:pPr>
      <w:r>
        <w:rPr/>
      </w:r>
    </w:p>
    <w:p>
      <w:pPr>
        <w:pStyle w:val="Normal"/>
        <w:jc w:val="both"/>
        <w:rPr/>
      </w:pPr>
      <w:r>
        <w:rPr/>
        <w:t>Für die Bestimmung von Sx09 werden die WSV-Werte bis zur in Sx12 festgelegten Tiefe für alle Horizonte aufsummiert. Weicht die dort definierte Tiefe von einer Horizontgrenze ab, so wird das Wasserspeichervermögen des betreffenden Horizontes anteilsmäßig berücksichtigt (siehe Sx04a - nFK</w:t>
      </w:r>
      <w:r>
        <w:rPr>
          <w:vertAlign w:val="subscript"/>
        </w:rPr>
        <w:t>We</w:t>
      </w:r>
      <w:r>
        <w:rPr/>
        <w:t xml:space="preserve">). </w:t>
      </w:r>
    </w:p>
    <w:p>
      <w:pPr>
        <w:pStyle w:val="Normal"/>
        <w:rPr/>
      </w:pPr>
      <w:r>
        <w:rPr/>
      </w:r>
    </w:p>
    <w:p>
      <w:pPr>
        <w:pStyle w:val="Heading3"/>
        <w:rPr/>
      </w:pPr>
      <w:r>
        <w:rPr/>
        <w:t>Px11 - gesamtes Porenvolumen</w:t>
      </w:r>
    </w:p>
    <w:p>
      <w:pPr>
        <w:pStyle w:val="Normal"/>
        <w:rPr>
          <w:rFonts w:cs="Arial"/>
          <w:i/>
          <w:szCs w:val="20"/>
        </w:rPr>
      </w:pPr>
      <w:r>
        <w:rPr>
          <w:rFonts w:cs="Arial"/>
          <w:b/>
          <w:i/>
          <w:szCs w:val="20"/>
        </w:rPr>
        <w:t>Eingangsparameter:</w:t>
      </w:r>
      <w:r>
        <w:rPr>
          <w:rFonts w:cs="Arial"/>
          <w:i/>
          <w:szCs w:val="20"/>
        </w:rPr>
        <w:t xml:space="preserve"> Bodenart (P140 oder B209), Klasse der Lagerungsdichte (Px03), Horizontmächtigkeit, Humusgehalt (Px01), Skelettgehalt (Px02) </w:t>
      </w:r>
    </w:p>
    <w:p>
      <w:pPr>
        <w:pStyle w:val="Normal"/>
        <w:rPr>
          <w:rFonts w:cs="Arial"/>
          <w:szCs w:val="20"/>
        </w:rPr>
      </w:pPr>
      <w:r>
        <w:rPr>
          <w:rFonts w:cs="Arial"/>
          <w:szCs w:val="20"/>
        </w:rPr>
      </w:r>
    </w:p>
    <w:p>
      <w:pPr>
        <w:pStyle w:val="Normal"/>
        <w:jc w:val="both"/>
        <w:rPr>
          <w:rFonts w:cs="Arial"/>
          <w:szCs w:val="20"/>
        </w:rPr>
      </w:pPr>
      <w:r>
        <w:rPr>
          <w:rFonts w:cs="Arial"/>
          <w:szCs w:val="20"/>
        </w:rPr>
        <w:t>Es wird das gesamte Volumen aller Bodenporen ermittelt</w:t>
      </w:r>
      <w:r>
        <w:rPr/>
        <w:t>. D</w:t>
      </w:r>
      <w:r>
        <w:rPr>
          <w:rFonts w:cs="Arial"/>
          <w:szCs w:val="20"/>
        </w:rPr>
        <w:t>er Wert setzt sich zusammen aus Luftkapazität (Grobporen), nutzbarer Feldkapazität (Mittelporen) und nicht nutzbarem Bodenwasser oder „Totwasser“ (Feinporen).</w:t>
      </w:r>
    </w:p>
    <w:p>
      <w:pPr>
        <w:pStyle w:val="Normal"/>
        <w:rPr>
          <w:rFonts w:cs="Arial"/>
          <w:szCs w:val="20"/>
        </w:rPr>
      </w:pPr>
      <w:r>
        <w:rPr>
          <w:rFonts w:cs="Arial"/>
          <w:szCs w:val="20"/>
        </w:rPr>
      </w:r>
    </w:p>
    <w:p>
      <w:pPr>
        <w:pStyle w:val="Normal"/>
        <w:jc w:val="both"/>
        <w:rPr/>
      </w:pPr>
      <w:r>
        <w:rPr/>
        <w:t xml:space="preserve">Falls der relevante Porenanteil bekannt ist (Summe aus </w:t>
      </w:r>
      <w:r>
        <w:rPr>
          <w:b/>
        </w:rPr>
        <w:t>B223</w:t>
      </w:r>
      <w:r>
        <w:rPr/>
        <w:t xml:space="preserve"> „Feinporenanteil %“, </w:t>
      </w:r>
      <w:r>
        <w:rPr>
          <w:b/>
        </w:rPr>
        <w:t>B222</w:t>
      </w:r>
      <w:r>
        <w:rPr/>
        <w:t xml:space="preserve"> „Mittelporen</w:t>
        <w:softHyphen/>
        <w:t xml:space="preserve">anteil %“ und </w:t>
      </w:r>
      <w:r>
        <w:rPr>
          <w:b/>
        </w:rPr>
        <w:t>B221</w:t>
      </w:r>
      <w:r>
        <w:rPr/>
        <w:t xml:space="preserve"> „Grobporenanteil %“), so ist dieser Wert ohne weitere Modifikation zu verwenden und in die unten angegebene Formel zur Berechnung von </w:t>
      </w:r>
      <w:r>
        <w:rPr>
          <w:b/>
        </w:rPr>
        <w:t>Px11</w:t>
      </w:r>
      <w:r>
        <w:rPr/>
        <w:t xml:space="preserve"> einzusetzen. </w:t>
      </w:r>
      <w:r>
        <w:rPr>
          <w:rFonts w:cs="Arial"/>
          <w:szCs w:val="20"/>
        </w:rPr>
        <w:t>Ansonsten wird der gesamte Porenanteil</w:t>
      </w:r>
      <w:r>
        <w:rPr/>
        <w:t xml:space="preserve"> (in % bzw. weiterführend absolut in l/m²) nach folgender Tabelle ermittelt:</w:t>
      </w:r>
    </w:p>
    <w:p>
      <w:pPr>
        <w:pStyle w:val="Normal"/>
        <w:rPr>
          <w:rFonts w:cs="Arial"/>
          <w:szCs w:val="20"/>
        </w:rPr>
      </w:pPr>
      <w:r>
        <w:rPr>
          <w:rFonts w:cs="Arial"/>
          <w:szCs w:val="20"/>
        </w:rPr>
      </w:r>
    </w:p>
    <w:tbl>
      <w:tblPr>
        <w:jc w:val="left"/>
        <w:tblInd w:w="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415"/>
        <w:gridCol w:w="1415"/>
        <w:gridCol w:w="1984"/>
        <w:gridCol w:w="1983"/>
        <w:gridCol w:w="1994"/>
      </w:tblGrid>
      <w:tr>
        <w:trPr>
          <w:trHeight w:val="410" w:hRule="atLeast"/>
          <w:cantSplit w:val="false"/>
        </w:trPr>
        <w:tc>
          <w:tcPr>
            <w:tcW w:w="141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P140</w:t>
            </w:r>
          </w:p>
        </w:tc>
        <w:tc>
          <w:tcPr>
            <w:tcW w:w="141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Bodenart</w:t>
            </w:r>
          </w:p>
        </w:tc>
        <w:tc>
          <w:tcPr>
            <w:tcW w:w="5961"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berschrift"/>
              <w:spacing w:before="120" w:after="60"/>
              <w:rPr/>
            </w:pPr>
            <w:r>
              <w:rPr/>
              <w:t>gesamtes Porenvolumen – GPV%=</w:t>
            </w:r>
          </w:p>
        </w:tc>
      </w:tr>
      <w:tr>
        <w:trPr>
          <w:trHeight w:val="290" w:hRule="atLeast"/>
          <w:cantSplit w:val="false"/>
        </w:trPr>
        <w:tc>
          <w:tcPr>
            <w:tcW w:w="141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41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en-GB"/>
              </w:rPr>
            </w:pPr>
            <w:r>
              <w:rPr>
                <w:lang w:val="en-GB"/>
              </w:rPr>
              <w:t>Px03: Ld1+2</w:t>
              <w:br/>
            </w:r>
            <w:r>
              <w:rPr>
                <w:b w:val="false"/>
                <w:i/>
                <w:lang w:val="en-GB"/>
              </w:rPr>
              <w:t>(B210: &lt;1,4 g/cm³)</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rPr>
            </w:pPr>
            <w:r>
              <w:rPr/>
              <w:t>Ld3</w:t>
              <w:br/>
            </w:r>
            <w:r>
              <w:rPr>
                <w:b w:val="false"/>
                <w:i/>
              </w:rPr>
              <w:t>(1,4 bis 1,7 g/cm³)</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en-GB"/>
              </w:rPr>
            </w:pPr>
            <w:r>
              <w:rPr>
                <w:lang w:val="en-GB"/>
              </w:rPr>
              <w:t>Ld4+5</w:t>
              <w:br/>
            </w:r>
            <w:r>
              <w:rPr>
                <w:b w:val="false"/>
                <w:i/>
                <w:lang w:val="en-GB"/>
              </w:rPr>
              <w:t>(&gt;1,7 g/cm³)</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101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42</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36</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30,5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121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uS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color w:val="000000"/>
              </w:rPr>
            </w:pPr>
            <w:r>
              <w:rPr>
                <w:color w:val="000000"/>
              </w:rPr>
              <w:t>45,5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color w:val="000000"/>
              </w:rPr>
            </w:pPr>
            <w:r>
              <w:rPr>
                <w:color w:val="000000"/>
              </w:rPr>
              <w:t>37</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color w:val="000000"/>
              </w:rPr>
            </w:pPr>
            <w:r>
              <w:rPr>
                <w:color w:val="000000"/>
              </w:rPr>
              <w:t>32</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212</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sU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47,5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39</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34</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202</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47,5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40</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35,5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231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45,5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38</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32,5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332</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49,5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42</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36,5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341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iCs/>
              </w:rPr>
            </w:pPr>
            <w:r>
              <w:rPr>
                <w:iCs/>
              </w:rPr>
              <w:t>44</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iCs/>
              </w:rPr>
            </w:pPr>
            <w:r>
              <w:rPr>
                <w:iCs/>
              </w:rPr>
              <w:t>38,5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iCs/>
              </w:rPr>
            </w:pPr>
            <w:r>
              <w:rPr>
                <w:iCs/>
              </w:rPr>
              <w:t>35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313</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49,5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40,5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35,5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423</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uL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54</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44</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38</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403</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55,5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44,5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38,5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414</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iCs/>
              </w:rPr>
            </w:pPr>
            <w:r>
              <w:rPr>
                <w:iCs/>
              </w:rPr>
              <w:t>50,5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iCs/>
              </w:rPr>
            </w:pPr>
            <w:r>
              <w:rPr>
                <w:iCs/>
              </w:rPr>
              <w:t>43,5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iCs/>
              </w:rPr>
            </w:pPr>
            <w:r>
              <w:rPr>
                <w:iCs/>
              </w:rPr>
              <w:t>37</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534</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61</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51</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44</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504</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62</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52</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44,5</w:t>
            </w:r>
          </w:p>
        </w:tc>
      </w:tr>
    </w:tbl>
    <w:p>
      <w:pPr>
        <w:pStyle w:val="Bildunterschrift"/>
        <w:rPr/>
      </w:pPr>
      <w:r>
        <w:rPr/>
        <w:t>Quelle: Ableitung nach Müller (2004: 119ff., VKR 6.1.10), auf österreichische Systematik übertragen nach Kuderna et al. (2000: 9) [auf Basis der BK-Daten von Kufstein]</w:t>
      </w:r>
    </w:p>
    <w:p>
      <w:pPr>
        <w:pStyle w:val="Normal"/>
        <w:rPr>
          <w:rFonts w:cs="Arial"/>
          <w:szCs w:val="20"/>
        </w:rPr>
      </w:pPr>
      <w:r>
        <w:rPr>
          <w:rFonts w:cs="Arial"/>
          <w:szCs w:val="20"/>
        </w:rPr>
      </w:r>
    </w:p>
    <w:p>
      <w:pPr>
        <w:pStyle w:val="Normal"/>
        <w:jc w:val="both"/>
        <w:rPr>
          <w:rFonts w:cs="Arial"/>
          <w:szCs w:val="20"/>
        </w:rPr>
      </w:pPr>
      <w:r>
        <w:rPr>
          <w:rFonts w:cs="Arial"/>
          <w:szCs w:val="20"/>
        </w:rPr>
        <w:t xml:space="preserve">Die organische Substanz (P168 oder B104) ist in Abhängigkeit von der Bodenart zu berücksichtigen, der entsprechende Wert aus folgender Tabelle ist zu </w:t>
      </w:r>
      <w:r>
        <w:rPr>
          <w:rFonts w:cs="Arial"/>
          <w:b/>
          <w:szCs w:val="20"/>
        </w:rPr>
        <w:t>GPV%</w:t>
      </w:r>
      <w:r>
        <w:rPr>
          <w:rFonts w:cs="Arial"/>
          <w:szCs w:val="20"/>
        </w:rPr>
        <w:t xml:space="preserve"> zu addieren (Müller 2004: 123, Modifikation auf Basis der BK-Daten von Kufstein angelehnt an Kuderna et al. 2000: 9f.).</w:t>
      </w:r>
    </w:p>
    <w:p>
      <w:pPr>
        <w:pStyle w:val="Normal"/>
        <w:rPr>
          <w:rFonts w:cs="Arial"/>
          <w:szCs w:val="20"/>
        </w:rPr>
      </w:pPr>
      <w:r>
        <w:rPr>
          <w:rFonts w:cs="Arial"/>
          <w:szCs w:val="20"/>
        </w:rPr>
      </w:r>
    </w:p>
    <w:tbl>
      <w:tblPr>
        <w:jc w:val="left"/>
        <w:tblInd w:w="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243"/>
        <w:gridCol w:w="1245"/>
        <w:gridCol w:w="1346"/>
        <w:gridCol w:w="1261"/>
        <w:gridCol w:w="1302"/>
        <w:gridCol w:w="1302"/>
        <w:gridCol w:w="1311"/>
      </w:tblGrid>
      <w:tr>
        <w:trPr>
          <w:trHeight w:val="410" w:hRule="atLeast"/>
          <w:cantSplit w:val="false"/>
        </w:trPr>
        <w:tc>
          <w:tcPr>
            <w:tcW w:w="1243"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P140</w:t>
            </w:r>
          </w:p>
        </w:tc>
        <w:tc>
          <w:tcPr>
            <w:tcW w:w="124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Bodenart</w:t>
            </w:r>
          </w:p>
        </w:tc>
        <w:tc>
          <w:tcPr>
            <w:tcW w:w="6522"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berschrift"/>
              <w:spacing w:before="120" w:after="60"/>
              <w:rPr/>
            </w:pPr>
            <w:r>
              <w:rPr/>
              <w:t xml:space="preserve">Modifikation nach Humusgehalt </w:t>
            </w:r>
          </w:p>
        </w:tc>
      </w:tr>
      <w:tr>
        <w:trPr>
          <w:trHeight w:val="290" w:hRule="atLeast"/>
          <w:cantSplit w:val="false"/>
        </w:trPr>
        <w:tc>
          <w:tcPr>
            <w:tcW w:w="1243"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24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berschrift"/>
              <w:spacing w:before="120" w:after="60"/>
              <w:rPr>
                <w:b w:val="false"/>
                <w:i/>
              </w:rPr>
            </w:pPr>
            <w:r>
              <w:rPr/>
              <w:t>P168: 10</w:t>
              <w:br/>
            </w:r>
            <w:r>
              <w:rPr>
                <w:b w:val="false"/>
                <w:i/>
              </w:rPr>
              <w:t>(B104: &lt;1 %)</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berschrift"/>
              <w:spacing w:before="120" w:after="60"/>
              <w:rPr>
                <w:b w:val="false"/>
                <w:i/>
              </w:rPr>
            </w:pPr>
            <w:r>
              <w:rPr/>
              <w:t>20</w:t>
              <w:br/>
            </w:r>
            <w:r>
              <w:rPr>
                <w:b w:val="false"/>
                <w:i/>
              </w:rPr>
              <w:t>(1-&lt;2 %)</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berschrift"/>
              <w:spacing w:before="120" w:after="60"/>
              <w:rPr>
                <w:b w:val="false"/>
                <w:i/>
              </w:rPr>
            </w:pPr>
            <w:r>
              <w:rPr/>
              <w:t>30</w:t>
              <w:br/>
            </w:r>
            <w:r>
              <w:rPr>
                <w:b w:val="false"/>
                <w:i/>
              </w:rPr>
              <w:t>(2-&lt;4 %)</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berschrift"/>
              <w:spacing w:before="120" w:after="60"/>
              <w:rPr>
                <w:b w:val="false"/>
                <w:i/>
              </w:rPr>
            </w:pPr>
            <w:r>
              <w:rPr/>
              <w:t>40</w:t>
              <w:br/>
            </w:r>
            <w:r>
              <w:rPr>
                <w:b w:val="false"/>
                <w:i/>
              </w:rPr>
              <w:t>(4-&lt;8 %)</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rPr>
            </w:pPr>
            <w:r>
              <w:rPr/>
              <w:t>50</w:t>
              <w:br/>
            </w:r>
            <w:r>
              <w:rPr>
                <w:b w:val="false"/>
                <w:i/>
              </w:rPr>
              <w:t>(8-&lt;15 %)</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101, 121</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 uS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0</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2,5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6,5</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10</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231, 341</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lS, tS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4,5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10</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14</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202, 212</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sU, U</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color w:val="000000"/>
              </w:rPr>
            </w:pPr>
            <w:r>
              <w:rPr>
                <w:color w:val="000000"/>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color w:val="000000"/>
              </w:rPr>
            </w:pPr>
            <w:r>
              <w:rPr>
                <w:color w:val="000000"/>
              </w:rPr>
              <w:t>2</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color w:val="000000"/>
              </w:rPr>
            </w:pPr>
            <w:r>
              <w:rPr>
                <w:color w:val="000000"/>
              </w:rPr>
              <w:t>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color w:val="000000"/>
              </w:rPr>
            </w:pPr>
            <w:r>
              <w:rPr>
                <w:color w:val="000000"/>
              </w:rPr>
              <w:t>11,5</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color w:val="000000"/>
              </w:rPr>
            </w:pPr>
            <w:r>
              <w:rPr>
                <w:color w:val="000000"/>
              </w:rPr>
              <w:t>17,5</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 xml:space="preserve">313, 332, </w:t>
              <w:br/>
              <w:t>403, 423</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lU, sL, uL, L</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3</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5,5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13</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18,5</w:t>
            </w:r>
          </w:p>
        </w:tc>
      </w:tr>
      <w:tr>
        <w:trPr>
          <w:trHeight w:val="290" w:hRule="atLeast"/>
          <w:cantSplit w:val="false"/>
        </w:trPr>
        <w:tc>
          <w:tcPr>
            <w:tcW w:w="124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 xml:space="preserve">414, 504, </w:t>
              <w:br/>
              <w:t>534</w:t>
            </w:r>
          </w:p>
        </w:tc>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sT, lT, T</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0</w:t>
            </w:r>
          </w:p>
        </w:tc>
        <w:tc>
          <w:tcPr>
            <w:tcW w:w="126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3</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6,5</w:t>
            </w:r>
          </w:p>
        </w:tc>
        <w:tc>
          <w:tcPr>
            <w:tcW w:w="13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55" w:type="dxa"/>
            </w:tcMar>
            <w:vAlign w:val="center"/>
          </w:tcPr>
          <w:p>
            <w:pPr>
              <w:pStyle w:val="TabellenInhalt"/>
              <w:suppressLineNumbers/>
              <w:spacing w:lineRule="auto" w:line="240" w:before="60" w:after="60"/>
              <w:jc w:val="center"/>
              <w:rPr/>
            </w:pPr>
            <w:r>
              <w:rPr/>
              <w:t>13</w:t>
            </w:r>
          </w:p>
        </w:tc>
        <w:tc>
          <w:tcPr>
            <w:tcW w:w="131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19,5</w:t>
            </w:r>
          </w:p>
        </w:tc>
      </w:tr>
    </w:tbl>
    <w:p>
      <w:pPr>
        <w:pStyle w:val="Normal"/>
        <w:rPr>
          <w:rFonts w:cs="Arial"/>
          <w:szCs w:val="20"/>
        </w:rPr>
      </w:pPr>
      <w:r>
        <w:rPr>
          <w:rFonts w:cs="Arial"/>
          <w:szCs w:val="20"/>
        </w:rPr>
      </w:r>
    </w:p>
    <w:p>
      <w:pPr>
        <w:pStyle w:val="Normal"/>
        <w:jc w:val="both"/>
        <w:rPr/>
      </w:pPr>
      <w:r>
        <w:rPr/>
        <w:t>Grau hinterlegt sind jene Klassen, die angesetzt werden sollen, wenn die Angaben aus der Bodenkarte übernommen werden, in der nur drei Klassen (schwach humos &lt;1,5 %, mittelhumos 1,5-4 % und stark humos &gt;4 % – siehe Kuderna et al. 2000: 10) angegeben sind.</w:t>
      </w:r>
    </w:p>
    <w:p>
      <w:pPr>
        <w:pStyle w:val="Normal"/>
        <w:rPr>
          <w:rFonts w:cs="Arial"/>
          <w:szCs w:val="20"/>
        </w:rPr>
      </w:pPr>
      <w:r>
        <w:rPr>
          <w:rFonts w:cs="Arial"/>
          <w:szCs w:val="20"/>
        </w:rPr>
      </w:r>
    </w:p>
    <w:p>
      <w:pPr>
        <w:pStyle w:val="Normal"/>
        <w:jc w:val="both"/>
        <w:rPr>
          <w:rFonts w:cs="Arial"/>
          <w:szCs w:val="20"/>
        </w:rPr>
      </w:pPr>
      <w:r>
        <w:rPr>
          <w:rFonts w:cs="Arial"/>
          <w:szCs w:val="20"/>
        </w:rPr>
        <w:t>Gemäß Müller (2004: 121) ist bei sehr humusreichen Böden sowie Anmooren die Luftkapazität weit</w:t>
        <w:softHyphen/>
        <w:t>gehend unabhängig von der Bodenart. Für Horizonte mit einem Humusgehalt von &gt;15% werden daher fixe Werte für das relevante Porenvolumen angenommen:</w:t>
      </w:r>
    </w:p>
    <w:p>
      <w:pPr>
        <w:pStyle w:val="Aufzhlung"/>
        <w:rPr>
          <w:b/>
        </w:rPr>
      </w:pPr>
      <w:r>
        <w:rPr/>
        <w:t xml:space="preserve">Torfe (Code 70 in Feld P168 bzw. &gt;30 % in Feld B104): </w:t>
        <w:tab/>
        <w:tab/>
        <w:tab/>
      </w:r>
      <w:r>
        <w:rPr>
          <w:b/>
        </w:rPr>
        <w:t>GPV% = 85 %</w:t>
      </w:r>
    </w:p>
    <w:p>
      <w:pPr>
        <w:pStyle w:val="Aufzhlung"/>
        <w:rPr/>
      </w:pPr>
      <w:r>
        <w:rPr/>
        <w:t>äußerst humose / anmoorige Böden (Code 60 bzw. 15-30 % lt. B104):</w:t>
        <w:tab/>
        <w:br/>
        <w:tab/>
      </w:r>
      <w:r>
        <w:rPr>
          <w:b/>
        </w:rPr>
        <w:t xml:space="preserve">GPV% = 67 % </w:t>
      </w:r>
      <w:r>
        <w:rPr/>
        <w:t>(für Bodenarten S, lS, tS – P140: 101, 231, 341)</w:t>
        <w:br/>
        <w:tab/>
      </w:r>
      <w:r>
        <w:rPr>
          <w:b/>
        </w:rPr>
        <w:t xml:space="preserve">GPV% = 73 % </w:t>
      </w:r>
      <w:r>
        <w:rPr/>
        <w:t>(für alle anderen Bodenarten)</w:t>
      </w:r>
    </w:p>
    <w:p>
      <w:pPr>
        <w:pStyle w:val="Normal"/>
        <w:jc w:val="both"/>
        <w:rPr>
          <w:rFonts w:cs="Arial"/>
          <w:szCs w:val="20"/>
        </w:rPr>
      </w:pPr>
      <w:r>
        <w:rPr>
          <w:rFonts w:cs="Arial"/>
          <w:szCs w:val="20"/>
        </w:rPr>
      </w:r>
    </w:p>
    <w:p>
      <w:pPr>
        <w:pStyle w:val="Normal"/>
        <w:jc w:val="both"/>
        <w:rPr>
          <w:rFonts w:cs="Arial"/>
          <w:szCs w:val="20"/>
        </w:rPr>
      </w:pPr>
      <w:r>
        <w:rPr>
          <w:rFonts w:cs="Arial"/>
          <w:szCs w:val="20"/>
        </w:rPr>
        <w:t>Berechnung des Gesamtporenvolumens in [l/m²] unter Berücksichtigung von Horizontmächtigkeit (Horizontunter</w:t>
        <w:softHyphen/>
        <w:t>grenze minus Horizontobergrenze), Skelettgehalt (Px02) und relevantem Porenvolumen (GPV%, siehe Tabelle).</w:t>
      </w:r>
    </w:p>
    <w:p>
      <w:pPr>
        <w:pStyle w:val="Normal"/>
        <w:ind w:left="360" w:right="0" w:hanging="0"/>
        <w:rPr>
          <w:rFonts w:cs="Arial"/>
          <w:szCs w:val="20"/>
        </w:rPr>
      </w:pPr>
      <w:r>
        <w:rPr>
          <w:rFonts w:cs="Arial"/>
          <w:szCs w:val="20"/>
        </w:rPr>
      </w:r>
    </w:p>
    <w:p>
      <w:pPr>
        <w:pStyle w:val="Normal"/>
        <w:ind w:left="360" w:right="0" w:hanging="0"/>
        <w:rPr>
          <w:rFonts w:cs="Arial"/>
          <w:b/>
          <w:szCs w:val="20"/>
        </w:rPr>
      </w:pPr>
      <w:r>
        <w:rPr>
          <w:rFonts w:cs="Arial"/>
          <w:b/>
          <w:szCs w:val="20"/>
        </w:rPr>
        <w:tab/>
        <w:t xml:space="preserve">Px11 [l/m²] = Mächtigkeit [cm] * 10 * (100 - SK% </w:t>
      </w:r>
      <w:r>
        <w:rPr>
          <w:rFonts w:cs="Arial"/>
          <w:b/>
          <w:i/>
          <w:szCs w:val="20"/>
        </w:rPr>
        <w:t>(Px02)</w:t>
      </w:r>
      <w:r>
        <w:rPr>
          <w:rFonts w:cs="Arial"/>
          <w:b/>
          <w:szCs w:val="20"/>
        </w:rPr>
        <w:t>) / 100 * GPV% / 100</w:t>
      </w:r>
    </w:p>
    <w:p>
      <w:pPr>
        <w:pStyle w:val="Normal"/>
        <w:shd w:fill="FFFFFF" w:val="clear"/>
        <w:rPr>
          <w:rFonts w:cs="Arial"/>
          <w:b/>
          <w:i/>
          <w:sz w:val="22"/>
          <w:szCs w:val="20"/>
        </w:rPr>
      </w:pPr>
      <w:r>
        <w:rPr>
          <w:rFonts w:cs="Arial"/>
          <w:b/>
          <w:i/>
          <w:sz w:val="22"/>
          <w:szCs w:val="20"/>
        </w:rPr>
      </w:r>
    </w:p>
    <w:p>
      <w:pPr>
        <w:pStyle w:val="Heading3"/>
        <w:rPr/>
      </w:pPr>
      <w:r>
        <w:rPr/>
        <w:t>Px12 - gesättigte Wasserleitfähigkeit (kf-Wert)</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Gefügeform (P128)</w:t>
      </w:r>
    </w:p>
    <w:p>
      <w:pPr>
        <w:pStyle w:val="Normal"/>
        <w:ind w:left="142" w:right="0" w:hanging="0"/>
        <w:rPr>
          <w:rFonts w:cs="Arial"/>
          <w:i/>
          <w:szCs w:val="20"/>
        </w:rPr>
      </w:pPr>
      <w:r>
        <w:rPr>
          <w:rFonts w:cs="Arial"/>
          <w:i/>
          <w:szCs w:val="20"/>
        </w:rPr>
        <w:t>Bodenart (P140 oder B209)</w:t>
      </w:r>
    </w:p>
    <w:p>
      <w:pPr>
        <w:pStyle w:val="Normal"/>
        <w:ind w:left="142" w:right="0" w:hanging="0"/>
        <w:rPr>
          <w:rFonts w:cs="Arial"/>
          <w:i/>
          <w:szCs w:val="20"/>
        </w:rPr>
      </w:pPr>
      <w:r>
        <w:rPr>
          <w:rFonts w:cs="Arial"/>
          <w:i/>
          <w:szCs w:val="20"/>
        </w:rPr>
        <w:t>Umlagerung (P171)</w:t>
      </w:r>
    </w:p>
    <w:p>
      <w:pPr>
        <w:pStyle w:val="Normal"/>
        <w:ind w:left="142" w:right="0" w:hanging="0"/>
        <w:rPr>
          <w:i/>
        </w:rPr>
      </w:pPr>
      <w:r>
        <w:rPr>
          <w:i/>
        </w:rPr>
        <w:t>Skelettgehalt (Px02)</w:t>
      </w:r>
    </w:p>
    <w:p>
      <w:pPr>
        <w:pStyle w:val="Normal"/>
        <w:ind w:left="142" w:right="0" w:hanging="0"/>
        <w:rPr>
          <w:i/>
        </w:rPr>
      </w:pPr>
      <w:r>
        <w:rPr>
          <w:i/>
        </w:rPr>
        <w:t>Lagerungsdichte (Px03)</w:t>
      </w:r>
    </w:p>
    <w:p>
      <w:pPr>
        <w:pStyle w:val="Normal"/>
        <w:ind w:left="142" w:right="0" w:hanging="0"/>
        <w:rPr>
          <w:rFonts w:cs="Arial"/>
          <w:i/>
          <w:szCs w:val="20"/>
        </w:rPr>
      </w:pPr>
      <w:r>
        <w:rPr>
          <w:rFonts w:cs="Arial"/>
          <w:i/>
          <w:szCs w:val="20"/>
        </w:rPr>
        <w:t>Zersetzungsgrad von Torfen (S322, S327)</w:t>
      </w:r>
    </w:p>
    <w:p>
      <w:pPr>
        <w:pStyle w:val="Normal"/>
        <w:ind w:left="142" w:right="0" w:hanging="0"/>
        <w:rPr>
          <w:rFonts w:cs="Arial"/>
          <w:i/>
          <w:szCs w:val="20"/>
        </w:rPr>
      </w:pPr>
      <w:r>
        <w:rPr>
          <w:rFonts w:cs="Arial"/>
          <w:i/>
          <w:szCs w:val="20"/>
        </w:rPr>
        <w:t>Hinweis auf Entwässerung von Mooren (?)</w:t>
      </w:r>
    </w:p>
    <w:p>
      <w:pPr>
        <w:pStyle w:val="Normal"/>
        <w:rPr>
          <w:rFonts w:cs="Arial"/>
          <w:szCs w:val="20"/>
        </w:rPr>
      </w:pPr>
      <w:r>
        <w:rPr>
          <w:rFonts w:cs="Arial"/>
          <w:szCs w:val="20"/>
        </w:rPr>
      </w:r>
    </w:p>
    <w:p>
      <w:pPr>
        <w:pStyle w:val="Normal"/>
        <w:jc w:val="both"/>
        <w:rPr>
          <w:rFonts w:cs="Arial"/>
          <w:szCs w:val="20"/>
        </w:rPr>
      </w:pPr>
      <w:r>
        <w:rPr>
          <w:rFonts w:cs="Arial"/>
          <w:szCs w:val="20"/>
        </w:rPr>
        <w:t xml:space="preserve">Ermittlung jener für die Funktionen im Wasserkreislauf maßgeblichen Geschwindigkeit, mit der Wasser durch den Boden / den jeweiligen Horizont gelangt (in cm/d, in der Geologie oftmals auch m/s). Falls der Wert durch Laboranalysen ermittelt wurde und genau bekannt ist, erhält </w:t>
      </w:r>
      <w:r>
        <w:rPr>
          <w:rFonts w:cs="Arial"/>
          <w:b/>
          <w:szCs w:val="20"/>
        </w:rPr>
        <w:t xml:space="preserve">Px12 </w:t>
      </w:r>
      <w:r>
        <w:rPr>
          <w:rFonts w:cs="Arial"/>
          <w:szCs w:val="20"/>
        </w:rPr>
        <w:t xml:space="preserve">den Wert aus Feld </w:t>
      </w:r>
      <w:r>
        <w:rPr>
          <w:rFonts w:cs="Arial"/>
          <w:b/>
          <w:szCs w:val="20"/>
        </w:rPr>
        <w:t>B213</w:t>
      </w:r>
      <w:r>
        <w:rPr>
          <w:rFonts w:cs="Arial"/>
          <w:szCs w:val="20"/>
        </w:rPr>
        <w:t xml:space="preserve"> („gesättigte Wasserleitfähigkeit“), der durch Multiplikation mit dem Faktor </w:t>
      </w:r>
      <w:r>
        <w:rPr>
          <w:rFonts w:cs="Arial"/>
          <w:b/>
          <w:szCs w:val="20"/>
        </w:rPr>
        <w:t>8640</w:t>
      </w:r>
      <w:r>
        <w:rPr>
          <w:rFonts w:cs="Arial"/>
          <w:szCs w:val="20"/>
        </w:rPr>
        <w:t xml:space="preserve"> von m/s auf cm/d umgerechnet werden muss. </w:t>
      </w:r>
    </w:p>
    <w:p>
      <w:pPr>
        <w:pStyle w:val="Normal"/>
        <w:jc w:val="both"/>
        <w:rPr>
          <w:rFonts w:cs="Arial"/>
          <w:szCs w:val="20"/>
        </w:rPr>
      </w:pPr>
      <w:r>
        <w:rPr>
          <w:rFonts w:cs="Arial"/>
          <w:szCs w:val="20"/>
        </w:rPr>
      </w:r>
    </w:p>
    <w:p>
      <w:pPr>
        <w:pStyle w:val="Normal"/>
        <w:jc w:val="both"/>
        <w:rPr>
          <w:rFonts w:cs="Arial"/>
          <w:szCs w:val="20"/>
        </w:rPr>
      </w:pPr>
      <w:r>
        <w:rPr>
          <w:rFonts w:cs="Arial"/>
          <w:szCs w:val="20"/>
        </w:rPr>
        <w:t>Ansonsten erfolgt eine Annäherung gemäß folgender Tabelle und den anschließend beschriebenen Modifikationen:</w:t>
      </w:r>
    </w:p>
    <w:p>
      <w:pPr>
        <w:pStyle w:val="Normal"/>
        <w:jc w:val="both"/>
        <w:rPr>
          <w:rFonts w:cs="Arial"/>
          <w:szCs w:val="20"/>
        </w:rPr>
      </w:pPr>
      <w:r>
        <w:rPr>
          <w:rFonts w:cs="Arial"/>
          <w:szCs w:val="20"/>
        </w:rPr>
      </w:r>
    </w:p>
    <w:tbl>
      <w:tblPr>
        <w:jc w:val="left"/>
        <w:tblInd w:w="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415"/>
        <w:gridCol w:w="1415"/>
        <w:gridCol w:w="1984"/>
        <w:gridCol w:w="1983"/>
        <w:gridCol w:w="1994"/>
      </w:tblGrid>
      <w:tr>
        <w:trPr>
          <w:trHeight w:val="410" w:hRule="atLeast"/>
          <w:cantSplit w:val="false"/>
        </w:trPr>
        <w:tc>
          <w:tcPr>
            <w:tcW w:w="141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P140</w:t>
            </w:r>
          </w:p>
        </w:tc>
        <w:tc>
          <w:tcPr>
            <w:tcW w:w="141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Bodenart</w:t>
            </w:r>
          </w:p>
        </w:tc>
        <w:tc>
          <w:tcPr>
            <w:tcW w:w="5961"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berschrift"/>
              <w:spacing w:before="120" w:after="60"/>
              <w:rPr/>
            </w:pPr>
            <w:r>
              <w:rPr/>
              <w:t>Px12 [cm/d] =</w:t>
            </w:r>
          </w:p>
        </w:tc>
      </w:tr>
      <w:tr>
        <w:trPr>
          <w:trHeight w:val="290" w:hRule="atLeast"/>
          <w:cantSplit w:val="false"/>
        </w:trPr>
        <w:tc>
          <w:tcPr>
            <w:tcW w:w="141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41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en-GB"/>
              </w:rPr>
            </w:pPr>
            <w:r>
              <w:rPr>
                <w:lang w:val="en-GB"/>
              </w:rPr>
              <w:t>Px03: Ld1+2</w:t>
              <w:br/>
            </w:r>
            <w:r>
              <w:rPr>
                <w:b w:val="false"/>
                <w:i/>
                <w:lang w:val="en-GB"/>
              </w:rPr>
              <w:t>(B210: &lt;1,4 g/cm³)</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rPr>
            </w:pPr>
            <w:r>
              <w:rPr/>
              <w:t>Ld3</w:t>
              <w:br/>
            </w:r>
            <w:r>
              <w:rPr>
                <w:b w:val="false"/>
                <w:i/>
              </w:rPr>
              <w:t>(1,4 bis 1,7 g/cm³)</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en-GB"/>
              </w:rPr>
            </w:pPr>
            <w:r>
              <w:rPr>
                <w:lang w:val="en-GB"/>
              </w:rPr>
              <w:t>Ld4+5</w:t>
              <w:br/>
            </w:r>
            <w:r>
              <w:rPr>
                <w:b w:val="false"/>
                <w:i/>
                <w:lang w:val="en-GB"/>
              </w:rPr>
              <w:t>(&gt;1,7 g/cm³)</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101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196</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117</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61</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121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uS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40</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20</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13</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212</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sU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32</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11</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202</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27</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8</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231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45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20</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11</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332</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29</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14</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341</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i/>
                <w:iCs/>
              </w:rPr>
            </w:pPr>
            <w:r>
              <w:rPr>
                <w:i/>
                <w:iCs/>
              </w:rPr>
              <w:t>60</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i/>
                <w:iCs/>
              </w:rPr>
            </w:pPr>
            <w:r>
              <w:rPr>
                <w:i/>
                <w:iCs/>
              </w:rPr>
              <w:t>48</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i/>
                <w:iCs/>
              </w:rPr>
            </w:pPr>
            <w:r>
              <w:rPr>
                <w:i/>
                <w:iCs/>
              </w:rPr>
              <w:t>22</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313</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32</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16</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8</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423</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uL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28</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19</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7</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403</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19</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12</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5</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414</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i/>
                <w:iCs/>
              </w:rPr>
            </w:pPr>
            <w:r>
              <w:rPr>
                <w:i/>
                <w:iCs/>
              </w:rPr>
              <w:t>15</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i/>
                <w:iCs/>
              </w:rPr>
            </w:pPr>
            <w:r>
              <w:rPr>
                <w:i/>
                <w:iCs/>
              </w:rPr>
              <w:t>11</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i/>
                <w:iCs/>
              </w:rPr>
            </w:pPr>
            <w:r>
              <w:rPr>
                <w:i/>
                <w:iCs/>
              </w:rPr>
              <w:t>4</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534</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18</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6</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w:t>
            </w:r>
          </w:p>
        </w:tc>
      </w:tr>
      <w:tr>
        <w:trPr>
          <w:trHeight w:val="290" w:hRule="atLeast"/>
          <w:cantSplit w:val="false"/>
        </w:trPr>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504</w:t>
            </w:r>
          </w:p>
        </w:tc>
        <w:tc>
          <w:tcPr>
            <w:tcW w:w="14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20</w:t>
            </w:r>
          </w:p>
        </w:tc>
        <w:tc>
          <w:tcPr>
            <w:tcW w:w="19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5</w:t>
            </w:r>
          </w:p>
        </w:tc>
        <w:tc>
          <w:tcPr>
            <w:tcW w:w="199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1</w:t>
            </w:r>
          </w:p>
        </w:tc>
      </w:tr>
    </w:tbl>
    <w:p>
      <w:pPr>
        <w:pStyle w:val="Bildunterschrift"/>
        <w:rPr/>
      </w:pPr>
      <w:r>
        <w:rPr/>
        <w:t>Quelle: Ableitung nach Müller (2004: 125f., VKR 6.1.11), auf österreichische Systematik übertragen nach Kuderna et al. (2000: 9) [auf Basis der BK-Daten von Kufstein]</w:t>
      </w:r>
    </w:p>
    <w:p>
      <w:pPr>
        <w:pStyle w:val="Bildunterschrift"/>
        <w:rPr>
          <w:i/>
        </w:rPr>
      </w:pPr>
      <w:r>
        <w:rPr>
          <w:i/>
        </w:rPr>
        <w:t>Anm.: die Tabelle in Kuderna et al. (2000: 10) ist für die Verhältnisse in Oberösterreich erstellt und beinhaltet nur kf-Klassen 2 bis 6 – für die weitere Bearbeitung, v.a. für die Bestimmung des geringst durchlässigen Horizontes erscheint dies zu wenig differenziert</w:t>
      </w:r>
    </w:p>
    <w:p>
      <w:pPr>
        <w:pStyle w:val="Normal"/>
        <w:rPr>
          <w:rFonts w:cs="Arial"/>
          <w:b/>
          <w:i/>
          <w:szCs w:val="20"/>
        </w:rPr>
      </w:pPr>
      <w:r>
        <w:rPr>
          <w:rFonts w:cs="Arial"/>
          <w:b/>
          <w:i/>
          <w:szCs w:val="20"/>
        </w:rPr>
      </w:r>
    </w:p>
    <w:p>
      <w:pPr>
        <w:pStyle w:val="Normal"/>
        <w:jc w:val="both"/>
        <w:rPr>
          <w:rFonts w:cs="Arial"/>
          <w:szCs w:val="20"/>
        </w:rPr>
      </w:pPr>
      <w:r>
        <w:rPr>
          <w:rFonts w:cs="Arial"/>
          <w:szCs w:val="20"/>
        </w:rPr>
        <w:t xml:space="preserve">Unter bestimmten Bedingungen werden von den Angaben in der Tabelle abweichende kf-Werte angesetzt (vgl. TUSEC-Manual, Lehmann et al. 2008: 28, 53):  </w:t>
      </w:r>
    </w:p>
    <w:p>
      <w:pPr>
        <w:pStyle w:val="Normal"/>
        <w:rPr>
          <w:rFonts w:cs="Arial"/>
          <w:szCs w:val="20"/>
        </w:rPr>
      </w:pPr>
      <w:r>
        <w:rPr>
          <w:rFonts w:cs="Arial"/>
          <w:szCs w:val="20"/>
        </w:rPr>
      </w:r>
    </w:p>
    <w:p>
      <w:pPr>
        <w:pStyle w:val="Normal"/>
        <w:rPr>
          <w:rFonts w:cs="Arial"/>
          <w:szCs w:val="20"/>
          <w:u w:val="single"/>
        </w:rPr>
      </w:pPr>
      <w:r>
        <w:rPr>
          <w:rFonts w:cs="Arial"/>
          <w:szCs w:val="20"/>
          <w:u w:val="single"/>
        </w:rPr>
        <w:t>Oberboden</w:t>
      </w:r>
    </w:p>
    <w:p>
      <w:pPr>
        <w:pStyle w:val="Normal"/>
        <w:jc w:val="both"/>
        <w:rPr>
          <w:rFonts w:cs="Arial"/>
          <w:szCs w:val="20"/>
        </w:rPr>
      </w:pPr>
      <w:r>
        <w:rPr>
          <w:rFonts w:cs="Arial"/>
          <w:szCs w:val="20"/>
        </w:rPr>
        <w:t xml:space="preserve">Locker gelagerte Horizonte mit Krümel- oder Subpolyederstruktur weisen eine höhere Durchlässigkeit auf, als Horizonte der selben Bodenart ohne derart ausgeprägtes Bodengefüge. Daher gilt: Falls für die Primärgefügeform (Feld P128) der Wert 470 (krümelig) oder 450 (blockig-kantengerundet) angegeben ist UND die Lagerungsdichte (Feld Px02) den Klassen Ld1 oder Ld2 entspricht, wird </w:t>
      </w:r>
      <w:r>
        <w:rPr>
          <w:rFonts w:cs="Arial"/>
          <w:b/>
          <w:szCs w:val="20"/>
        </w:rPr>
        <w:t>Px12 =</w:t>
      </w:r>
      <w:r>
        <w:rPr>
          <w:rFonts w:cs="Arial"/>
          <w:szCs w:val="20"/>
        </w:rPr>
        <w:t> </w:t>
      </w:r>
      <w:r>
        <w:rPr>
          <w:rFonts w:cs="Arial"/>
          <w:b/>
          <w:szCs w:val="20"/>
        </w:rPr>
        <w:t>300</w:t>
      </w:r>
      <w:r>
        <w:rPr>
          <w:rFonts w:cs="Arial"/>
          <w:szCs w:val="20"/>
        </w:rPr>
        <w:t xml:space="preserve"> (=„äußerst hoch“) angesetzt.</w:t>
      </w:r>
    </w:p>
    <w:p>
      <w:pPr>
        <w:pStyle w:val="Normal"/>
        <w:rPr>
          <w:rFonts w:cs="Arial"/>
          <w:b/>
          <w:i/>
          <w:szCs w:val="20"/>
        </w:rPr>
      </w:pPr>
      <w:r>
        <w:rPr>
          <w:rFonts w:cs="Arial"/>
          <w:b/>
          <w:i/>
          <w:szCs w:val="20"/>
        </w:rPr>
      </w:r>
    </w:p>
    <w:p>
      <w:pPr>
        <w:pStyle w:val="Normal"/>
        <w:rPr>
          <w:rFonts w:cs="Arial"/>
          <w:szCs w:val="20"/>
          <w:u w:val="single"/>
        </w:rPr>
      </w:pPr>
      <w:r>
        <w:rPr>
          <w:rFonts w:cs="Arial"/>
          <w:szCs w:val="20"/>
          <w:u w:val="single"/>
        </w:rPr>
        <w:t xml:space="preserve">Horizonte mit Skelettgehalt </w:t>
      </w:r>
      <w:r>
        <w:rPr>
          <w:rFonts w:eastAsia="Arial" w:cs="Arial"/>
          <w:szCs w:val="20"/>
          <w:u w:val="single"/>
        </w:rPr>
        <w:t>≥</w:t>
      </w:r>
      <w:r>
        <w:rPr>
          <w:rFonts w:cs="Arial"/>
          <w:szCs w:val="20"/>
          <w:u w:val="single"/>
        </w:rPr>
        <w:t>60 %</w:t>
      </w:r>
    </w:p>
    <w:p>
      <w:pPr>
        <w:pStyle w:val="Normal"/>
        <w:jc w:val="both"/>
        <w:rPr>
          <w:rFonts w:cs="Arial"/>
          <w:szCs w:val="20"/>
        </w:rPr>
      </w:pPr>
      <w:r>
        <w:rPr>
          <w:rFonts w:cs="Arial"/>
          <w:szCs w:val="20"/>
        </w:rPr>
        <w:t xml:space="preserve">Analog zum TUSEC-Manual wird für Horizonte mit einem Grobanteil von 60 % und mehr (Feld P117 bzw. Klassen 499 „sehr hoher“ und 599 „vorwiegender“ Grobanteil in Feld P116) </w:t>
      </w:r>
      <w:r>
        <w:rPr>
          <w:rFonts w:cs="Arial"/>
          <w:b/>
          <w:szCs w:val="20"/>
        </w:rPr>
        <w:t>Px12 =</w:t>
      </w:r>
      <w:r>
        <w:rPr>
          <w:rFonts w:cs="Arial"/>
          <w:szCs w:val="20"/>
        </w:rPr>
        <w:t> </w:t>
      </w:r>
      <w:r>
        <w:rPr>
          <w:rFonts w:cs="Arial"/>
          <w:b/>
          <w:szCs w:val="20"/>
        </w:rPr>
        <w:t>300</w:t>
      </w:r>
      <w:r>
        <w:rPr>
          <w:rFonts w:cs="Arial"/>
          <w:szCs w:val="20"/>
        </w:rPr>
        <w:t xml:space="preserve"> (=„äußerst hoch“) angesetzt.</w:t>
      </w:r>
    </w:p>
    <w:p>
      <w:pPr>
        <w:pStyle w:val="Normal"/>
        <w:rPr>
          <w:rFonts w:cs="Arial"/>
          <w:szCs w:val="20"/>
        </w:rPr>
      </w:pPr>
      <w:r>
        <w:rPr>
          <w:rFonts w:cs="Arial"/>
          <w:szCs w:val="20"/>
        </w:rPr>
      </w:r>
    </w:p>
    <w:p>
      <w:pPr>
        <w:pStyle w:val="Normal"/>
        <w:rPr>
          <w:rFonts w:cs="Arial"/>
          <w:szCs w:val="20"/>
          <w:u w:val="single"/>
        </w:rPr>
      </w:pPr>
      <w:r>
        <w:rPr>
          <w:rFonts w:cs="Arial"/>
          <w:szCs w:val="20"/>
          <w:u w:val="single"/>
        </w:rPr>
        <w:t>umgelagerte Böden</w:t>
      </w:r>
    </w:p>
    <w:p>
      <w:pPr>
        <w:pStyle w:val="Normal"/>
        <w:jc w:val="both"/>
        <w:rPr>
          <w:rFonts w:cs="Arial"/>
          <w:szCs w:val="20"/>
        </w:rPr>
      </w:pPr>
      <w:r>
        <w:rPr>
          <w:rFonts w:cs="Arial"/>
          <w:szCs w:val="20"/>
        </w:rPr>
        <w:t xml:space="preserve">Für Horizonte, die künstlich umgelagert wurden (neues Feld P171 = 1 „ja“) UND bei denen die Lagerungsdichte (Feld Px03) den Klassen Ld1 oder Ld2 entspricht, wird </w:t>
      </w:r>
      <w:r>
        <w:rPr>
          <w:rFonts w:cs="Arial"/>
          <w:b/>
          <w:szCs w:val="20"/>
        </w:rPr>
        <w:t>Px12 = 300</w:t>
      </w:r>
      <w:r>
        <w:rPr>
          <w:rFonts w:cs="Arial"/>
          <w:szCs w:val="20"/>
        </w:rPr>
        <w:t xml:space="preserve"> (=„äußerst hoch“) angesetzt. </w:t>
      </w:r>
    </w:p>
    <w:p>
      <w:pPr>
        <w:pStyle w:val="Normal"/>
        <w:rPr>
          <w:rFonts w:cs="Arial"/>
          <w:szCs w:val="20"/>
          <w:u w:val="single"/>
        </w:rPr>
      </w:pPr>
      <w:r>
        <w:rPr>
          <w:rFonts w:cs="Arial"/>
          <w:szCs w:val="20"/>
          <w:u w:val="single"/>
        </w:rPr>
      </w:r>
    </w:p>
    <w:p>
      <w:pPr>
        <w:pStyle w:val="Normal"/>
        <w:rPr>
          <w:rFonts w:cs="Arial"/>
          <w:szCs w:val="20"/>
          <w:u w:val="single"/>
        </w:rPr>
      </w:pPr>
      <w:r>
        <w:rPr>
          <w:rFonts w:cs="Arial"/>
          <w:szCs w:val="20"/>
          <w:u w:val="single"/>
        </w:rPr>
        <w:t>Festgestein</w:t>
      </w:r>
    </w:p>
    <w:p>
      <w:pPr>
        <w:pStyle w:val="Normal"/>
        <w:jc w:val="both"/>
        <w:rPr>
          <w:rFonts w:cs="Arial"/>
          <w:iCs/>
          <w:color w:val="000000"/>
          <w:szCs w:val="18"/>
        </w:rPr>
      </w:pPr>
      <w:r>
        <w:rPr>
          <w:rFonts w:cs="Arial"/>
          <w:szCs w:val="20"/>
        </w:rPr>
        <w:t xml:space="preserve">Die Durchlässigkeit von Festgestein unterliegt großen Schwankungen (z.B. in </w:t>
      </w:r>
      <w:r>
        <w:rPr/>
        <w:t>http://www.lfu.bayern.de /geologie/daten/hydrogeologie/teilraum/doc/teilraum_noerdliche_kalkalpen.pdf</w:t>
      </w:r>
      <w:r>
        <w:rPr>
          <w:rFonts w:cs="Arial"/>
          <w:iCs/>
          <w:color w:val="000000"/>
          <w:szCs w:val="18"/>
        </w:rPr>
        <w:t xml:space="preserve">), so dass für die Zwecke von SEPP keine gesicherte Aussage möglich erscheint. </w:t>
      </w:r>
    </w:p>
    <w:p>
      <w:pPr>
        <w:pStyle w:val="Normal"/>
        <w:jc w:val="both"/>
        <w:rPr>
          <w:rFonts w:cs="Arial"/>
          <w:szCs w:val="20"/>
        </w:rPr>
      </w:pPr>
      <w:r>
        <w:rPr>
          <w:rFonts w:cs="Arial"/>
          <w:szCs w:val="20"/>
        </w:rPr>
        <w:t xml:space="preserve">Unter einer „worst case“-Annahme wird vorerst davon ausgegangen, dass bei einem Grobanteil von 100 % (Wert von 100 % oder Anmerkung „Fels“ in Feld P117) der entsprechende C-Horizont als Stauer wirkt und </w:t>
      </w:r>
      <w:r>
        <w:rPr>
          <w:rFonts w:cs="Arial"/>
          <w:b/>
          <w:szCs w:val="20"/>
        </w:rPr>
        <w:t xml:space="preserve">Px12 = 1 </w:t>
      </w:r>
      <w:r>
        <w:rPr>
          <w:rFonts w:cs="Arial"/>
          <w:szCs w:val="20"/>
        </w:rPr>
        <w:t>(=„sehr gering“) angesetzt.</w:t>
      </w:r>
    </w:p>
    <w:p>
      <w:pPr>
        <w:pStyle w:val="Normal"/>
        <w:rPr>
          <w:rFonts w:cs="Arial"/>
          <w:szCs w:val="20"/>
        </w:rPr>
      </w:pPr>
      <w:r>
        <w:rPr>
          <w:rFonts w:cs="Arial"/>
          <w:szCs w:val="20"/>
        </w:rPr>
      </w:r>
    </w:p>
    <w:p>
      <w:pPr>
        <w:pStyle w:val="Normal"/>
        <w:rPr>
          <w:rFonts w:cs="Arial"/>
          <w:szCs w:val="20"/>
          <w:u w:val="single"/>
        </w:rPr>
      </w:pPr>
      <w:r>
        <w:rPr>
          <w:rFonts w:cs="Arial"/>
          <w:szCs w:val="20"/>
          <w:u w:val="single"/>
        </w:rPr>
        <w:t>Moore</w:t>
      </w:r>
    </w:p>
    <w:p>
      <w:pPr>
        <w:pStyle w:val="Normal"/>
        <w:jc w:val="both"/>
        <w:rPr>
          <w:rFonts w:cs="Arial"/>
          <w:szCs w:val="20"/>
        </w:rPr>
      </w:pPr>
      <w:r>
        <w:rPr>
          <w:rFonts w:cs="Arial"/>
          <w:szCs w:val="20"/>
        </w:rPr>
        <w:t>Die Durchlässigkeit für Moorböden (Feld S322 = 2100 bis 2120) ist nach Müller (2004: 126) abhängig von der Zersetzungsstufe des Torfs, der den Grad der fortschreitenden Humifizierung der organischen Substanz beschreibt. Zweiter wesentlicher Faktor ist das Substanzvolumen, das den Anteil der festen Substanz am Gesamtvolumen angibt und in seiner Bedeutung mit der Lagerungsdichte bei Mineralböden vergleichbar ist (Ad-hoc-AG Boden 2005: 127).</w:t>
      </w:r>
    </w:p>
    <w:p>
      <w:pPr>
        <w:pStyle w:val="Normal"/>
        <w:jc w:val="both"/>
        <w:rPr>
          <w:rFonts w:cs="Arial"/>
          <w:szCs w:val="20"/>
        </w:rPr>
      </w:pPr>
      <w:r>
        <w:rPr>
          <w:rFonts w:cs="Arial"/>
          <w:szCs w:val="20"/>
        </w:rPr>
      </w:r>
    </w:p>
    <w:p>
      <w:pPr>
        <w:pStyle w:val="Normal"/>
        <w:jc w:val="both"/>
        <w:rPr>
          <w:rFonts w:cs="Arial"/>
          <w:szCs w:val="20"/>
        </w:rPr>
      </w:pPr>
      <w:r>
        <w:rPr>
          <w:rFonts w:cs="Arial"/>
          <w:szCs w:val="20"/>
        </w:rPr>
        <w:t>In der KA5 werden die Zersetzungsgrade nach von Post in fünf Zersetzungsstufen (z1 bis z5) zusammengefasst (Ad-hoc-AG Boden 2005: 128), denen nun mehr äquivalente Zusatzangaben zum Bodentyp lt. Datenschlüssel Bodenkunde (Feld S327) zugewiesen werden. Von den fünf Klassen des Substanzvolumens (SV1 bis SV5, siehe Ad-hoc-AG Boden 2005: 127) werden 3 in Abhängigkeit vom Entwässerungsgrad des jeweiligen Moores vergeben:</w:t>
      </w:r>
    </w:p>
    <w:p>
      <w:pPr>
        <w:pStyle w:val="Normal"/>
        <w:rPr>
          <w:rFonts w:cs="Arial"/>
          <w:color w:val="9900FF"/>
          <w:szCs w:val="20"/>
        </w:rPr>
      </w:pPr>
      <w:r>
        <w:rPr>
          <w:rFonts w:cs="Arial"/>
          <w:color w:val="9900FF"/>
          <w:szCs w:val="20"/>
        </w:rPr>
        <w:t>Anm.: In der Sepp-Implementierung dieses Algorithmus wir das Substanzvolumen über die Lagerunsdichte zugeordnet?!</w:t>
      </w:r>
    </w:p>
    <w:p>
      <w:pPr>
        <w:pStyle w:val="Normal"/>
        <w:rPr>
          <w:rFonts w:cs="Arial"/>
          <w:color w:val="9900FF"/>
          <w:szCs w:val="20"/>
        </w:rPr>
      </w:pPr>
      <w:r>
        <w:rPr>
          <w:rFonts w:cs="Arial"/>
          <w:szCs w:val="20"/>
        </w:rPr>
        <w:tab/>
        <w:t>SV1 (sehr gering), falls „nicht entwässert“</w:t>
      </w:r>
      <w:r>
        <w:rPr>
          <w:rFonts w:cs="Arial"/>
          <w:color w:val="9900FF"/>
          <w:szCs w:val="20"/>
        </w:rPr>
        <w:t xml:space="preserve"> </w:t>
      </w:r>
      <w:r>
        <w:rPr>
          <w:rFonts w:cs="Arial"/>
          <w:color w:val="9900FF"/>
          <w:szCs w:val="20"/>
        </w:rPr>
        <w:t>(Ld1 oder Ld2)</w:t>
      </w:r>
    </w:p>
    <w:p>
      <w:pPr>
        <w:pStyle w:val="Normal"/>
        <w:rPr>
          <w:rFonts w:cs="Arial"/>
          <w:color w:val="9900FF"/>
          <w:szCs w:val="20"/>
        </w:rPr>
      </w:pPr>
      <w:r>
        <w:rPr>
          <w:rFonts w:cs="Arial"/>
          <w:szCs w:val="20"/>
        </w:rPr>
        <w:tab/>
        <w:t xml:space="preserve">SV3 (mittel), falls „schwach/mäßig entwässert“ </w:t>
      </w:r>
      <w:r>
        <w:rPr>
          <w:rFonts w:cs="Arial"/>
          <w:color w:val="9900FF"/>
          <w:szCs w:val="20"/>
        </w:rPr>
        <w:t>(Ld3)</w:t>
      </w:r>
    </w:p>
    <w:p>
      <w:pPr>
        <w:pStyle w:val="Normal"/>
        <w:rPr>
          <w:rFonts w:cs="Arial"/>
          <w:color w:val="9900FF"/>
          <w:szCs w:val="20"/>
        </w:rPr>
      </w:pPr>
      <w:r>
        <w:rPr>
          <w:rFonts w:cs="Arial"/>
          <w:szCs w:val="20"/>
        </w:rPr>
        <w:tab/>
        <w:t xml:space="preserve">SV5 (sehr groß), falls „stark entwässert“ </w:t>
      </w:r>
      <w:r>
        <w:rPr>
          <w:rFonts w:cs="Arial"/>
          <w:color w:val="9900FF"/>
          <w:szCs w:val="20"/>
        </w:rPr>
        <w:t>(Ld4 oder Ld5)</w:t>
      </w:r>
    </w:p>
    <w:p>
      <w:pPr>
        <w:pStyle w:val="Normal"/>
        <w:rPr>
          <w:rFonts w:cs="Arial"/>
          <w:szCs w:val="20"/>
        </w:rPr>
      </w:pPr>
      <w:r>
        <w:rPr>
          <w:rFonts w:cs="Arial"/>
          <w:szCs w:val="20"/>
        </w:rPr>
      </w:r>
    </w:p>
    <w:p>
      <w:pPr>
        <w:pStyle w:val="Normal"/>
        <w:rPr>
          <w:rFonts w:cs="Arial"/>
          <w:szCs w:val="20"/>
        </w:rPr>
      </w:pPr>
      <w:r>
        <w:rPr>
          <w:rFonts w:cs="Arial"/>
          <w:szCs w:val="20"/>
        </w:rPr>
      </w:r>
    </w:p>
    <w:tbl>
      <w:tblPr>
        <w:jc w:val="left"/>
        <w:tblInd w:w="4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215"/>
        <w:gridCol w:w="2437"/>
        <w:gridCol w:w="1831"/>
        <w:gridCol w:w="1829"/>
        <w:gridCol w:w="1841"/>
      </w:tblGrid>
      <w:tr>
        <w:trPr>
          <w:trHeight w:val="410" w:hRule="atLeast"/>
          <w:cantSplit w:val="false"/>
        </w:trPr>
        <w:tc>
          <w:tcPr>
            <w:tcW w:w="121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S327</w:t>
            </w:r>
          </w:p>
        </w:tc>
        <w:tc>
          <w:tcPr>
            <w:tcW w:w="243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Zersetzungsstufe</w:t>
            </w:r>
          </w:p>
        </w:tc>
        <w:tc>
          <w:tcPr>
            <w:tcW w:w="5501"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berschrift"/>
              <w:spacing w:before="120" w:after="60"/>
              <w:rPr/>
            </w:pPr>
            <w:r>
              <w:rPr/>
              <w:t>Px12 [cm/d] =</w:t>
            </w:r>
          </w:p>
        </w:tc>
      </w:tr>
      <w:tr>
        <w:trPr>
          <w:trHeight w:val="290" w:hRule="atLeast"/>
          <w:cantSplit w:val="false"/>
        </w:trPr>
        <w:tc>
          <w:tcPr>
            <w:tcW w:w="121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243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r>
          </w:p>
        </w:tc>
        <w:tc>
          <w:tcPr>
            <w:tcW w:w="18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SV1 (sehr gering)</w:t>
            </w:r>
          </w:p>
          <w:p>
            <w:pPr>
              <w:pStyle w:val="Tabellenberschrift"/>
              <w:spacing w:before="120" w:after="60"/>
              <w:rPr>
                <w:b w:val="false"/>
                <w:i/>
              </w:rPr>
            </w:pPr>
            <w:r>
              <w:rPr>
                <w:b w:val="false"/>
                <w:i/>
              </w:rPr>
              <w:t>nicht entwässert</w:t>
            </w:r>
          </w:p>
        </w:tc>
        <w:tc>
          <w:tcPr>
            <w:tcW w:w="18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SV3 (mittel)</w:t>
            </w:r>
          </w:p>
          <w:p>
            <w:pPr>
              <w:pStyle w:val="Tabellenberschrift"/>
              <w:spacing w:before="120" w:after="60"/>
              <w:rPr>
                <w:b w:val="false"/>
                <w:i/>
              </w:rPr>
            </w:pPr>
            <w:r>
              <w:rPr>
                <w:b w:val="false"/>
                <w:i/>
              </w:rPr>
              <w:t>schwach/mäßig entwässert</w:t>
            </w:r>
          </w:p>
        </w:tc>
        <w:tc>
          <w:tcPr>
            <w:tcW w:w="18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SV5 (sehr groß)</w:t>
            </w:r>
          </w:p>
          <w:p>
            <w:pPr>
              <w:pStyle w:val="Tabellenberschrift"/>
              <w:spacing w:before="120" w:after="60"/>
              <w:rPr>
                <w:b w:val="false"/>
                <w:i/>
              </w:rPr>
            </w:pPr>
            <w:r>
              <w:rPr>
                <w:b w:val="false"/>
                <w:i/>
              </w:rPr>
              <w:t>stark entwässert</w:t>
            </w:r>
          </w:p>
        </w:tc>
      </w:tr>
      <w:tr>
        <w:trPr>
          <w:trHeight w:val="290" w:hRule="atLeast"/>
          <w:cantSplit w:val="false"/>
        </w:trPr>
        <w:tc>
          <w:tcPr>
            <w:tcW w:w="12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lang w:val="en-GB"/>
              </w:rPr>
            </w:pPr>
            <w:r>
              <w:rPr>
                <w:lang w:val="en-GB"/>
              </w:rPr>
              <w:t>0</w:t>
            </w:r>
          </w:p>
        </w:tc>
        <w:tc>
          <w:tcPr>
            <w:tcW w:w="2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 xml:space="preserve">unzersetzt (z1) / </w:t>
              <w:br/>
              <w:t>schwach zersetzt (z2)</w:t>
            </w:r>
          </w:p>
        </w:tc>
        <w:tc>
          <w:tcPr>
            <w:tcW w:w="18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300</w:t>
            </w:r>
          </w:p>
        </w:tc>
        <w:tc>
          <w:tcPr>
            <w:tcW w:w="18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70</w:t>
            </w:r>
          </w:p>
        </w:tc>
        <w:tc>
          <w:tcPr>
            <w:tcW w:w="18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25</w:t>
            </w:r>
          </w:p>
        </w:tc>
      </w:tr>
      <w:tr>
        <w:trPr>
          <w:trHeight w:val="290" w:hRule="atLeast"/>
          <w:cantSplit w:val="false"/>
        </w:trPr>
        <w:tc>
          <w:tcPr>
            <w:tcW w:w="12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17</w:t>
            </w:r>
          </w:p>
        </w:tc>
        <w:tc>
          <w:tcPr>
            <w:tcW w:w="2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zersetzt (z3)</w:t>
            </w:r>
          </w:p>
        </w:tc>
        <w:tc>
          <w:tcPr>
            <w:tcW w:w="18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70</w:t>
            </w:r>
          </w:p>
        </w:tc>
        <w:tc>
          <w:tcPr>
            <w:tcW w:w="18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25</w:t>
            </w:r>
          </w:p>
        </w:tc>
        <w:tc>
          <w:tcPr>
            <w:tcW w:w="18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5</w:t>
            </w:r>
          </w:p>
        </w:tc>
      </w:tr>
      <w:tr>
        <w:trPr>
          <w:trHeight w:val="290" w:hRule="atLeast"/>
          <w:cantSplit w:val="false"/>
        </w:trPr>
        <w:tc>
          <w:tcPr>
            <w:tcW w:w="12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18</w:t>
            </w:r>
          </w:p>
        </w:tc>
        <w:tc>
          <w:tcPr>
            <w:tcW w:w="2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stark zersetzt (z4) /</w:t>
            </w:r>
          </w:p>
          <w:p>
            <w:pPr>
              <w:pStyle w:val="TabellenInhalt"/>
              <w:suppressLineNumbers/>
              <w:spacing w:lineRule="auto" w:line="240" w:before="60" w:after="60"/>
              <w:jc w:val="center"/>
              <w:rPr/>
            </w:pPr>
            <w:r>
              <w:rPr/>
              <w:t>vererdet (z5)</w:t>
            </w:r>
          </w:p>
        </w:tc>
        <w:tc>
          <w:tcPr>
            <w:tcW w:w="18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25</w:t>
            </w:r>
          </w:p>
        </w:tc>
        <w:tc>
          <w:tcPr>
            <w:tcW w:w="18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5</w:t>
            </w:r>
          </w:p>
        </w:tc>
        <w:tc>
          <w:tcPr>
            <w:tcW w:w="184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pPr>
            <w:r>
              <w:rPr/>
              <w:t>1</w:t>
            </w:r>
          </w:p>
        </w:tc>
      </w:tr>
    </w:tbl>
    <w:p>
      <w:pPr>
        <w:pStyle w:val="Bildunterschrift"/>
        <w:rPr/>
      </w:pPr>
      <w:r>
        <w:rPr/>
        <w:t xml:space="preserve">Quelle: Ableitung nach Müller (2004: 126, VKR 6.1.11) </w:t>
      </w:r>
    </w:p>
    <w:p>
      <w:pPr>
        <w:pStyle w:val="Bildunterschrift"/>
        <w:rPr>
          <w:i/>
        </w:rPr>
      </w:pPr>
      <w:r>
        <w:rPr>
          <w:i/>
        </w:rPr>
        <w:t>Anm.: Die angebenen Werte sind lediglich Mittelwerte von Durchlässigkeits</w:t>
      </w:r>
      <w:r>
        <w:rPr>
          <w:i/>
          <w:u w:val="single"/>
        </w:rPr>
        <w:t>klassen</w:t>
      </w:r>
      <w:r>
        <w:rPr>
          <w:i/>
        </w:rPr>
        <w:t>, die in Ermangelung exakterer Werte veranschlagt werden</w:t>
      </w:r>
    </w:p>
    <w:p>
      <w:pPr>
        <w:pStyle w:val="Normal"/>
        <w:rPr>
          <w:rFonts w:cs="Arial"/>
          <w:b/>
          <w:i/>
          <w:szCs w:val="20"/>
          <w:u w:val="single"/>
        </w:rPr>
      </w:pPr>
      <w:r>
        <w:rPr>
          <w:rFonts w:cs="Arial"/>
          <w:b/>
          <w:i/>
          <w:szCs w:val="20"/>
          <w:u w:val="single"/>
        </w:rPr>
      </w:r>
    </w:p>
    <w:p>
      <w:pPr>
        <w:pStyle w:val="Normal"/>
        <w:jc w:val="both"/>
        <w:rPr>
          <w:rFonts w:cs="Arial"/>
          <w:szCs w:val="20"/>
        </w:rPr>
      </w:pPr>
      <w:r>
        <w:rPr>
          <w:rFonts w:cs="Arial"/>
          <w:szCs w:val="20"/>
        </w:rPr>
        <w:t xml:space="preserve">Ist in Feld S327 keine Angabe vorhanden und/oder der Entwässerungsgrad nicht bekannt, so wird für Torfe (Feld P168 = Code 70) vereinfacht </w:t>
      </w:r>
      <w:r>
        <w:rPr>
          <w:rFonts w:cs="Arial"/>
          <w:b/>
          <w:szCs w:val="20"/>
        </w:rPr>
        <w:t>Px12 =</w:t>
      </w:r>
      <w:r>
        <w:rPr>
          <w:rFonts w:cs="Arial"/>
          <w:szCs w:val="20"/>
        </w:rPr>
        <w:t> </w:t>
      </w:r>
      <w:r>
        <w:rPr>
          <w:rFonts w:cs="Arial"/>
          <w:b/>
          <w:szCs w:val="20"/>
        </w:rPr>
        <w:t>25</w:t>
      </w:r>
      <w:r>
        <w:rPr>
          <w:rFonts w:cs="Arial"/>
          <w:szCs w:val="20"/>
        </w:rPr>
        <w:t xml:space="preserve"> angenommen.</w:t>
      </w:r>
    </w:p>
    <w:p>
      <w:pPr>
        <w:pStyle w:val="Normal"/>
        <w:rPr>
          <w:rFonts w:cs="Arial"/>
          <w:szCs w:val="20"/>
        </w:rPr>
      </w:pPr>
      <w:r>
        <w:rPr>
          <w:rFonts w:cs="Arial"/>
          <w:szCs w:val="20"/>
        </w:rPr>
      </w:r>
    </w:p>
    <w:p>
      <w:pPr>
        <w:pStyle w:val="Normal"/>
        <w:jc w:val="both"/>
        <w:rPr>
          <w:rFonts w:cs="Arial"/>
          <w:szCs w:val="20"/>
        </w:rPr>
      </w:pPr>
      <w:r>
        <w:rPr>
          <w:rFonts w:cs="Arial"/>
          <w:szCs w:val="20"/>
        </w:rPr>
        <w:t>Die relevanten Kenngrößen auf Profilebene werden im Anschluss an die Berechnung der horizontbezogenen Werte ermittelt:</w:t>
      </w:r>
    </w:p>
    <w:p>
      <w:pPr>
        <w:pStyle w:val="Normal"/>
        <w:jc w:val="both"/>
        <w:rPr>
          <w:rFonts w:cs="Arial"/>
          <w:szCs w:val="20"/>
        </w:rPr>
      </w:pPr>
      <w:r>
        <w:rPr>
          <w:rFonts w:cs="Arial"/>
          <w:szCs w:val="20"/>
        </w:rPr>
      </w:r>
    </w:p>
    <w:p>
      <w:pPr>
        <w:pStyle w:val="Normal"/>
        <w:rPr>
          <w:rFonts w:cs="Arial"/>
          <w:b/>
          <w:szCs w:val="20"/>
        </w:rPr>
      </w:pPr>
      <w:r>
        <w:rPr>
          <w:rFonts w:cs="Arial"/>
          <w:b/>
          <w:szCs w:val="20"/>
        </w:rPr>
        <w:tab/>
        <w:t>kf</w:t>
      </w:r>
      <w:r>
        <w:rPr>
          <w:rFonts w:cs="Arial"/>
          <w:b/>
          <w:szCs w:val="20"/>
          <w:vertAlign w:val="subscript"/>
        </w:rPr>
        <w:t>min</w:t>
      </w:r>
      <w:r>
        <w:rPr>
          <w:rFonts w:cs="Arial"/>
          <w:b/>
          <w:szCs w:val="20"/>
        </w:rPr>
        <w:t xml:space="preserve"> [cm/d] (Sx10) = minimaler kf-Wert im Profil, d.h. kf-Wert des „Stau“-Horizontes</w:t>
      </w:r>
    </w:p>
    <w:p>
      <w:pPr>
        <w:pStyle w:val="Normal"/>
        <w:rPr>
          <w:rFonts w:cs="Arial"/>
          <w:b/>
          <w:szCs w:val="20"/>
        </w:rPr>
      </w:pPr>
      <w:r>
        <w:rPr>
          <w:rFonts w:cs="Arial"/>
          <w:b/>
          <w:szCs w:val="20"/>
        </w:rPr>
      </w:r>
    </w:p>
    <w:p>
      <w:pPr>
        <w:pStyle w:val="Normal"/>
        <w:rPr>
          <w:rFonts w:cs="Arial"/>
          <w:b/>
          <w:szCs w:val="20"/>
        </w:rPr>
      </w:pPr>
      <w:r>
        <w:rPr>
          <w:rFonts w:cs="Arial"/>
          <w:b/>
          <w:szCs w:val="20"/>
        </w:rPr>
        <w:tab/>
        <w:t>kf</w:t>
      </w:r>
      <w:r>
        <w:rPr>
          <w:rFonts w:cs="Arial"/>
          <w:b/>
          <w:szCs w:val="20"/>
          <w:vertAlign w:val="subscript"/>
        </w:rPr>
        <w:t>ave</w:t>
      </w:r>
      <w:r>
        <w:rPr>
          <w:rFonts w:cs="Arial"/>
          <w:b/>
          <w:szCs w:val="20"/>
        </w:rPr>
        <w:t xml:space="preserve"> [cm/d] (Sx11) = durchschnittlicher kf-Wert des Profils, berechnet nach der Formel: </w:t>
      </w:r>
    </w:p>
    <w:p>
      <w:pPr>
        <w:pStyle w:val="Normal"/>
        <w:rPr>
          <w:rFonts w:cs="Arial"/>
          <w:b/>
          <w:szCs w:val="20"/>
        </w:rPr>
      </w:pPr>
      <w:r>
        <w:rPr>
          <w:rFonts w:cs="Arial"/>
          <w:b/>
          <w:szCs w:val="20"/>
        </w:rPr>
        <w:tab/>
        <w:t>kf</w:t>
      </w:r>
      <w:r>
        <w:rPr>
          <w:rFonts w:cs="Arial"/>
          <w:b/>
          <w:szCs w:val="20"/>
          <w:vertAlign w:val="subscript"/>
        </w:rPr>
        <w:t>ave</w:t>
      </w:r>
      <w:r>
        <w:rPr>
          <w:rFonts w:cs="Arial"/>
          <w:b/>
          <w:szCs w:val="20"/>
        </w:rPr>
        <w:t xml:space="preserve"> (Sx11) = ges. Profilmächtigkeit / Summe (Horizontmächtigkeit </w:t>
      </w:r>
      <w:r>
        <w:rPr>
          <w:rFonts w:cs="Arial"/>
          <w:b/>
          <w:i/>
          <w:szCs w:val="20"/>
        </w:rPr>
        <w:t>x</w:t>
      </w:r>
      <w:r>
        <w:rPr>
          <w:rFonts w:cs="Arial"/>
          <w:b/>
          <w:szCs w:val="20"/>
        </w:rPr>
        <w:t xml:space="preserve"> / kf-Wert für</w:t>
        <w:tab/>
        <w:tab/>
        <w:tab/>
        <w:tab/>
        <w:t xml:space="preserve">Horizont </w:t>
      </w:r>
      <w:r>
        <w:rPr>
          <w:rFonts w:cs="Arial"/>
          <w:b/>
          <w:i/>
          <w:szCs w:val="20"/>
        </w:rPr>
        <w:t>x</w:t>
      </w:r>
      <w:r>
        <w:rPr>
          <w:rFonts w:cs="Arial"/>
          <w:b/>
          <w:szCs w:val="20"/>
        </w:rPr>
        <w:t xml:space="preserve">) </w:t>
      </w:r>
    </w:p>
    <w:p>
      <w:pPr>
        <w:pStyle w:val="Normal"/>
        <w:rPr>
          <w:rFonts w:cs="Arial"/>
          <w:b/>
          <w:i/>
          <w:szCs w:val="20"/>
        </w:rPr>
      </w:pPr>
      <w:r>
        <w:rPr>
          <w:rFonts w:cs="Arial"/>
          <w:b/>
          <w:i/>
          <w:szCs w:val="20"/>
        </w:rPr>
      </w:r>
    </w:p>
    <w:p>
      <w:pPr>
        <w:pStyle w:val="Normal"/>
        <w:rPr>
          <w:rFonts w:cs="Arial"/>
          <w:b/>
          <w:i/>
          <w:szCs w:val="20"/>
        </w:rPr>
      </w:pPr>
      <w:r>
        <w:rPr>
          <w:rFonts w:cs="Arial"/>
          <w:b/>
          <w:i/>
          <w:szCs w:val="20"/>
        </w:rPr>
      </w:r>
    </w:p>
    <w:p>
      <w:pPr>
        <w:pStyle w:val="Heading3"/>
        <w:rPr/>
      </w:pPr>
      <w:r>
        <w:rPr/>
        <w:t>Sx12 - Physiologische Gründigkeit = Abgrenzung des potenziellen Wurzelraums</w:t>
      </w:r>
    </w:p>
    <w:p>
      <w:pPr>
        <w:pStyle w:val="Normal"/>
        <w:rPr>
          <w:i/>
        </w:rPr>
      </w:pPr>
      <w:r>
        <w:rPr>
          <w:b/>
          <w:i/>
        </w:rPr>
        <w:t>Eingangsparameter:</w:t>
      </w:r>
      <w:r>
        <w:rPr>
          <w:i/>
        </w:rPr>
        <w:t xml:space="preserve"> Horizontbezeichnung, Skelettgehalt (Px02) </w:t>
      </w:r>
    </w:p>
    <w:p>
      <w:pPr>
        <w:pStyle w:val="Normal"/>
        <w:rPr>
          <w:rFonts w:cs="Arial"/>
          <w:szCs w:val="20"/>
        </w:rPr>
      </w:pPr>
      <w:r>
        <w:rPr>
          <w:rFonts w:cs="Arial"/>
          <w:szCs w:val="20"/>
        </w:rPr>
      </w:r>
    </w:p>
    <w:p>
      <w:pPr>
        <w:pStyle w:val="Normal"/>
        <w:jc w:val="both"/>
        <w:rPr/>
      </w:pPr>
      <w:r>
        <w:rPr/>
        <w:t>Abgrenzung jenes Bereiches, den Pflanzen mit ihren Wurzeln durchdringen können, um daraus Wasser und Nährstoffe zu beziehen. Während die effektive Durchwurzelungstiefe in der Regel rechnerisch über Bodenart und Trockenrohdichte für eine bestimmte Nutzung (idR. Acker mit einjährigen Pflanzen) ermittelt wird, kommt hier eine vereinfachter Ansatz zum Tragen. Dieser Ansatz wird verfolgt, da einerseits verschiedene Nutzungen vorkommen können und die tatsächliche Durchwurzelungstiefe auch von der jeweils betrachteten Pflanze abhängig ist und andererseits die Horizontierung eine große Rolle spielt (Wechsel zwischen locker gelagerten und dichten Horizonten mit unterschiedlicher Textur), diese jedoch in den Vorlagen (z.B. KA5: 356, Müller 2004: 99) nur zum Teil berücksichtigt wird.</w:t>
      </w:r>
    </w:p>
    <w:p>
      <w:pPr>
        <w:pStyle w:val="Normal"/>
        <w:jc w:val="both"/>
        <w:rPr/>
      </w:pPr>
      <w:r>
        <w:rPr/>
        <w:t>Die Abgrenzung des Wurzelraums (We  = Sx12; für Berechnung der FK</w:t>
      </w:r>
      <w:r>
        <w:rPr>
          <w:vertAlign w:val="subscript"/>
        </w:rPr>
        <w:t>We</w:t>
      </w:r>
      <w:r>
        <w:rPr/>
        <w:t>, nFK</w:t>
      </w:r>
      <w:r>
        <w:rPr>
          <w:vertAlign w:val="subscript"/>
        </w:rPr>
        <w:t>We</w:t>
      </w:r>
      <w:r>
        <w:rPr/>
        <w:t xml:space="preserve"> und Bewertung einiger Funktionen) erfolgt nun nach folgenden Kriterien:</w:t>
      </w:r>
    </w:p>
    <w:p>
      <w:pPr>
        <w:pStyle w:val="Formatvorlage1"/>
        <w:numPr>
          <w:ilvl w:val="0"/>
          <w:numId w:val="2"/>
        </w:numPr>
        <w:rPr/>
      </w:pPr>
      <w:r>
        <w:rPr/>
        <w:t>bei Grundwassereinfluss: Obergrenze des Gr-Horizonts (oder G2-Horizonts, falls A-G1-G2 o.ä.) minus 10 cm (vgl. Müller 2004: 99)</w:t>
      </w:r>
    </w:p>
    <w:p>
      <w:pPr>
        <w:pStyle w:val="Formatvorlage1"/>
        <w:numPr>
          <w:ilvl w:val="0"/>
          <w:numId w:val="2"/>
        </w:numPr>
        <w:rPr/>
      </w:pPr>
      <w:r>
        <w:rPr/>
        <w:t>bei Moorböden (Bodentyp = Moor / Niedermoor / Hochmoor / Übergangsmoor): 60 cm bei Ackernutzung, 40 cm bei Grünlandnutzung bzw. ohne landwirtschaftliche Nutzung</w:t>
      </w:r>
    </w:p>
    <w:p>
      <w:pPr>
        <w:pStyle w:val="Formatvorlage1"/>
        <w:numPr>
          <w:ilvl w:val="0"/>
          <w:numId w:val="2"/>
        </w:numPr>
        <w:rPr/>
      </w:pPr>
      <w:r>
        <w:rPr/>
        <w:t>bei Böden über anstehendem Gestein: Obergrenze jenes Horizontes, dessen Skelettgehalt 100% beträgt (z.B. in BK: Feld „Grobanteil“ = „Fels“)</w:t>
      </w:r>
    </w:p>
    <w:p>
      <w:pPr>
        <w:pStyle w:val="Formatvorlage1"/>
        <w:numPr>
          <w:ilvl w:val="0"/>
          <w:numId w:val="2"/>
        </w:numPr>
        <w:rPr/>
      </w:pPr>
      <w:r>
        <w:rPr/>
        <w:t xml:space="preserve">für alle anderen Böden: Sx12 = Profiltiefe = 100 cm (oder mehr) </w:t>
      </w:r>
    </w:p>
    <w:p>
      <w:pPr>
        <w:pStyle w:val="Normal"/>
        <w:rPr>
          <w:rFonts w:cs="Arial"/>
          <w:b/>
          <w:i/>
          <w:szCs w:val="20"/>
        </w:rPr>
      </w:pPr>
      <w:r>
        <w:rPr>
          <w:rFonts w:cs="Arial"/>
          <w:b/>
          <w:i/>
          <w:szCs w:val="20"/>
        </w:rPr>
      </w:r>
    </w:p>
    <w:p>
      <w:pPr>
        <w:pStyle w:val="Normal"/>
        <w:jc w:val="both"/>
        <w:rPr/>
      </w:pPr>
      <w:r>
        <w:rPr/>
        <w:t>Der so ermittelte Wert wird im Eingabeformular unter „Gründigkeit“ angegeben.</w:t>
      </w:r>
    </w:p>
    <w:p>
      <w:pPr>
        <w:pStyle w:val="Normal"/>
        <w:rPr>
          <w:rFonts w:cs="Arial"/>
          <w:b/>
          <w:i/>
          <w:color w:val="9900FF"/>
          <w:sz w:val="16"/>
          <w:szCs w:val="16"/>
        </w:rPr>
      </w:pPr>
      <w:r>
        <w:rPr>
          <w:rFonts w:cs="Arial"/>
          <w:b/>
          <w:i/>
          <w:color w:val="9900FF"/>
          <w:sz w:val="16"/>
          <w:szCs w:val="16"/>
        </w:rPr>
        <w:t>Dieser Wert sollte unbedingt vom Kartierer angegeben/geschätzt werden da sonst 100 cm  verwendet wird.</w:t>
      </w:r>
    </w:p>
    <w:p>
      <w:pPr>
        <w:pStyle w:val="Heading3"/>
        <w:rPr>
          <w:lang w:val="de-AT"/>
        </w:rPr>
      </w:pPr>
      <w:r>
        <w:rPr>
          <w:lang w:val="de-AT"/>
        </w:rPr>
        <w:t>Px13 - potentielle Kationenaustauschkapazität (KAK</w:t>
      </w:r>
      <w:r>
        <w:rPr>
          <w:vertAlign w:val="subscript"/>
          <w:lang w:val="de-AT"/>
        </w:rPr>
        <w:t>pot</w:t>
      </w:r>
      <w:r>
        <w:rPr>
          <w:lang w:val="de-AT"/>
        </w:rPr>
        <w:t>)</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 xml:space="preserve">Ton- und Schluffgehalt (B200, B201) oder </w:t>
      </w:r>
    </w:p>
    <w:p>
      <w:pPr>
        <w:pStyle w:val="Normal"/>
        <w:ind w:left="142" w:right="0" w:hanging="0"/>
        <w:rPr>
          <w:rFonts w:cs="Arial"/>
          <w:i/>
          <w:szCs w:val="20"/>
        </w:rPr>
      </w:pPr>
      <w:r>
        <w:rPr>
          <w:rFonts w:cs="Arial"/>
          <w:i/>
          <w:szCs w:val="20"/>
        </w:rPr>
        <w:t>Bodenart (P140 oder B209)</w:t>
      </w:r>
    </w:p>
    <w:p>
      <w:pPr>
        <w:pStyle w:val="Normal"/>
        <w:ind w:left="142" w:right="0" w:hanging="0"/>
        <w:rPr>
          <w:rFonts w:cs="Arial"/>
          <w:i/>
          <w:szCs w:val="20"/>
        </w:rPr>
      </w:pPr>
      <w:r>
        <w:rPr>
          <w:rFonts w:cs="Arial"/>
          <w:i/>
          <w:szCs w:val="20"/>
        </w:rPr>
        <w:t>Humusgehalt (Px01)</w:t>
      </w:r>
    </w:p>
    <w:p>
      <w:pPr>
        <w:pStyle w:val="Normal"/>
        <w:rPr>
          <w:rFonts w:cs="Arial"/>
          <w:b/>
          <w:i/>
          <w:color w:val="FF0000"/>
          <w:sz w:val="22"/>
          <w:szCs w:val="20"/>
        </w:rPr>
      </w:pPr>
      <w:r>
        <w:rPr>
          <w:rFonts w:cs="Arial"/>
          <w:b/>
          <w:i/>
          <w:color w:val="FF0000"/>
          <w:sz w:val="22"/>
          <w:szCs w:val="20"/>
        </w:rPr>
      </w:r>
    </w:p>
    <w:p>
      <w:pPr>
        <w:pStyle w:val="Normal"/>
        <w:jc w:val="both"/>
        <w:rPr>
          <w:rFonts w:cs="Arial"/>
          <w:szCs w:val="20"/>
        </w:rPr>
      </w:pPr>
      <w:r>
        <w:rPr>
          <w:rFonts w:cs="Arial"/>
          <w:szCs w:val="20"/>
        </w:rPr>
        <w:t>Die potentielle Kationenaustauschkapazität (KAK</w:t>
      </w:r>
      <w:r>
        <w:rPr>
          <w:rFonts w:cs="Arial"/>
          <w:szCs w:val="20"/>
          <w:vertAlign w:val="subscript"/>
        </w:rPr>
        <w:t>pot</w:t>
      </w:r>
      <w:r>
        <w:rPr>
          <w:rFonts w:cs="Arial"/>
          <w:szCs w:val="20"/>
        </w:rPr>
        <w:t>) beschreibt die Menge austauschbar gebundener Kationen eines Bodens unter jenen Bedingungen, bei denen die Protonen aller Säuregruppen der Huminstoffe austauschbar sind. Per Definition ist dies bei einem pH-Wert von 8,2, d.h. leicht basischen Bedingungen, der Fall. Die Bestimmung der KAK</w:t>
      </w:r>
      <w:r>
        <w:rPr>
          <w:rFonts w:cs="Arial"/>
          <w:szCs w:val="20"/>
          <w:vertAlign w:val="subscript"/>
        </w:rPr>
        <w:t>pot</w:t>
      </w:r>
      <w:r>
        <w:rPr>
          <w:rFonts w:cs="Arial"/>
          <w:szCs w:val="20"/>
        </w:rPr>
        <w:t xml:space="preserve"> erfolgt in zwei Schritten:</w:t>
      </w:r>
    </w:p>
    <w:p>
      <w:pPr>
        <w:pStyle w:val="Aufzhlung"/>
        <w:numPr>
          <w:ilvl w:val="0"/>
          <w:numId w:val="3"/>
        </w:numPr>
        <w:jc w:val="both"/>
        <w:rPr/>
      </w:pPr>
      <w:r>
        <w:rPr>
          <w:u w:val="single"/>
        </w:rPr>
        <w:t>KAK</w:t>
      </w:r>
      <w:r>
        <w:rPr>
          <w:u w:val="single"/>
          <w:vertAlign w:val="subscript"/>
        </w:rPr>
        <w:t xml:space="preserve">pot </w:t>
      </w:r>
      <w:r>
        <w:rPr>
          <w:u w:val="single"/>
        </w:rPr>
        <w:t>des Mineralbodenanteils:</w:t>
      </w:r>
      <w:r>
        <w:rPr/>
        <w:t xml:space="preserve"> Dieser ist vom Ton- und Schluffgehalt des Bodens abhängig und kann näherungsweise mit folgender Formel bestimmt werden (Ad-hoc-AG Boden 2005: 369):</w:t>
      </w:r>
    </w:p>
    <w:p>
      <w:pPr>
        <w:pStyle w:val="Normal"/>
        <w:jc w:val="both"/>
        <w:rPr>
          <w:rFonts w:cs="Arial"/>
          <w:i/>
          <w:szCs w:val="20"/>
        </w:rPr>
      </w:pPr>
      <w:r>
        <w:rPr>
          <w:rFonts w:cs="Arial"/>
          <w:szCs w:val="20"/>
        </w:rPr>
        <w:tab/>
        <w:tab/>
        <w:t>KAK</w:t>
      </w:r>
      <w:r>
        <w:rPr>
          <w:rFonts w:cs="Arial"/>
          <w:szCs w:val="20"/>
          <w:vertAlign w:val="subscript"/>
        </w:rPr>
        <w:t>pot_min</w:t>
      </w:r>
      <w:r>
        <w:rPr>
          <w:rFonts w:cs="Arial"/>
          <w:szCs w:val="20"/>
        </w:rPr>
        <w:t xml:space="preserve"> [cmol</w:t>
      </w:r>
      <w:r>
        <w:rPr>
          <w:rFonts w:cs="Arial"/>
          <w:szCs w:val="20"/>
          <w:vertAlign w:val="subscript"/>
        </w:rPr>
        <w:t>c</w:t>
      </w:r>
      <w:r>
        <w:rPr>
          <w:rFonts w:cs="Arial"/>
          <w:szCs w:val="20"/>
        </w:rPr>
        <w:t xml:space="preserve">/kg] = 0,5 x Ton% </w:t>
      </w:r>
      <w:r>
        <w:rPr>
          <w:rFonts w:cs="Arial"/>
          <w:i/>
          <w:szCs w:val="20"/>
        </w:rPr>
        <w:t>(B200)</w:t>
      </w:r>
      <w:r>
        <w:rPr>
          <w:rFonts w:cs="Arial"/>
          <w:szCs w:val="20"/>
        </w:rPr>
        <w:t xml:space="preserve"> + 0,05 x Schluff% </w:t>
      </w:r>
      <w:r>
        <w:rPr>
          <w:rFonts w:cs="Arial"/>
          <w:i/>
          <w:szCs w:val="20"/>
        </w:rPr>
        <w:t>(B201)</w:t>
      </w:r>
    </w:p>
    <w:p>
      <w:pPr>
        <w:pStyle w:val="Normal"/>
        <w:jc w:val="both"/>
        <w:rPr>
          <w:rFonts w:cs="Arial"/>
          <w:szCs w:val="20"/>
        </w:rPr>
      </w:pPr>
      <w:r>
        <w:rPr>
          <w:rFonts w:cs="Arial"/>
          <w:szCs w:val="20"/>
        </w:rPr>
      </w:r>
    </w:p>
    <w:p>
      <w:pPr>
        <w:pStyle w:val="Normal"/>
        <w:ind w:left="567" w:right="0" w:hanging="0"/>
        <w:jc w:val="both"/>
        <w:rPr>
          <w:rFonts w:cs="Arial"/>
          <w:szCs w:val="20"/>
        </w:rPr>
      </w:pPr>
      <w:r>
        <w:rPr>
          <w:rFonts w:cs="Arial"/>
          <w:szCs w:val="20"/>
        </w:rPr>
        <w:t xml:space="preserve">Falls die exakte Korngrößenverteilung nicht bekannt ist, können die Werte näherungsweise aus der Bodenart (P140) abgeleitet werden: </w:t>
      </w:r>
    </w:p>
    <w:p>
      <w:pPr>
        <w:pStyle w:val="Normal"/>
        <w:ind w:left="360" w:right="0" w:hanging="0"/>
        <w:rPr>
          <w:rFonts w:cs="Arial"/>
          <w:szCs w:val="20"/>
        </w:rPr>
      </w:pPr>
      <w:r>
        <w:rPr>
          <w:rFonts w:cs="Arial"/>
          <w:szCs w:val="20"/>
        </w:rPr>
      </w:r>
    </w:p>
    <w:tbl>
      <w:tblPr>
        <w:jc w:val="left"/>
        <w:tblInd w:w="62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697"/>
        <w:gridCol w:w="1700"/>
        <w:gridCol w:w="1989"/>
      </w:tblGrid>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Code P140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Bodenart</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berschrift"/>
              <w:spacing w:before="120" w:after="60"/>
              <w:rPr>
                <w:sz w:val="16"/>
              </w:rPr>
            </w:pPr>
            <w:r>
              <w:rPr/>
              <w:t>KAK</w:t>
            </w:r>
            <w:r>
              <w:rPr>
                <w:vertAlign w:val="subscript"/>
              </w:rPr>
              <w:t xml:space="preserve">pot_min </w:t>
            </w:r>
            <w:r>
              <w:rPr>
                <w:sz w:val="16"/>
              </w:rPr>
              <w:t>[cmol</w:t>
            </w:r>
            <w:r>
              <w:rPr>
                <w:sz w:val="16"/>
                <w:vertAlign w:val="subscript"/>
              </w:rPr>
              <w:t>c</w:t>
            </w:r>
            <w:r>
              <w:rPr>
                <w:sz w:val="16"/>
              </w:rPr>
              <w:t>/kg]</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101</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S</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121</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uS</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212</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sU</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8</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lang w:val="en-GB"/>
              </w:rPr>
              <w:t>202</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lang w:val="en-GB"/>
              </w:rPr>
            </w:pPr>
            <w:r>
              <w:rPr>
                <w:lang w:val="en-GB"/>
              </w:rPr>
              <w:t>U</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10</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231</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lS</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7</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332</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lU</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14</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341</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tS</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iCs/>
              </w:rPr>
            </w:pPr>
            <w:r>
              <w:rPr>
                <w:iCs/>
              </w:rPr>
              <w:t>9</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313</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sL</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13</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423</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uL</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18</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403</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18</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414</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sT</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iCs/>
              </w:rPr>
            </w:pPr>
            <w:r>
              <w:rPr>
                <w:iCs/>
              </w:rPr>
              <w:t>18</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534</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lT</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27</w:t>
            </w:r>
          </w:p>
        </w:tc>
      </w:tr>
      <w:tr>
        <w:trPr>
          <w:trHeight w:val="290" w:hRule="atLeast"/>
          <w:cantSplit w:val="false"/>
        </w:trPr>
        <w:tc>
          <w:tcPr>
            <w:tcW w:w="16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504</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bottom"/>
          </w:tcPr>
          <w:p>
            <w:pPr>
              <w:pStyle w:val="TabellenInhalt"/>
              <w:suppressLineNumbers/>
              <w:spacing w:lineRule="auto" w:line="240" w:before="60" w:after="60"/>
              <w:jc w:val="center"/>
              <w:rPr/>
            </w:pPr>
            <w:r>
              <w:rPr/>
              <w:t>T</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30</w:t>
            </w:r>
          </w:p>
        </w:tc>
      </w:tr>
    </w:tbl>
    <w:p>
      <w:pPr>
        <w:pStyle w:val="Bildunterschrift"/>
        <w:ind w:left="567" w:right="0" w:hanging="0"/>
        <w:rPr/>
      </w:pPr>
      <w:r>
        <w:rPr/>
        <w:t>Quelle: Ableitung nach Müller (2004: 147, VKR 6.2.3), Ad-hoc-AG Boden (2005: 369), wie bei den porenbezogenen Kenngrößen modifiziert nach Kuderna et al. (2000: 9)</w:t>
      </w:r>
    </w:p>
    <w:p>
      <w:pPr>
        <w:pStyle w:val="Bildunterschrift"/>
        <w:ind w:left="567" w:right="0" w:hanging="0"/>
        <w:rPr>
          <w:rFonts w:cs="Arial"/>
          <w:i/>
          <w:szCs w:val="20"/>
        </w:rPr>
      </w:pPr>
      <w:r>
        <w:rPr>
          <w:i/>
        </w:rPr>
        <w:t xml:space="preserve">Anm.: </w:t>
      </w:r>
      <w:r>
        <w:rPr>
          <w:rFonts w:cs="Arial"/>
          <w:i/>
          <w:szCs w:val="20"/>
        </w:rPr>
        <w:t>Ein Versuch, die Werte über die Ton- und Schluffwerte aller Proben in einer Textur-Klasse zu berechnen und einen Mittelwert anzusetzen zeigte sehr geringe Abweichungen (durchgehend im Bereich +/-1) von den hier abgebildeten Werten</w:t>
      </w:r>
    </w:p>
    <w:p>
      <w:pPr>
        <w:pStyle w:val="Normal"/>
        <w:rPr>
          <w:rFonts w:cs="Arial"/>
          <w:sz w:val="18"/>
          <w:szCs w:val="20"/>
        </w:rPr>
      </w:pPr>
      <w:r>
        <w:rPr>
          <w:rFonts w:cs="Arial"/>
          <w:sz w:val="18"/>
          <w:szCs w:val="20"/>
        </w:rPr>
      </w:r>
    </w:p>
    <w:p>
      <w:pPr>
        <w:pStyle w:val="Aufzhlung"/>
        <w:numPr>
          <w:ilvl w:val="0"/>
          <w:numId w:val="3"/>
        </w:numPr>
        <w:jc w:val="both"/>
        <w:rPr>
          <w:rFonts w:cs="Arial"/>
          <w:szCs w:val="20"/>
        </w:rPr>
      </w:pPr>
      <w:r>
        <w:rPr>
          <w:u w:val="single"/>
        </w:rPr>
        <w:t>KAK</w:t>
      </w:r>
      <w:r>
        <w:rPr>
          <w:u w:val="single"/>
          <w:vertAlign w:val="subscript"/>
        </w:rPr>
        <w:t xml:space="preserve">pot </w:t>
      </w:r>
      <w:r>
        <w:rPr>
          <w:u w:val="single"/>
        </w:rPr>
        <w:t>des Humusanteils:</w:t>
      </w:r>
      <w:r>
        <w:rPr/>
        <w:t xml:space="preserve"> Zur Berücksichtigung der Kationenaustauschkapazität der organi</w:t>
        <w:softHyphen/>
        <w:t xml:space="preserve">schen Substanz wird </w:t>
      </w:r>
      <w:r>
        <w:rPr>
          <w:rFonts w:cs="Arial"/>
          <w:szCs w:val="20"/>
        </w:rPr>
        <w:t>pro Masse-% Humus ein Zuschlag von 2 cmol</w:t>
      </w:r>
      <w:r>
        <w:rPr>
          <w:rFonts w:cs="Arial"/>
          <w:szCs w:val="20"/>
          <w:vertAlign w:val="subscript"/>
        </w:rPr>
        <w:t>c</w:t>
      </w:r>
      <w:r>
        <w:rPr>
          <w:rFonts w:cs="Arial"/>
          <w:szCs w:val="20"/>
        </w:rPr>
        <w:t xml:space="preserve">/kg vergeben (Ad-hoc-AG Boden 2005: 369): </w:t>
      </w:r>
    </w:p>
    <w:p>
      <w:pPr>
        <w:pStyle w:val="Normal"/>
        <w:rPr>
          <w:i/>
        </w:rPr>
      </w:pPr>
      <w:r>
        <w:rPr>
          <w:sz w:val="18"/>
        </w:rPr>
        <w:tab/>
        <w:tab/>
      </w:r>
      <w:r>
        <w:rPr/>
        <w:t>KAK</w:t>
      </w:r>
      <w:r>
        <w:rPr>
          <w:vertAlign w:val="subscript"/>
        </w:rPr>
        <w:t>pot_hum</w:t>
      </w:r>
      <w:r>
        <w:rPr/>
        <w:t xml:space="preserve"> [cmol</w:t>
      </w:r>
      <w:r>
        <w:rPr>
          <w:vertAlign w:val="subscript"/>
        </w:rPr>
        <w:t>c</w:t>
      </w:r>
      <w:r>
        <w:rPr/>
        <w:t xml:space="preserve">/kg] = 2 x Humus% </w:t>
      </w:r>
      <w:r>
        <w:rPr>
          <w:i/>
        </w:rPr>
        <w:t>(Px01)</w:t>
      </w:r>
    </w:p>
    <w:p>
      <w:pPr>
        <w:pStyle w:val="Normal"/>
        <w:rPr>
          <w:rFonts w:cs="Arial"/>
          <w:szCs w:val="20"/>
        </w:rPr>
      </w:pPr>
      <w:r>
        <w:rPr>
          <w:rFonts w:cs="Arial"/>
          <w:szCs w:val="20"/>
        </w:rPr>
      </w:r>
    </w:p>
    <w:p>
      <w:pPr>
        <w:pStyle w:val="Normal"/>
        <w:jc w:val="both"/>
        <w:rPr>
          <w:rFonts w:cs="Arial"/>
          <w:szCs w:val="20"/>
        </w:rPr>
      </w:pPr>
      <w:r>
        <w:rPr>
          <w:rFonts w:cs="Arial"/>
          <w:szCs w:val="20"/>
        </w:rPr>
        <w:t>Die gesamte potenzielle Kationenaustauschkapazität ergibt sich schließlich aus der Summe dieser beiden Anteile:</w:t>
      </w:r>
    </w:p>
    <w:p>
      <w:pPr>
        <w:pStyle w:val="Normal"/>
        <w:rPr>
          <w:rFonts w:cs="Arial"/>
          <w:szCs w:val="20"/>
        </w:rPr>
      </w:pPr>
      <w:r>
        <w:rPr>
          <w:rFonts w:cs="Arial"/>
          <w:szCs w:val="20"/>
        </w:rPr>
        <w:tab/>
        <w:tab/>
      </w:r>
      <w:r>
        <w:rPr>
          <w:rFonts w:cs="Arial"/>
          <w:b/>
          <w:bCs/>
          <w:szCs w:val="20"/>
        </w:rPr>
        <w:t>Px13 [cmol</w:t>
      </w:r>
      <w:r>
        <w:rPr>
          <w:rFonts w:cs="Arial"/>
          <w:b/>
          <w:bCs/>
          <w:szCs w:val="20"/>
          <w:vertAlign w:val="subscript"/>
        </w:rPr>
        <w:t>c</w:t>
      </w:r>
      <w:r>
        <w:rPr>
          <w:rFonts w:cs="Arial"/>
          <w:b/>
          <w:bCs/>
          <w:szCs w:val="20"/>
        </w:rPr>
        <w:t>/kg] = (KAK</w:t>
      </w:r>
      <w:r>
        <w:rPr>
          <w:rFonts w:cs="Arial"/>
          <w:b/>
          <w:bCs/>
          <w:szCs w:val="20"/>
          <w:vertAlign w:val="subscript"/>
        </w:rPr>
        <w:t>pot_min</w:t>
      </w:r>
      <w:r>
        <w:rPr>
          <w:rFonts w:cs="Arial"/>
          <w:b/>
          <w:bCs/>
          <w:szCs w:val="20"/>
        </w:rPr>
        <w:t xml:space="preserve"> + KAK</w:t>
      </w:r>
      <w:r>
        <w:rPr>
          <w:rFonts w:cs="Arial"/>
          <w:b/>
          <w:bCs/>
          <w:szCs w:val="20"/>
          <w:vertAlign w:val="subscript"/>
        </w:rPr>
        <w:t>pot_hum</w:t>
      </w:r>
      <w:r>
        <w:rPr>
          <w:rFonts w:cs="Arial"/>
          <w:b/>
          <w:bCs/>
          <w:szCs w:val="20"/>
        </w:rPr>
        <w:t>)</w:t>
      </w:r>
      <w:r>
        <w:rPr>
          <w:rFonts w:cs="Arial"/>
          <w:szCs w:val="20"/>
        </w:rPr>
        <w:t xml:space="preserve"> </w:t>
      </w:r>
    </w:p>
    <w:p>
      <w:pPr>
        <w:pStyle w:val="Normal"/>
        <w:rPr>
          <w:rFonts w:cs="Arial"/>
          <w:szCs w:val="20"/>
        </w:rPr>
      </w:pPr>
      <w:r>
        <w:rPr>
          <w:rFonts w:cs="Arial"/>
          <w:szCs w:val="20"/>
        </w:rPr>
      </w:r>
    </w:p>
    <w:p>
      <w:pPr>
        <w:pStyle w:val="Normal"/>
        <w:rPr>
          <w:rFonts w:cs="Arial"/>
          <w:szCs w:val="20"/>
        </w:rPr>
      </w:pPr>
      <w:r>
        <w:rPr>
          <w:rFonts w:cs="Arial"/>
          <w:szCs w:val="20"/>
        </w:rPr>
      </w:r>
    </w:p>
    <w:p>
      <w:pPr>
        <w:pStyle w:val="Heading3"/>
        <w:rPr>
          <w:lang w:val="de-AT"/>
        </w:rPr>
      </w:pPr>
      <w:r>
        <w:rPr>
          <w:lang w:val="de-AT"/>
        </w:rPr>
        <w:t>Px14 - effektive Kationenaustauschkapazität (KAK</w:t>
      </w:r>
      <w:r>
        <w:rPr>
          <w:vertAlign w:val="subscript"/>
          <w:lang w:val="de-AT"/>
        </w:rPr>
        <w:t>eff</w:t>
      </w:r>
      <w:r>
        <w:rPr>
          <w:lang w:val="de-AT"/>
        </w:rPr>
        <w:t>)</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ph-Wert (B105)</w:t>
      </w:r>
    </w:p>
    <w:p>
      <w:pPr>
        <w:pStyle w:val="Normal"/>
        <w:ind w:left="142" w:right="0" w:hanging="0"/>
        <w:rPr>
          <w:rFonts w:cs="Arial"/>
          <w:i/>
          <w:szCs w:val="20"/>
        </w:rPr>
      </w:pPr>
      <w:r>
        <w:rPr>
          <w:rFonts w:cs="Arial"/>
          <w:i/>
          <w:szCs w:val="20"/>
        </w:rPr>
        <w:t>KAK</w:t>
      </w:r>
      <w:r>
        <w:rPr>
          <w:rFonts w:cs="Arial"/>
          <w:i/>
          <w:szCs w:val="20"/>
          <w:vertAlign w:val="subscript"/>
        </w:rPr>
        <w:t>pot</w:t>
      </w:r>
      <w:r>
        <w:rPr>
          <w:rFonts w:cs="Arial"/>
          <w:i/>
          <w:szCs w:val="20"/>
        </w:rPr>
        <w:t>Ges (Px13)</w:t>
      </w:r>
    </w:p>
    <w:p>
      <w:pPr>
        <w:pStyle w:val="Normal"/>
        <w:ind w:left="1080" w:right="0" w:hanging="0"/>
        <w:rPr>
          <w:rFonts w:cs="Arial"/>
          <w:sz w:val="22"/>
          <w:szCs w:val="22"/>
        </w:rPr>
      </w:pPr>
      <w:r>
        <w:rPr>
          <w:rFonts w:cs="Arial"/>
          <w:sz w:val="22"/>
          <w:szCs w:val="22"/>
        </w:rPr>
      </w:r>
    </w:p>
    <w:p>
      <w:pPr>
        <w:pStyle w:val="Normal"/>
        <w:jc w:val="both"/>
        <w:rPr>
          <w:rFonts w:cs="Arial"/>
          <w:szCs w:val="20"/>
        </w:rPr>
      </w:pPr>
      <w:r>
        <w:rPr>
          <w:rFonts w:cs="Arial"/>
          <w:szCs w:val="20"/>
        </w:rPr>
        <w:t xml:space="preserve">Auch dieser Kennwert kann durch Laboranalysen ermittelt werden – ist dies der Fall, so erhält </w:t>
      </w:r>
      <w:r>
        <w:rPr>
          <w:rFonts w:cs="Arial"/>
          <w:b/>
          <w:szCs w:val="20"/>
        </w:rPr>
        <w:t>Px14</w:t>
      </w:r>
      <w:r>
        <w:rPr>
          <w:rFonts w:cs="Arial"/>
          <w:szCs w:val="20"/>
        </w:rPr>
        <w:t xml:space="preserve"> den Wert aus Feld </w:t>
      </w:r>
      <w:r>
        <w:rPr>
          <w:rFonts w:cs="Arial"/>
          <w:b/>
          <w:szCs w:val="20"/>
        </w:rPr>
        <w:t>B109</w:t>
      </w:r>
      <w:r>
        <w:rPr>
          <w:rFonts w:cs="Arial"/>
          <w:szCs w:val="20"/>
        </w:rPr>
        <w:t xml:space="preserve"> („KAK gesamt, gemessen durch Rücktausch“), der durch die Division durch </w:t>
      </w:r>
      <w:r>
        <w:rPr>
          <w:rFonts w:cs="Arial"/>
          <w:b/>
          <w:szCs w:val="20"/>
        </w:rPr>
        <w:t>10</w:t>
      </w:r>
      <w:r>
        <w:rPr>
          <w:rFonts w:cs="Arial"/>
          <w:szCs w:val="20"/>
        </w:rPr>
        <w:t xml:space="preserve"> von mmol in die üblichere Einheit cmol umgerechnet werden muss. </w:t>
      </w:r>
    </w:p>
    <w:p>
      <w:pPr>
        <w:pStyle w:val="Normal"/>
        <w:rPr>
          <w:rFonts w:cs="Arial"/>
          <w:szCs w:val="20"/>
        </w:rPr>
      </w:pPr>
      <w:r>
        <w:rPr>
          <w:rFonts w:cs="Arial"/>
          <w:szCs w:val="20"/>
        </w:rPr>
      </w:r>
    </w:p>
    <w:p>
      <w:pPr>
        <w:pStyle w:val="Normal"/>
        <w:jc w:val="both"/>
        <w:rPr>
          <w:rFonts w:cs="Arial"/>
          <w:szCs w:val="20"/>
        </w:rPr>
      </w:pPr>
      <w:r>
        <w:rPr>
          <w:rFonts w:cs="Arial"/>
          <w:szCs w:val="20"/>
        </w:rPr>
        <w:t>Die KAK – vor allem jene der Huminstoffe – nimmt in sauren Böden ab, daher wird die KAK</w:t>
      </w:r>
      <w:r>
        <w:rPr>
          <w:rFonts w:cs="Arial"/>
          <w:szCs w:val="20"/>
          <w:vertAlign w:val="subscript"/>
        </w:rPr>
        <w:t>pot</w:t>
      </w:r>
      <w:r>
        <w:rPr>
          <w:rFonts w:cs="Arial"/>
          <w:szCs w:val="20"/>
        </w:rPr>
        <w:t xml:space="preserve"> (Px13) um einen entsprechenden Faktor modifiziert:</w:t>
      </w:r>
    </w:p>
    <w:p>
      <w:pPr>
        <w:pStyle w:val="Normal"/>
        <w:jc w:val="both"/>
        <w:rPr>
          <w:rFonts w:cs="Arial"/>
          <w:szCs w:val="20"/>
        </w:rPr>
      </w:pPr>
      <w:r>
        <w:rPr>
          <w:rFonts w:cs="Arial"/>
          <w:szCs w:val="20"/>
        </w:rPr>
      </w:r>
    </w:p>
    <w:tbl>
      <w:tblPr>
        <w:jc w:val="left"/>
        <w:tblInd w:w="5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699"/>
        <w:gridCol w:w="1699"/>
      </w:tblGrid>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 xml:space="preserve">pH-Wert </w:t>
            </w:r>
            <w:r>
              <w:rPr>
                <w:b w:val="false"/>
                <w:i/>
              </w:rPr>
              <w:t>(CaCl</w:t>
            </w:r>
            <w:r>
              <w:rPr>
                <w:b w:val="false"/>
                <w:i/>
                <w:vertAlign w:val="subscript"/>
              </w:rPr>
              <w:t>2</w:t>
            </w:r>
            <w:r>
              <w:rPr>
                <w:b w:val="false"/>
                <w:i/>
              </w:rPr>
              <w:t>)</w:t>
              <w:br/>
            </w:r>
            <w:r>
              <w:rPr/>
              <w:t>B105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berschrift"/>
              <w:spacing w:before="120" w:after="60"/>
              <w:rPr/>
            </w:pPr>
            <w:r>
              <w:rPr/>
              <w:t>Umrechnungs-faktor 1</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rFonts w:ascii="Symbol" w:hAnsi="Symbol"/>
              </w:rPr>
              <w:t></w:t>
            </w:r>
            <w:r>
              <w:rPr/>
              <w:t>7,0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6,0 bis &lt;7,0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0,9</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5,0 bis &lt;6,0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0,7</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4,0 bis &lt;5,0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0,5</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3,0 bis &lt;4,0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0,3</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&lt;3,0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0,25</w:t>
            </w:r>
          </w:p>
        </w:tc>
      </w:tr>
    </w:tbl>
    <w:p>
      <w:pPr>
        <w:pStyle w:val="Bildunterschrift"/>
        <w:rPr>
          <w:i/>
        </w:rPr>
      </w:pPr>
      <w:r>
        <w:rPr/>
        <w:t>Quelle: Müller 2004: 151, VKR 6.2.5</w:t>
      </w:r>
      <w:r>
        <w:rPr>
          <w:i/>
        </w:rPr>
        <w:t xml:space="preserve"> </w:t>
      </w:r>
    </w:p>
    <w:p>
      <w:pPr>
        <w:pStyle w:val="Bildunterschrift"/>
        <w:jc w:val="both"/>
        <w:rPr>
          <w:i/>
        </w:rPr>
      </w:pPr>
      <w:r>
        <w:rPr>
          <w:i/>
        </w:rPr>
        <w:t>Anm.: in KA5: 370 finden sich andere Werte, allerdings bezieht sich der Faktor dort nur auf den KAK</w:t>
      </w:r>
      <w:r>
        <w:rPr>
          <w:i/>
          <w:vertAlign w:val="subscript"/>
        </w:rPr>
        <w:t>pot</w:t>
      </w:r>
      <w:r>
        <w:rPr>
          <w:i/>
        </w:rPr>
        <w:t>-Anteil des Humusanteils, mit der Argumentation, dass die KAK des Mineralbodenanteils vom pH-Wert des Bodens weit</w:t>
        <w:softHyphen/>
        <w:t>gehend unabhängig ist… Müller weist hingegen darauf hin, dass der Zusammenhang nur bei bzw. nahe dem bodenchemischen Gleichgewicht gegeben ist und die KAK</w:t>
      </w:r>
      <w:r>
        <w:rPr>
          <w:i/>
          <w:sz w:val="16"/>
        </w:rPr>
        <w:t>eff</w:t>
      </w:r>
      <w:r>
        <w:rPr>
          <w:i/>
        </w:rPr>
        <w:t xml:space="preserve"> z.B. bei akuter Versauerung möglicherweise falsch eingeschätzt wird. Es wird auch angegeben, dass im Al-Pufferbereich (pH-Wert-Bereich 3,0 bis 4,2), die KAK</w:t>
      </w:r>
      <w:r>
        <w:rPr>
          <w:i/>
          <w:vertAlign w:val="subscript"/>
        </w:rPr>
        <w:t>eff</w:t>
      </w:r>
      <w:r>
        <w:rPr>
          <w:i/>
        </w:rPr>
        <w:t xml:space="preserve"> des Tons auf die Minimumwerte des Illits (in Mitteleuropa dominierendes Tonmineral) reduziert sind und mit 20 cmol</w:t>
      </w:r>
      <w:r>
        <w:rPr>
          <w:i/>
          <w:vertAlign w:val="subscript"/>
        </w:rPr>
        <w:t>c</w:t>
      </w:r>
      <w:r>
        <w:rPr>
          <w:i/>
        </w:rPr>
        <w:t>/kg nur rund ein Drittel des Wertes im Silikatpufferbereich beträgt; auf eine Differenzierung nach Ausgangsgestein mit unterschiedlichen Tonmineralkennwerten (Müller 2004: 148) wird aus Mangel an entsprechenden Inputdaten verzichtet.</w:t>
      </w:r>
    </w:p>
    <w:p>
      <w:pPr>
        <w:pStyle w:val="Normal"/>
        <w:ind w:left="1080" w:right="0" w:hanging="0"/>
        <w:rPr>
          <w:rFonts w:cs="Arial"/>
          <w:szCs w:val="20"/>
        </w:rPr>
      </w:pPr>
      <w:r>
        <w:rPr>
          <w:rFonts w:cs="Arial"/>
          <w:szCs w:val="20"/>
        </w:rPr>
      </w:r>
    </w:p>
    <w:p>
      <w:pPr>
        <w:pStyle w:val="Normal"/>
        <w:tabs>
          <w:tab w:val="left" w:pos="709" w:leader="none"/>
        </w:tabs>
        <w:ind w:left="709" w:right="0" w:hanging="0"/>
        <w:rPr>
          <w:rFonts w:cs="Arial"/>
          <w:b/>
          <w:bCs/>
          <w:szCs w:val="20"/>
        </w:rPr>
      </w:pPr>
      <w:r>
        <w:rPr>
          <w:rFonts w:cs="Arial"/>
          <w:b/>
          <w:bCs/>
          <w:szCs w:val="20"/>
        </w:rPr>
        <w:t>Px14 [cmol</w:t>
      </w:r>
      <w:r>
        <w:rPr>
          <w:rFonts w:cs="Arial"/>
          <w:b/>
          <w:bCs/>
          <w:szCs w:val="20"/>
          <w:vertAlign w:val="subscript"/>
        </w:rPr>
        <w:t>c</w:t>
      </w:r>
      <w:r>
        <w:rPr>
          <w:rFonts w:cs="Arial"/>
          <w:b/>
          <w:bCs/>
          <w:szCs w:val="20"/>
        </w:rPr>
        <w:t>/kg] = KAK</w:t>
      </w:r>
      <w:r>
        <w:rPr>
          <w:rFonts w:cs="Arial"/>
          <w:b/>
          <w:bCs/>
          <w:szCs w:val="20"/>
          <w:vertAlign w:val="subscript"/>
        </w:rPr>
        <w:t xml:space="preserve">pot </w:t>
      </w:r>
      <w:r>
        <w:rPr>
          <w:rFonts w:cs="Arial"/>
          <w:b/>
          <w:bCs/>
          <w:i/>
          <w:szCs w:val="20"/>
        </w:rPr>
        <w:t>(Px13)</w:t>
      </w:r>
      <w:r>
        <w:rPr>
          <w:rFonts w:cs="Arial"/>
          <w:b/>
          <w:bCs/>
          <w:szCs w:val="20"/>
        </w:rPr>
        <w:t xml:space="preserve"> * Umrechnungsfaktor 1</w:t>
      </w:r>
    </w:p>
    <w:p>
      <w:pPr>
        <w:pStyle w:val="Normal"/>
        <w:ind w:left="1080" w:right="0" w:hanging="0"/>
        <w:rPr>
          <w:rFonts w:cs="Arial"/>
          <w:szCs w:val="20"/>
        </w:rPr>
      </w:pPr>
      <w:r>
        <w:rPr>
          <w:rFonts w:cs="Arial"/>
          <w:szCs w:val="20"/>
        </w:rPr>
      </w:r>
    </w:p>
    <w:p>
      <w:pPr>
        <w:pStyle w:val="Normal"/>
        <w:jc w:val="both"/>
        <w:rPr>
          <w:rFonts w:cs="Arial"/>
          <w:szCs w:val="20"/>
        </w:rPr>
      </w:pPr>
      <w:r>
        <w:rPr>
          <w:rFonts w:cs="Arial"/>
          <w:szCs w:val="20"/>
        </w:rPr>
        <w:t>Zur Beurteilung des Potenzials des Bodens im Nährstoffhaushalt kann die gesamte, effektive Kationenaustauschkapazität (in absoluten Werten) berechnet werden, indem Px14 mit der Feinbodenmenge (Px04) jedes Horizonts multipliziert wird:</w:t>
      </w:r>
    </w:p>
    <w:p>
      <w:pPr>
        <w:pStyle w:val="Normal"/>
        <w:ind w:left="4111" w:right="0" w:hanging="3402"/>
        <w:jc w:val="both"/>
        <w:rPr>
          <w:rFonts w:cs="Arial"/>
          <w:b/>
          <w:szCs w:val="20"/>
        </w:rPr>
      </w:pPr>
      <w:r>
        <w:rPr>
          <w:rFonts w:cs="Arial"/>
          <w:b/>
          <w:szCs w:val="20"/>
        </w:rPr>
      </w:r>
    </w:p>
    <w:p>
      <w:pPr>
        <w:pStyle w:val="Normal"/>
        <w:ind w:left="4111" w:right="0" w:hanging="3402"/>
        <w:jc w:val="both"/>
        <w:rPr>
          <w:rFonts w:cs="Arial"/>
          <w:b/>
          <w:szCs w:val="20"/>
        </w:rPr>
      </w:pPr>
      <w:r>
        <w:rPr>
          <w:rFonts w:cs="Arial"/>
          <w:b/>
          <w:szCs w:val="20"/>
        </w:rPr>
        <w:t>KAK</w:t>
      </w:r>
      <w:r>
        <w:rPr>
          <w:rFonts w:cs="Arial"/>
          <w:b/>
          <w:szCs w:val="20"/>
          <w:vertAlign w:val="subscript"/>
        </w:rPr>
        <w:t xml:space="preserve">absGes </w:t>
      </w:r>
      <w:r>
        <w:rPr>
          <w:rFonts w:cs="Arial"/>
          <w:b/>
          <w:szCs w:val="20"/>
        </w:rPr>
        <w:t>[cmol</w:t>
      </w:r>
      <w:r>
        <w:rPr>
          <w:rFonts w:cs="Arial"/>
          <w:b/>
          <w:szCs w:val="20"/>
          <w:vertAlign w:val="subscript"/>
        </w:rPr>
        <w:t>c</w:t>
      </w:r>
      <w:r>
        <w:rPr>
          <w:rFonts w:cs="Arial"/>
          <w:b/>
          <w:szCs w:val="20"/>
        </w:rPr>
        <w:t>/m²] (Sx13) = KAK</w:t>
      </w:r>
      <w:r>
        <w:rPr>
          <w:rFonts w:cs="Arial"/>
          <w:b/>
          <w:szCs w:val="20"/>
          <w:vertAlign w:val="subscript"/>
        </w:rPr>
        <w:t xml:space="preserve">eff </w:t>
      </w:r>
      <w:r>
        <w:rPr>
          <w:rFonts w:cs="Arial"/>
          <w:b/>
          <w:szCs w:val="20"/>
        </w:rPr>
        <w:t>[cmol</w:t>
      </w:r>
      <w:r>
        <w:rPr>
          <w:rFonts w:cs="Arial"/>
          <w:b/>
          <w:szCs w:val="20"/>
          <w:vertAlign w:val="subscript"/>
        </w:rPr>
        <w:t>c</w:t>
      </w:r>
      <w:r>
        <w:rPr>
          <w:rFonts w:cs="Arial"/>
          <w:b/>
          <w:szCs w:val="20"/>
        </w:rPr>
        <w:t xml:space="preserve">/kg] </w:t>
      </w:r>
      <w:r>
        <w:rPr>
          <w:rFonts w:cs="Arial"/>
          <w:b/>
          <w:i/>
          <w:szCs w:val="20"/>
        </w:rPr>
        <w:t>(Px14)</w:t>
      </w:r>
      <w:r>
        <w:rPr>
          <w:rFonts w:cs="Arial"/>
          <w:b/>
          <w:szCs w:val="20"/>
        </w:rPr>
        <w:t xml:space="preserve"> * Feinbodenmenge [kg/m²] </w:t>
      </w:r>
      <w:r>
        <w:rPr>
          <w:rFonts w:cs="Arial"/>
          <w:b/>
          <w:i/>
          <w:szCs w:val="20"/>
        </w:rPr>
        <w:t xml:space="preserve">(Px04) </w:t>
      </w:r>
      <w:r>
        <w:rPr>
          <w:rFonts w:cs="Arial"/>
          <w:b/>
          <w:szCs w:val="20"/>
        </w:rPr>
        <w:t>für das gesamte Profil</w:t>
      </w:r>
    </w:p>
    <w:p>
      <w:pPr>
        <w:pStyle w:val="Normal"/>
        <w:ind w:left="4111" w:right="0" w:hanging="3402"/>
        <w:jc w:val="both"/>
        <w:rPr>
          <w:rFonts w:cs="Arial"/>
          <w:b/>
          <w:szCs w:val="20"/>
        </w:rPr>
      </w:pPr>
      <w:r>
        <w:rPr>
          <w:rFonts w:cs="Arial"/>
          <w:b/>
          <w:szCs w:val="20"/>
        </w:rPr>
      </w:r>
    </w:p>
    <w:p>
      <w:pPr>
        <w:pStyle w:val="Normal"/>
        <w:ind w:left="4111" w:right="0" w:hanging="3402"/>
        <w:jc w:val="both"/>
        <w:rPr>
          <w:rFonts w:cs="Arial"/>
          <w:b/>
          <w:szCs w:val="20"/>
        </w:rPr>
      </w:pPr>
      <w:r>
        <w:rPr>
          <w:rFonts w:cs="Arial"/>
          <w:b/>
          <w:szCs w:val="20"/>
        </w:rPr>
        <w:t>KAK</w:t>
      </w:r>
      <w:r>
        <w:rPr>
          <w:rFonts w:cs="Arial"/>
          <w:b/>
          <w:szCs w:val="20"/>
          <w:vertAlign w:val="subscript"/>
        </w:rPr>
        <w:t xml:space="preserve">absWe </w:t>
      </w:r>
      <w:r>
        <w:rPr>
          <w:rFonts w:cs="Arial"/>
          <w:b/>
          <w:szCs w:val="20"/>
        </w:rPr>
        <w:t>[cmol</w:t>
      </w:r>
      <w:r>
        <w:rPr>
          <w:rFonts w:cs="Arial"/>
          <w:b/>
          <w:szCs w:val="20"/>
          <w:vertAlign w:val="subscript"/>
        </w:rPr>
        <w:t>c</w:t>
      </w:r>
      <w:r>
        <w:rPr>
          <w:rFonts w:cs="Arial"/>
          <w:b/>
          <w:szCs w:val="20"/>
        </w:rPr>
        <w:t>/m²] (Sx14) = KAK</w:t>
      </w:r>
      <w:r>
        <w:rPr>
          <w:rFonts w:cs="Arial"/>
          <w:b/>
          <w:szCs w:val="20"/>
          <w:vertAlign w:val="subscript"/>
        </w:rPr>
        <w:t xml:space="preserve">eff </w:t>
      </w:r>
      <w:r>
        <w:rPr>
          <w:rFonts w:cs="Arial"/>
          <w:b/>
          <w:szCs w:val="20"/>
        </w:rPr>
        <w:t>[cmol</w:t>
      </w:r>
      <w:r>
        <w:rPr>
          <w:rFonts w:cs="Arial"/>
          <w:b/>
          <w:szCs w:val="20"/>
          <w:vertAlign w:val="subscript"/>
        </w:rPr>
        <w:t>c</w:t>
      </w:r>
      <w:r>
        <w:rPr>
          <w:rFonts w:cs="Arial"/>
          <w:b/>
          <w:szCs w:val="20"/>
        </w:rPr>
        <w:t xml:space="preserve">/kg] </w:t>
      </w:r>
      <w:r>
        <w:rPr>
          <w:rFonts w:cs="Arial"/>
          <w:b/>
          <w:i/>
          <w:szCs w:val="20"/>
        </w:rPr>
        <w:t>(Px14)</w:t>
      </w:r>
      <w:r>
        <w:rPr>
          <w:rFonts w:cs="Arial"/>
          <w:b/>
          <w:szCs w:val="20"/>
        </w:rPr>
        <w:t xml:space="preserve"> * Feinbodenmenge [kg/m²] </w:t>
      </w:r>
      <w:r>
        <w:rPr>
          <w:rFonts w:cs="Arial"/>
          <w:b/>
          <w:i/>
          <w:szCs w:val="20"/>
        </w:rPr>
        <w:t xml:space="preserve">(Px04) </w:t>
      </w:r>
      <w:r>
        <w:rPr>
          <w:rFonts w:cs="Arial"/>
          <w:b/>
          <w:szCs w:val="20"/>
        </w:rPr>
        <w:t>für den effektiven Wurzelraum</w:t>
      </w:r>
    </w:p>
    <w:p>
      <w:pPr>
        <w:pStyle w:val="Normal"/>
        <w:ind w:left="1080" w:right="0" w:hanging="0"/>
        <w:rPr>
          <w:rFonts w:cs="Arial"/>
          <w:szCs w:val="20"/>
        </w:rPr>
      </w:pPr>
      <w:r>
        <w:rPr>
          <w:rFonts w:cs="Arial"/>
          <w:szCs w:val="20"/>
        </w:rPr>
      </w:r>
    </w:p>
    <w:p>
      <w:pPr>
        <w:pStyle w:val="Normal"/>
        <w:rPr>
          <w:rFonts w:cs="Arial"/>
          <w:szCs w:val="22"/>
        </w:rPr>
      </w:pPr>
      <w:r>
        <w:rPr>
          <w:rFonts w:cs="Arial"/>
          <w:szCs w:val="22"/>
        </w:rPr>
      </w:r>
    </w:p>
    <w:p>
      <w:pPr>
        <w:pStyle w:val="Normal"/>
        <w:jc w:val="both"/>
        <w:rPr/>
      </w:pPr>
      <w:r>
        <w:rPr>
          <w:rFonts w:cs="Arial"/>
          <w:szCs w:val="22"/>
          <w:lang w:val="de-AT"/>
        </w:rPr>
        <w:t xml:space="preserve">Alternativ dazu ist in anderen Ansätzen der Vorrat austauschbar gebundener basischer Kationen </w:t>
      </w:r>
      <w:r>
        <w:rPr>
          <w:rFonts w:cs="Arial"/>
          <w:szCs w:val="20"/>
        </w:rPr>
        <w:t>(z.B. Ca</w:t>
      </w:r>
      <w:r>
        <w:rPr>
          <w:rFonts w:cs="Arial"/>
          <w:szCs w:val="20"/>
          <w:vertAlign w:val="superscript"/>
        </w:rPr>
        <w:t>2+</w:t>
      </w:r>
      <w:r>
        <w:rPr>
          <w:rFonts w:cs="Arial"/>
          <w:szCs w:val="20"/>
        </w:rPr>
        <w:t>, Mg</w:t>
      </w:r>
      <w:r>
        <w:rPr>
          <w:rFonts w:cs="Arial"/>
          <w:szCs w:val="20"/>
          <w:vertAlign w:val="superscript"/>
        </w:rPr>
        <w:t>2+</w:t>
      </w:r>
      <w:r>
        <w:rPr>
          <w:rFonts w:cs="Arial"/>
          <w:szCs w:val="20"/>
        </w:rPr>
        <w:t>, K</w:t>
      </w:r>
      <w:r>
        <w:rPr>
          <w:rFonts w:cs="Arial"/>
          <w:szCs w:val="20"/>
          <w:vertAlign w:val="superscript"/>
        </w:rPr>
        <w:t>+</w:t>
      </w:r>
      <w:r>
        <w:rPr>
          <w:rFonts w:cs="Arial"/>
          <w:szCs w:val="20"/>
        </w:rPr>
        <w:t>, NH</w:t>
      </w:r>
      <w:r>
        <w:rPr>
          <w:rFonts w:cs="Arial"/>
          <w:szCs w:val="20"/>
          <w:vertAlign w:val="subscript"/>
        </w:rPr>
        <w:t>4</w:t>
      </w:r>
      <w:r>
        <w:rPr>
          <w:rFonts w:cs="Arial"/>
          <w:szCs w:val="20"/>
          <w:vertAlign w:val="superscript"/>
        </w:rPr>
        <w:t>+</w:t>
      </w:r>
      <w:r>
        <w:rPr>
          <w:rFonts w:cs="Arial"/>
          <w:szCs w:val="20"/>
        </w:rPr>
        <w:t xml:space="preserve">; Gesamtwert = S-Wert) </w:t>
      </w:r>
      <w:r>
        <w:rPr>
          <w:rFonts w:cs="Arial"/>
          <w:szCs w:val="22"/>
          <w:lang w:val="de-AT"/>
        </w:rPr>
        <w:t xml:space="preserve"> im effektiven Wurzelraum von Interesse (Mb</w:t>
      </w:r>
      <w:r>
        <w:rPr>
          <w:rFonts w:cs="Arial"/>
          <w:szCs w:val="22"/>
          <w:vertAlign w:val="subscript"/>
          <w:lang w:val="de-AT"/>
        </w:rPr>
        <w:t>We</w:t>
      </w:r>
      <w:r>
        <w:rPr>
          <w:rFonts w:cs="Arial"/>
          <w:szCs w:val="22"/>
          <w:lang w:val="de-AT"/>
        </w:rPr>
        <w:t xml:space="preserve">), </w:t>
      </w:r>
      <w:r>
        <w:rPr/>
        <w:t xml:space="preserve">da die basischen Kationen wichtige Pflanzennährstoffe darstellen. </w:t>
      </w:r>
    </w:p>
    <w:p>
      <w:pPr>
        <w:pStyle w:val="Normal"/>
        <w:jc w:val="both"/>
        <w:rPr>
          <w:rFonts w:cs="Arial"/>
          <w:szCs w:val="20"/>
        </w:rPr>
      </w:pPr>
      <w:r>
        <w:rPr>
          <w:rFonts w:cs="Arial"/>
          <w:szCs w:val="20"/>
        </w:rPr>
        <w:t>Die Kationenaustauschkapazität setzt sich zusammen aus den Äquivalentwerten der austauschbar gebundenen, basischen Kationen (siehe Px14) und den Äquivalentwerten der austauschbar gebundenen, sauren Kationen (v.a. H</w:t>
      </w:r>
      <w:r>
        <w:rPr>
          <w:rFonts w:cs="Arial"/>
          <w:szCs w:val="20"/>
          <w:vertAlign w:val="superscript"/>
        </w:rPr>
        <w:t>+</w:t>
      </w:r>
      <w:r>
        <w:rPr>
          <w:rFonts w:cs="Arial"/>
          <w:szCs w:val="20"/>
        </w:rPr>
        <w:t>, Al</w:t>
      </w:r>
      <w:r>
        <w:rPr>
          <w:rFonts w:cs="Arial"/>
          <w:szCs w:val="20"/>
          <w:vertAlign w:val="superscript"/>
        </w:rPr>
        <w:t>3+</w:t>
      </w:r>
      <w:r>
        <w:rPr>
          <w:rFonts w:cs="Arial"/>
          <w:szCs w:val="20"/>
        </w:rPr>
        <w:t>, Fe</w:t>
      </w:r>
      <w:r>
        <w:rPr>
          <w:rFonts w:cs="Arial"/>
          <w:szCs w:val="20"/>
          <w:vertAlign w:val="superscript"/>
        </w:rPr>
        <w:t>3+</w:t>
      </w:r>
      <w:r>
        <w:rPr>
          <w:rFonts w:cs="Arial"/>
          <w:szCs w:val="20"/>
        </w:rPr>
        <w:t xml:space="preserve">; Gesamtwert = H-Wert). </w:t>
      </w:r>
    </w:p>
    <w:p>
      <w:pPr>
        <w:pStyle w:val="Normal"/>
        <w:jc w:val="both"/>
        <w:rPr/>
      </w:pPr>
      <w:r>
        <w:rPr/>
      </w:r>
    </w:p>
    <w:p>
      <w:pPr>
        <w:pStyle w:val="Normal"/>
        <w:jc w:val="both"/>
        <w:rPr/>
      </w:pPr>
      <w:r>
        <w:rPr/>
        <w:t>Aus dem S-Wert kann also auf das potenzielle standortspezifische Nährstoffangebot und damit auf die Bodenfruchtbarkeit geschlossen werden. Im von Müller (2004: 150, VKR 6.2.4 und 153f., VKR 6.2.7) beschriebenen Verfahren erfolgt die Berechnung des S-Wertes – analog zur Berechnung der KAK</w:t>
      </w:r>
      <w:r>
        <w:rPr>
          <w:vertAlign w:val="subscript"/>
        </w:rPr>
        <w:t>eff</w:t>
      </w:r>
      <w:r>
        <w:rPr/>
        <w:t xml:space="preserve"> – durch die Multiplikation der potenziellen Kationen</w:t>
        <w:softHyphen/>
        <w:t xml:space="preserve">austauschkapazität (Px13) mit einem Umrechnungsfaktor und anschließender Multiplikation mit der Feinbodenmenge (Px04) jedes Horizontes im effektiven Wurzelraum. </w:t>
      </w:r>
    </w:p>
    <w:p>
      <w:pPr>
        <w:pStyle w:val="Normal"/>
        <w:jc w:val="both"/>
        <w:rPr>
          <w:rFonts w:cs="Arial"/>
          <w:szCs w:val="20"/>
        </w:rPr>
      </w:pPr>
      <w:r>
        <w:rPr>
          <w:rFonts w:cs="Arial"/>
          <w:szCs w:val="20"/>
        </w:rPr>
      </w:r>
    </w:p>
    <w:tbl>
      <w:tblPr>
        <w:jc w:val="left"/>
        <w:tblInd w:w="5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699"/>
        <w:gridCol w:w="1699"/>
      </w:tblGrid>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 xml:space="preserve">pH-Wert </w:t>
            </w:r>
            <w:r>
              <w:rPr>
                <w:b w:val="false"/>
                <w:i/>
              </w:rPr>
              <w:t>(CaCl</w:t>
            </w:r>
            <w:r>
              <w:rPr>
                <w:b w:val="false"/>
                <w:i/>
                <w:vertAlign w:val="subscript"/>
              </w:rPr>
              <w:t>2</w:t>
            </w:r>
            <w:r>
              <w:rPr>
                <w:b w:val="false"/>
                <w:i/>
              </w:rPr>
              <w:t>)</w:t>
              <w:br/>
            </w:r>
            <w:r>
              <w:rPr/>
              <w:t>B105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berschrift"/>
              <w:spacing w:before="120" w:after="60"/>
              <w:rPr/>
            </w:pPr>
            <w:r>
              <w:rPr/>
              <w:t>Umrechnungs-faktor 2</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rFonts w:ascii="Symbol" w:hAnsi="Symbol"/>
              </w:rPr>
              <w:t></w:t>
            </w:r>
            <w:r>
              <w:rPr/>
              <w:t>7,5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7,0 bis &lt;7,5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0,95</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6,5 bis &lt;7,0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0,9</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6,0 bis &lt;6,5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0,75</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5,5 bis &lt;6,0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0,6</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5,0 bis &lt;5,5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0,45</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4,5 bis &lt;5,0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0,3</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4,0 bis &lt;4,5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0,2</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3,5 bis &lt;4,0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0,1</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&lt;3,5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0,02</w:t>
            </w:r>
          </w:p>
        </w:tc>
      </w:tr>
    </w:tbl>
    <w:p>
      <w:pPr>
        <w:pStyle w:val="Bildunterschrift"/>
        <w:rPr>
          <w:i/>
        </w:rPr>
      </w:pPr>
      <w:r>
        <w:rPr/>
        <w:t>Quelle: Müller 2004: 150, VKR 6.2.4</w:t>
      </w:r>
      <w:r>
        <w:rPr>
          <w:i/>
        </w:rPr>
        <w:t xml:space="preserve"> </w:t>
      </w:r>
    </w:p>
    <w:p>
      <w:pPr>
        <w:pStyle w:val="Normal"/>
        <w:rPr>
          <w:rFonts w:cs="Arial"/>
          <w:szCs w:val="22"/>
          <w:lang w:val="de-AT"/>
        </w:rPr>
      </w:pPr>
      <w:r>
        <w:rPr>
          <w:rFonts w:cs="Arial"/>
          <w:szCs w:val="22"/>
          <w:lang w:val="de-AT"/>
        </w:rPr>
      </w:r>
    </w:p>
    <w:p>
      <w:pPr>
        <w:pStyle w:val="Normal"/>
        <w:ind w:left="4111" w:right="0" w:hanging="3402"/>
        <w:jc w:val="both"/>
        <w:rPr>
          <w:rFonts w:cs="Arial"/>
          <w:b/>
          <w:szCs w:val="20"/>
        </w:rPr>
      </w:pPr>
      <w:r>
        <w:rPr>
          <w:rFonts w:cs="Arial"/>
          <w:b/>
          <w:szCs w:val="20"/>
        </w:rPr>
        <w:t>Mb</w:t>
      </w:r>
      <w:r>
        <w:rPr>
          <w:rFonts w:cs="Arial"/>
          <w:b/>
          <w:szCs w:val="20"/>
          <w:vertAlign w:val="subscript"/>
        </w:rPr>
        <w:t xml:space="preserve">We </w:t>
      </w:r>
      <w:r>
        <w:rPr>
          <w:rFonts w:cs="Arial"/>
          <w:b/>
          <w:szCs w:val="20"/>
        </w:rPr>
        <w:t>[cmol</w:t>
      </w:r>
      <w:r>
        <w:rPr>
          <w:rFonts w:cs="Arial"/>
          <w:b/>
          <w:szCs w:val="20"/>
          <w:vertAlign w:val="subscript"/>
        </w:rPr>
        <w:t>c</w:t>
      </w:r>
      <w:r>
        <w:rPr>
          <w:rFonts w:cs="Arial"/>
          <w:b/>
          <w:szCs w:val="20"/>
        </w:rPr>
        <w:t>/m²] (Sx15) = KAK</w:t>
      </w:r>
      <w:r>
        <w:rPr>
          <w:rFonts w:cs="Arial"/>
          <w:b/>
          <w:szCs w:val="20"/>
          <w:vertAlign w:val="subscript"/>
        </w:rPr>
        <w:t xml:space="preserve">pot </w:t>
      </w:r>
      <w:r>
        <w:rPr>
          <w:rFonts w:cs="Arial"/>
          <w:b/>
          <w:szCs w:val="20"/>
        </w:rPr>
        <w:t>[cmol</w:t>
      </w:r>
      <w:r>
        <w:rPr>
          <w:rFonts w:cs="Arial"/>
          <w:b/>
          <w:szCs w:val="20"/>
          <w:vertAlign w:val="subscript"/>
        </w:rPr>
        <w:t>c</w:t>
      </w:r>
      <w:r>
        <w:rPr>
          <w:rFonts w:cs="Arial"/>
          <w:b/>
          <w:szCs w:val="20"/>
        </w:rPr>
        <w:t xml:space="preserve">/kg] </w:t>
      </w:r>
      <w:r>
        <w:rPr>
          <w:rFonts w:cs="Arial"/>
          <w:b/>
          <w:i/>
          <w:szCs w:val="20"/>
        </w:rPr>
        <w:t>(Px13)</w:t>
      </w:r>
      <w:r>
        <w:rPr>
          <w:rFonts w:cs="Arial"/>
          <w:b/>
          <w:szCs w:val="20"/>
        </w:rPr>
        <w:t xml:space="preserve"> * Umrechnungsfaktor 2 * Feinboden</w:t>
        <w:softHyphen/>
        <w:t xml:space="preserve">menge [kg/m²] </w:t>
      </w:r>
      <w:r>
        <w:rPr>
          <w:rFonts w:cs="Arial"/>
          <w:b/>
          <w:i/>
          <w:szCs w:val="20"/>
        </w:rPr>
        <w:t xml:space="preserve">(Px04) </w:t>
      </w:r>
      <w:r>
        <w:rPr>
          <w:rFonts w:cs="Arial"/>
          <w:b/>
          <w:szCs w:val="20"/>
        </w:rPr>
        <w:t>für den effektiven Wurzelraum</w:t>
      </w:r>
    </w:p>
    <w:p>
      <w:pPr>
        <w:pStyle w:val="Normal"/>
        <w:ind w:left="1080" w:right="0" w:hanging="0"/>
        <w:rPr>
          <w:rFonts w:cs="Arial"/>
          <w:szCs w:val="20"/>
          <w:lang w:val="de-AT"/>
        </w:rPr>
      </w:pPr>
      <w:r>
        <w:rPr>
          <w:rFonts w:cs="Arial"/>
          <w:szCs w:val="20"/>
          <w:lang w:val="de-AT"/>
        </w:rPr>
      </w:r>
    </w:p>
    <w:p>
      <w:pPr>
        <w:pStyle w:val="Normal"/>
        <w:jc w:val="both"/>
        <w:rPr/>
      </w:pPr>
      <w:r>
        <w:rPr/>
        <w:t>Für die Bestimmung von Sx15 werden die Mb-Werte bis zur in Sx12 festgelegten Tiefe für alle Horizonte aufsummiert. Weicht die dort definierte Tiefe von einer Horizontgrenze ab, so wird die Feinbodenmenge des betreffenden Horizontes anteilsmäßig berücksichtigt (siehe Sx04a - nFK</w:t>
      </w:r>
      <w:r>
        <w:rPr>
          <w:vertAlign w:val="subscript"/>
        </w:rPr>
        <w:t>We</w:t>
      </w:r>
      <w:r>
        <w:rPr/>
        <w:t xml:space="preserve">). </w:t>
      </w:r>
    </w:p>
    <w:p>
      <w:pPr>
        <w:pStyle w:val="Normal"/>
        <w:ind w:left="1080" w:right="0" w:hanging="0"/>
        <w:rPr>
          <w:rFonts w:cs="Arial"/>
          <w:szCs w:val="20"/>
          <w:lang w:val="de-AT"/>
        </w:rPr>
      </w:pPr>
      <w:r>
        <w:rPr>
          <w:rFonts w:cs="Arial"/>
          <w:szCs w:val="20"/>
          <w:lang w:val="de-AT"/>
        </w:rPr>
      </w:r>
    </w:p>
    <w:p>
      <w:pPr>
        <w:pStyle w:val="Heading3"/>
        <w:rPr>
          <w:lang w:val="de-AT"/>
        </w:rPr>
      </w:pPr>
      <w:r>
        <w:rPr>
          <w:lang w:val="de-AT"/>
        </w:rPr>
        <w:t xml:space="preserve">Px15 - Basensättigung </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ph-Wert (B105)</w:t>
      </w:r>
    </w:p>
    <w:p>
      <w:pPr>
        <w:pStyle w:val="Normal"/>
        <w:rPr>
          <w:rFonts w:cs="Arial"/>
          <w:szCs w:val="20"/>
        </w:rPr>
      </w:pPr>
      <w:r>
        <w:rPr>
          <w:rFonts w:cs="Arial"/>
          <w:szCs w:val="20"/>
        </w:rPr>
      </w:r>
    </w:p>
    <w:p>
      <w:pPr>
        <w:pStyle w:val="Normal"/>
        <w:jc w:val="both"/>
        <w:rPr>
          <w:rFonts w:cs="Arial"/>
          <w:szCs w:val="20"/>
        </w:rPr>
      </w:pPr>
      <w:r>
        <w:rPr>
          <w:rFonts w:cs="Arial"/>
          <w:szCs w:val="20"/>
        </w:rPr>
        <w:t>Die Kationenaustauschkapazität setzt sich zusammen aus den Äquivalentwerten der austauschbar gebundenen, basischen Kationen (siehe Px14) und den Äquivalentwerten der austauschbar gebundenen, sauren Kationen (v.a. H</w:t>
      </w:r>
      <w:r>
        <w:rPr>
          <w:rFonts w:cs="Arial"/>
          <w:szCs w:val="20"/>
          <w:vertAlign w:val="superscript"/>
        </w:rPr>
        <w:t>+</w:t>
      </w:r>
      <w:r>
        <w:rPr>
          <w:rFonts w:cs="Arial"/>
          <w:szCs w:val="20"/>
        </w:rPr>
        <w:t>, Al</w:t>
      </w:r>
      <w:r>
        <w:rPr>
          <w:rFonts w:cs="Arial"/>
          <w:szCs w:val="20"/>
          <w:vertAlign w:val="superscript"/>
        </w:rPr>
        <w:t>3+</w:t>
      </w:r>
      <w:r>
        <w:rPr>
          <w:rFonts w:cs="Arial"/>
          <w:szCs w:val="20"/>
        </w:rPr>
        <w:t>, Fe</w:t>
      </w:r>
      <w:r>
        <w:rPr>
          <w:rFonts w:cs="Arial"/>
          <w:szCs w:val="20"/>
          <w:vertAlign w:val="superscript"/>
        </w:rPr>
        <w:t>3+</w:t>
      </w:r>
      <w:r>
        <w:rPr>
          <w:rFonts w:cs="Arial"/>
          <w:szCs w:val="20"/>
        </w:rPr>
        <w:t xml:space="preserve">; Gesamtwert = H-Wert). </w:t>
      </w:r>
    </w:p>
    <w:p>
      <w:pPr>
        <w:pStyle w:val="Normal"/>
        <w:jc w:val="both"/>
        <w:rPr>
          <w:rFonts w:cs="Arial"/>
          <w:szCs w:val="20"/>
        </w:rPr>
      </w:pPr>
      <w:r>
        <w:rPr>
          <w:rFonts w:cs="Arial"/>
          <w:szCs w:val="20"/>
        </w:rPr>
      </w:r>
    </w:p>
    <w:p>
      <w:pPr>
        <w:pStyle w:val="Normal"/>
        <w:jc w:val="both"/>
        <w:rPr>
          <w:rFonts w:cs="Arial"/>
          <w:szCs w:val="20"/>
        </w:rPr>
      </w:pPr>
      <w:r>
        <w:rPr>
          <w:rFonts w:cs="Arial"/>
          <w:szCs w:val="20"/>
        </w:rPr>
        <w:t>Der Basensättigungsgrad (V-Wert) gibt den Anteil des S-Wertes an der gesamten, potentiellen Kationenaustauschkapazität (KAK</w:t>
      </w:r>
      <w:r>
        <w:rPr>
          <w:rFonts w:cs="Arial"/>
          <w:szCs w:val="20"/>
          <w:vertAlign w:val="subscript"/>
        </w:rPr>
        <w:t>potGes</w:t>
      </w:r>
      <w:r>
        <w:rPr>
          <w:rFonts w:cs="Arial"/>
          <w:szCs w:val="20"/>
        </w:rPr>
        <w:t>) an. Da zwischen den Kationen der Bodenlösung und den adsorbierbaren Kationen Gleichgewicht besteht, lässt sich der Basensättigungsgrad näherungsweise aus dem pH-Wert ableiten:</w:t>
      </w:r>
    </w:p>
    <w:p>
      <w:pPr>
        <w:pStyle w:val="Normal"/>
        <w:rPr>
          <w:rFonts w:cs="Arial"/>
          <w:szCs w:val="20"/>
        </w:rPr>
      </w:pPr>
      <w:r>
        <w:rPr>
          <w:rFonts w:cs="Arial"/>
          <w:szCs w:val="20"/>
        </w:rPr>
      </w:r>
    </w:p>
    <w:tbl>
      <w:tblPr>
        <w:jc w:val="left"/>
        <w:tblInd w:w="5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1699"/>
        <w:gridCol w:w="1699"/>
      </w:tblGrid>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 xml:space="preserve">pH-Wert </w:t>
            </w:r>
            <w:r>
              <w:rPr>
                <w:b w:val="false"/>
                <w:i/>
              </w:rPr>
              <w:t>(CaCl</w:t>
            </w:r>
            <w:r>
              <w:rPr>
                <w:b w:val="false"/>
                <w:i/>
                <w:vertAlign w:val="subscript"/>
              </w:rPr>
              <w:t>2</w:t>
            </w:r>
            <w:r>
              <w:rPr>
                <w:b w:val="false"/>
                <w:i/>
              </w:rPr>
              <w:t>)</w:t>
              <w:br/>
            </w:r>
            <w:r>
              <w:rPr/>
              <w:t>B105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Px15 [%]=</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rFonts w:ascii="Symbol" w:hAnsi="Symbol"/>
              </w:rPr>
              <w:t></w:t>
            </w:r>
            <w:r>
              <w:rPr/>
              <w:t>7,5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100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7,0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95</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6,5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90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6,0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80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70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5,1</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60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4,8</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4,2</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3,8</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10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3,3</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5</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3,0</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2,5</w:t>
            </w:r>
          </w:p>
        </w:tc>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0</w:t>
            </w:r>
          </w:p>
        </w:tc>
      </w:tr>
    </w:tbl>
    <w:p>
      <w:pPr>
        <w:pStyle w:val="Bildunterschrift"/>
        <w:rPr/>
      </w:pPr>
      <w:r>
        <w:rPr/>
        <w:t xml:space="preserve">Quelle: Müller (2004: 152, VKR 6.2.6) </w:t>
      </w:r>
    </w:p>
    <w:p>
      <w:pPr>
        <w:pStyle w:val="Normal"/>
        <w:rPr>
          <w:rFonts w:cs="Arial"/>
          <w:b/>
          <w:i/>
          <w:sz w:val="22"/>
          <w:szCs w:val="20"/>
          <w:lang w:val="de-AT"/>
        </w:rPr>
      </w:pPr>
      <w:r>
        <w:rPr>
          <w:rFonts w:cs="Arial"/>
          <w:b/>
          <w:i/>
          <w:sz w:val="22"/>
          <w:szCs w:val="20"/>
          <w:lang w:val="de-AT"/>
        </w:rPr>
      </w:r>
    </w:p>
    <w:p>
      <w:pPr>
        <w:pStyle w:val="BerschriftRahmen"/>
        <w:pageBreakBefore/>
        <w:rPr/>
      </w:pPr>
      <w:r>
        <w:rPr/>
        <w:t>Lebensraumfunktionen</w:t>
      </w:r>
    </w:p>
    <w:p>
      <w:pPr>
        <w:pStyle w:val="Heading3"/>
        <w:rPr/>
      </w:pPr>
      <w:r>
        <w:rPr/>
        <w:t xml:space="preserve">1a.2 – Lebensgrundlage und Lebensraum für Tiere und Pflanzen </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Grundwasserflur</w:t>
        <w:softHyphen/>
        <w:t>abstand (S153)</w:t>
      </w:r>
    </w:p>
    <w:p>
      <w:pPr>
        <w:pStyle w:val="Normal"/>
        <w:ind w:left="142" w:right="0" w:hanging="0"/>
        <w:rPr>
          <w:rFonts w:cs="Arial"/>
          <w:i/>
          <w:szCs w:val="20"/>
        </w:rPr>
      </w:pPr>
      <w:r>
        <w:rPr>
          <w:rFonts w:cs="Arial"/>
          <w:i/>
          <w:szCs w:val="20"/>
        </w:rPr>
        <w:t>Bodentyp (</w:t>
      </w:r>
      <w:r>
        <w:rPr>
          <w:rFonts w:cs="Arial"/>
          <w:i/>
          <w:color w:val="000000"/>
          <w:szCs w:val="20"/>
        </w:rPr>
        <w:t>S322</w:t>
      </w:r>
      <w:r>
        <w:rPr>
          <w:rFonts w:cs="Arial"/>
          <w:i/>
          <w:szCs w:val="20"/>
        </w:rPr>
        <w:t>)</w:t>
      </w:r>
    </w:p>
    <w:p>
      <w:pPr>
        <w:pStyle w:val="Normal"/>
        <w:ind w:left="142" w:right="0" w:hanging="0"/>
        <w:rPr>
          <w:rFonts w:cs="Arial"/>
          <w:i/>
          <w:szCs w:val="20"/>
        </w:rPr>
      </w:pPr>
      <w:r>
        <w:rPr>
          <w:rFonts w:cs="Arial"/>
          <w:i/>
          <w:szCs w:val="20"/>
        </w:rPr>
        <w:t>nutzbare Feldkapazität im effektiven Wurzelraum (Sx05)</w:t>
      </w:r>
    </w:p>
    <w:p>
      <w:pPr>
        <w:pStyle w:val="Normal"/>
        <w:rPr>
          <w:rFonts w:cs="Arial"/>
          <w:b/>
          <w:i/>
          <w:szCs w:val="20"/>
        </w:rPr>
      </w:pPr>
      <w:r>
        <w:rPr>
          <w:rFonts w:cs="Arial"/>
          <w:b/>
          <w:i/>
          <w:szCs w:val="20"/>
        </w:rPr>
      </w:r>
    </w:p>
    <w:p>
      <w:pPr>
        <w:pStyle w:val="Normal"/>
        <w:rPr>
          <w:rFonts w:cs="Arial"/>
          <w:i/>
          <w:szCs w:val="20"/>
        </w:rPr>
      </w:pPr>
      <w:r>
        <w:rPr>
          <w:rFonts w:cs="Arial"/>
          <w:b/>
          <w:i/>
          <w:szCs w:val="20"/>
        </w:rPr>
        <w:t>Methodik</w:t>
      </w:r>
      <w:r>
        <w:rPr>
          <w:rFonts w:cs="Arial"/>
          <w:b/>
          <w:i/>
          <w:sz w:val="18"/>
          <w:szCs w:val="20"/>
        </w:rPr>
        <w:t>:</w:t>
      </w:r>
      <w:r>
        <w:rPr>
          <w:rFonts w:cs="Arial"/>
          <w:i/>
          <w:sz w:val="18"/>
          <w:szCs w:val="20"/>
        </w:rPr>
        <w:t xml:space="preserve"> </w:t>
      </w:r>
      <w:r>
        <w:rPr>
          <w:rFonts w:cs="Arial"/>
          <w:i/>
          <w:szCs w:val="20"/>
        </w:rPr>
        <w:t>BayGLA (2003: 36f.), Lehmann et al. (2008: 24) – modifiziert</w:t>
      </w:r>
    </w:p>
    <w:p>
      <w:pPr>
        <w:pStyle w:val="Normal"/>
        <w:rPr>
          <w:rFonts w:cs="Arial"/>
          <w:b/>
          <w:sz w:val="22"/>
          <w:szCs w:val="22"/>
        </w:rPr>
      </w:pPr>
      <w:r>
        <w:rPr>
          <w:rFonts w:cs="Arial"/>
          <w:b/>
          <w:sz w:val="22"/>
          <w:szCs w:val="22"/>
        </w:rPr>
      </w:r>
    </w:p>
    <w:p>
      <w:pPr>
        <w:pStyle w:val="Normal"/>
        <w:jc w:val="both"/>
        <w:rPr>
          <w:rFonts w:cs="Arial"/>
          <w:szCs w:val="20"/>
        </w:rPr>
      </w:pPr>
      <w:r>
        <w:rPr>
          <w:rFonts w:cs="Arial"/>
          <w:szCs w:val="20"/>
        </w:rPr>
        <w:t>Beurteilt wird, inwiefern der Boden einer Bewertungseinheit besondere Standorteigenschaften aufweist, um seltenen Tier- und Pflanzenarten als Lebensraum dienen zu können. Im Wesentlichen wird betrachtet, ob aufgrund der Zusammensetzung des Bodens besonders trockene oder besonders feuchte Verhältnisse zu erwarten sind und dadurch eine hohe Biodiversität in einem Untersuchungs</w:t>
        <w:softHyphen/>
        <w:t xml:space="preserve">gebiet ermöglicht wird. Die Eignung als Lebensraum für Nutzpflanzen (=land- und forstwirtschaftliche Nutzungseignung) ist auf solchen Böden in der Regel nur sehr eingeschränkt gegeben, diese wird unter 3a.1 gesondert beurteilt. </w:t>
      </w:r>
    </w:p>
    <w:p>
      <w:pPr>
        <w:pStyle w:val="Normal"/>
        <w:jc w:val="both"/>
        <w:rPr>
          <w:rFonts w:cs="Arial"/>
          <w:szCs w:val="20"/>
        </w:rPr>
      </w:pPr>
      <w:r>
        <w:rPr>
          <w:rFonts w:cs="Arial"/>
          <w:szCs w:val="20"/>
        </w:rPr>
      </w:r>
    </w:p>
    <w:p>
      <w:pPr>
        <w:pStyle w:val="Normal"/>
        <w:jc w:val="both"/>
        <w:rPr>
          <w:rFonts w:cs="Arial"/>
          <w:szCs w:val="20"/>
        </w:rPr>
      </w:pPr>
      <w:r>
        <w:rPr>
          <w:rFonts w:cs="Arial"/>
          <w:szCs w:val="20"/>
        </w:rPr>
        <w:t xml:space="preserve">Es ist zu beachten, dass hier ein </w:t>
      </w:r>
      <w:r>
        <w:rPr>
          <w:rFonts w:cs="Arial"/>
          <w:szCs w:val="20"/>
          <w:u w:val="single"/>
        </w:rPr>
        <w:t>Potenzial</w:t>
      </w:r>
      <w:r>
        <w:rPr>
          <w:rFonts w:cs="Arial"/>
          <w:szCs w:val="20"/>
        </w:rPr>
        <w:t xml:space="preserve"> bewertet wird, das nicht zwangsläufig Rückschlüsse auf den aktuellen Zustand der Flora und Fauna erlaubt. So besitzt z.B. ein entwässertes Moor aufgrund seines ursprünglichen Aufbaus ein sehr hohes Potenzial als Lebensraum für nässeverträgliche Arten, obwohl zur Ausschöpfung dieses Potenzials erst weitere Bedingungen erfüllt sein müssen (konkret: Rückbau der Entwässerungsmaßnahmen; ausreichend Niederschlag bzw. aktuell ausreichend hoher Grundwasserstand, Ansiedelung entsprechender Tier- und Pflanzenarten). Auch für die Ausschöpfung eines grundsätzlichen Potenzials des Bodens als Trockenstandort müssen die jeweiligen klimatischen und topographischen Voraussetzungen gegeben sein.</w:t>
      </w:r>
    </w:p>
    <w:p>
      <w:pPr>
        <w:pStyle w:val="Normal"/>
        <w:jc w:val="both"/>
        <w:rPr>
          <w:rFonts w:cs="Arial"/>
          <w:szCs w:val="20"/>
        </w:rPr>
      </w:pPr>
      <w:r>
        <w:rPr>
          <w:rFonts w:cs="Arial"/>
          <w:szCs w:val="20"/>
        </w:rPr>
      </w:r>
    </w:p>
    <w:p>
      <w:pPr>
        <w:pStyle w:val="Normal"/>
        <w:rPr>
          <w:rFonts w:cs="Arial"/>
          <w:szCs w:val="20"/>
        </w:rPr>
      </w:pPr>
      <w:r>
        <w:rPr>
          <w:rFonts w:cs="Arial"/>
          <w:szCs w:val="20"/>
        </w:rPr>
      </w:r>
    </w:p>
    <w:p>
      <w:pPr>
        <w:pStyle w:val="Normal"/>
        <w:rPr>
          <w:rFonts w:cs="Arial"/>
          <w:szCs w:val="20"/>
          <w:u w:val="single"/>
        </w:rPr>
      </w:pPr>
      <w:r>
        <w:rPr>
          <w:rFonts w:cs="Arial"/>
          <w:szCs w:val="20"/>
          <w:u w:val="single"/>
        </w:rPr>
        <w:t>1a.2.1 – Potenzial als Trockenstandort (=Lebensraum für trockenheitstolerante Arten)</w:t>
      </w:r>
    </w:p>
    <w:p>
      <w:pPr>
        <w:pStyle w:val="Normal"/>
        <w:rPr>
          <w:rFonts w:cs="Arial"/>
          <w:szCs w:val="20"/>
        </w:rPr>
      </w:pPr>
      <w:r>
        <w:rPr>
          <w:rFonts w:cs="Arial"/>
          <w:szCs w:val="2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267"/>
        <w:gridCol w:w="3826"/>
        <w:gridCol w:w="1673"/>
        <w:gridCol w:w="1276"/>
      </w:tblGrid>
      <w:tr>
        <w:trPr>
          <w:trHeight w:val="340" w:hRule="atLeast"/>
          <w:cantSplit w:val="false"/>
        </w:trPr>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
              </w:rPr>
            </w:pPr>
            <w:r>
              <w:rPr/>
              <w:t xml:space="preserve">1) Nutzung </w:t>
            </w:r>
            <w:r>
              <w:rPr>
                <w:b w:val="false"/>
                <w:i/>
              </w:rPr>
              <w:t>(S178)</w:t>
            </w:r>
          </w:p>
        </w:tc>
        <w:tc>
          <w:tcPr>
            <w:tcW w:w="38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
              </w:rPr>
            </w:pPr>
            <w:r>
              <w:rPr/>
              <w:t xml:space="preserve">2) Bodentyp </w:t>
            </w:r>
            <w:r>
              <w:rPr>
                <w:b w:val="false"/>
                <w:i/>
              </w:rPr>
              <w:t>(S322)</w:t>
            </w:r>
          </w:p>
        </w:tc>
        <w:tc>
          <w:tcPr>
            <w:tcW w:w="1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
              </w:rPr>
            </w:pPr>
            <w:r>
              <w:rPr/>
              <w:t>3) nFK</w:t>
            </w:r>
            <w:r>
              <w:rPr>
                <w:vertAlign w:val="subscript"/>
              </w:rPr>
              <w:t xml:space="preserve">We </w:t>
            </w:r>
            <w:r>
              <w:rPr>
                <w:b w:val="false"/>
                <w:i/>
              </w:rPr>
              <w:t>(Sx05)</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rPr/>
            </w:pPr>
            <w:r>
              <w:rPr/>
              <w:t>Bewertung Leben_Tr</w:t>
            </w:r>
          </w:p>
        </w:tc>
      </w:tr>
      <w:tr>
        <w:trPr>
          <w:trHeight w:val="340" w:hRule="atLeast"/>
          <w:cantSplit w:val="false"/>
        </w:trPr>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Ruderalstandort (870)</w:t>
            </w:r>
          </w:p>
        </w:tc>
        <w:tc>
          <w:tcPr>
            <w:tcW w:w="38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Kulturrohboden (1720-1722)</w:t>
            </w:r>
          </w:p>
        </w:tc>
        <w:tc>
          <w:tcPr>
            <w:tcW w:w="1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rFonts w:ascii="Symbol" w:hAnsi="Symbol"/>
              </w:rPr>
              <w:t></w:t>
            </w:r>
            <w:r>
              <w:rPr/>
              <w:t>30 l/m²</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1</w:t>
            </w:r>
          </w:p>
        </w:tc>
      </w:tr>
      <w:tr>
        <w:trPr>
          <w:trHeight w:val="340" w:hRule="atLeast"/>
          <w:cantSplit w:val="false"/>
        </w:trPr>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38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&gt;30 bis 60 l/m²</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2</w:t>
            </w:r>
          </w:p>
        </w:tc>
      </w:tr>
      <w:tr>
        <w:trPr>
          <w:trHeight w:val="340" w:hRule="atLeast"/>
          <w:cantSplit w:val="false"/>
        </w:trPr>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38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&gt;60 bis 90 l/m²</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3</w:t>
            </w:r>
          </w:p>
        </w:tc>
      </w:tr>
      <w:tr>
        <w:trPr>
          <w:trHeight w:val="340" w:hRule="atLeast"/>
          <w:cantSplit w:val="false"/>
        </w:trPr>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38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
                <w:iCs/>
              </w:rPr>
            </w:pPr>
            <w:r>
              <w:rPr/>
              <w:t xml:space="preserve">Gleye und Pseudogleye (1900-2033): </w:t>
            </w:r>
            <w:r>
              <w:rPr>
                <w:i/>
                <w:iCs/>
              </w:rPr>
              <w:t>20 verschiedene Bodentypen</w:t>
            </w:r>
          </w:p>
        </w:tc>
        <w:tc>
          <w:tcPr>
            <w:tcW w:w="1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&gt;90 bis 220 l/m²</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Moore, unkultiviert (950)</w:t>
            </w:r>
          </w:p>
        </w:tc>
        <w:tc>
          <w:tcPr>
            <w:tcW w:w="38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Moore (2100-2120): Niedermoor (2110), typisches Niedermoor (2111), Übergangsmoor (2112), Anmoor (2120)</w:t>
            </w:r>
          </w:p>
        </w:tc>
        <w:tc>
          <w:tcPr>
            <w:tcW w:w="1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&gt;220 l/m²</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5</w:t>
            </w:r>
          </w:p>
        </w:tc>
      </w:tr>
    </w:tbl>
    <w:p>
      <w:pPr>
        <w:pStyle w:val="Normal"/>
        <w:rPr>
          <w:rFonts w:cs="Arial"/>
          <w:szCs w:val="20"/>
        </w:rPr>
      </w:pPr>
      <w:r>
        <w:rPr>
          <w:rFonts w:cs="Arial"/>
          <w:szCs w:val="20"/>
        </w:rPr>
      </w:r>
    </w:p>
    <w:p>
      <w:pPr>
        <w:pStyle w:val="Normal"/>
        <w:jc w:val="both"/>
        <w:rPr>
          <w:rFonts w:cs="Arial"/>
          <w:szCs w:val="20"/>
        </w:rPr>
      </w:pPr>
      <w:r>
        <w:rPr>
          <w:rFonts w:cs="Arial"/>
          <w:szCs w:val="20"/>
        </w:rPr>
        <w:t>Zuerst erfolgt eine Einteilung nach der Nutzung, anschließend nach dem Bodentyp für jene Bewertungseinheiten, die nicht in die Kategorien „Ruderalstandort“ oder „unkultivierte Moore“ fallen. Die nFK</w:t>
      </w:r>
      <w:r>
        <w:rPr>
          <w:rFonts w:cs="Arial"/>
          <w:szCs w:val="20"/>
          <w:vertAlign w:val="subscript"/>
        </w:rPr>
        <w:t>We</w:t>
      </w:r>
      <w:r>
        <w:rPr>
          <w:rFonts w:cs="Arial"/>
          <w:szCs w:val="20"/>
        </w:rPr>
        <w:t xml:space="preserve"> wird nur dann als Kriterium herangezogen, wenn der zu bewertende Standort keine der beiden unter 1) genannten Nutzungsformen und keine der unter 2) aufgelisteten Bodentypen aufweist. Falls Gleye oder Pseudogleye eine nFK</w:t>
      </w:r>
      <w:r>
        <w:rPr>
          <w:rFonts w:cs="Arial"/>
          <w:szCs w:val="20"/>
          <w:vertAlign w:val="subscript"/>
        </w:rPr>
        <w:t>We</w:t>
      </w:r>
      <w:r>
        <w:rPr>
          <w:rFonts w:cs="Arial"/>
          <w:szCs w:val="20"/>
        </w:rPr>
        <w:t xml:space="preserve"> von mehr als 220 mm aufweisen, fallen die entsprechenden Einheiten ebenfalls in Bewertungsstufe 5.</w:t>
      </w:r>
    </w:p>
    <w:p>
      <w:pPr>
        <w:pStyle w:val="Normal"/>
        <w:rPr/>
      </w:pPr>
      <w:r>
        <w:rPr/>
      </w:r>
    </w:p>
    <w:p>
      <w:pPr>
        <w:pStyle w:val="Normal"/>
        <w:rPr/>
      </w:pPr>
      <w:r>
        <w:rPr/>
      </w:r>
    </w:p>
    <w:p>
      <w:pPr>
        <w:pStyle w:val="Normal"/>
        <w:rPr>
          <w:rFonts w:cs="Arial"/>
          <w:szCs w:val="20"/>
          <w:u w:val="single"/>
        </w:rPr>
      </w:pPr>
      <w:r>
        <w:rPr>
          <w:rFonts w:cs="Arial"/>
          <w:szCs w:val="20"/>
          <w:u w:val="single"/>
        </w:rPr>
        <w:t>1a.2.2 – Potenzial als Feuchtstandort (=Lebensraum für nässetolerante Arten)</w:t>
      </w:r>
    </w:p>
    <w:p>
      <w:pPr>
        <w:pStyle w:val="Normal"/>
        <w:rPr>
          <w:rFonts w:cs="Arial"/>
          <w:szCs w:val="20"/>
        </w:rPr>
      </w:pPr>
      <w:r>
        <w:rPr>
          <w:rFonts w:cs="Arial"/>
          <w:szCs w:val="2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691"/>
        <w:gridCol w:w="2932"/>
        <w:gridCol w:w="1759"/>
        <w:gridCol w:w="1546"/>
      </w:tblGrid>
      <w:tr>
        <w:trPr>
          <w:trHeight w:val="340" w:hRule="atLeast"/>
          <w:cantSplit w:val="false"/>
        </w:trPr>
        <w:tc>
          <w:tcPr>
            <w:tcW w:w="26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
              </w:rPr>
            </w:pPr>
            <w:r>
              <w:rPr/>
              <w:t xml:space="preserve">1) Bodentyp </w:t>
            </w:r>
            <w:r>
              <w:rPr>
                <w:b w:val="false"/>
                <w:i/>
              </w:rPr>
              <w:t>(S322)</w:t>
            </w:r>
          </w:p>
        </w:tc>
        <w:tc>
          <w:tcPr>
            <w:tcW w:w="29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
              </w:rPr>
            </w:pPr>
            <w:r>
              <w:rPr/>
              <w:t xml:space="preserve">2) GW-Flurabstand </w:t>
            </w:r>
            <w:r>
              <w:rPr>
                <w:b w:val="false"/>
                <w:i/>
              </w:rPr>
              <w:t>(S153)</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
              </w:rPr>
            </w:pPr>
            <w:r>
              <w:rPr/>
              <w:t>3) nFK</w:t>
            </w:r>
            <w:r>
              <w:rPr>
                <w:vertAlign w:val="subscript"/>
              </w:rPr>
              <w:t xml:space="preserve">We </w:t>
            </w:r>
            <w:r>
              <w:rPr>
                <w:b w:val="false"/>
                <w:i/>
              </w:rPr>
              <w:t>(Sx05)</w:t>
            </w:r>
          </w:p>
        </w:tc>
        <w:tc>
          <w:tcPr>
            <w:tcW w:w="15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rPr/>
            </w:pPr>
            <w:r>
              <w:rPr/>
              <w:t>Bewertung Leben_Fe</w:t>
            </w:r>
          </w:p>
        </w:tc>
      </w:tr>
      <w:tr>
        <w:trPr>
          <w:trHeight w:val="340" w:hRule="atLeast"/>
          <w:cantSplit w:val="false"/>
        </w:trPr>
        <w:tc>
          <w:tcPr>
            <w:tcW w:w="26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Moore (2100-2120)</w:t>
            </w:r>
          </w:p>
        </w:tc>
        <w:tc>
          <w:tcPr>
            <w:tcW w:w="29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&lt;0,2 m</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5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1</w:t>
            </w:r>
          </w:p>
        </w:tc>
      </w:tr>
      <w:tr>
        <w:trPr>
          <w:trHeight w:val="340" w:hRule="atLeast"/>
          <w:cantSplit w:val="false"/>
        </w:trPr>
        <w:tc>
          <w:tcPr>
            <w:tcW w:w="26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Gleye und Pseudogleye (1900-2033)</w:t>
            </w:r>
          </w:p>
        </w:tc>
        <w:tc>
          <w:tcPr>
            <w:tcW w:w="29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0,2 bis &lt;0,5 m</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&gt;220 l/m²</w:t>
            </w:r>
          </w:p>
        </w:tc>
        <w:tc>
          <w:tcPr>
            <w:tcW w:w="15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2</w:t>
            </w:r>
          </w:p>
        </w:tc>
      </w:tr>
      <w:tr>
        <w:trPr>
          <w:trHeight w:val="340" w:hRule="atLeast"/>
          <w:cantSplit w:val="false"/>
        </w:trPr>
        <w:tc>
          <w:tcPr>
            <w:tcW w:w="26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Au- und Schwemmböden (1800-1842)</w:t>
            </w:r>
          </w:p>
        </w:tc>
        <w:tc>
          <w:tcPr>
            <w:tcW w:w="29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 xml:space="preserve">0,5 bis </w:t>
            </w:r>
            <w:r>
              <w:rPr>
                <w:rFonts w:ascii="Symbol" w:hAnsi="Symbol"/>
              </w:rPr>
              <w:t></w:t>
            </w:r>
            <w:r>
              <w:rPr/>
              <w:t>1 m</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&gt;140 bis 220 l/m²</w:t>
            </w:r>
          </w:p>
        </w:tc>
        <w:tc>
          <w:tcPr>
            <w:tcW w:w="15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3</w:t>
            </w:r>
          </w:p>
        </w:tc>
      </w:tr>
      <w:tr>
        <w:trPr>
          <w:trHeight w:val="340" w:hRule="atLeast"/>
          <w:cantSplit w:val="false"/>
        </w:trPr>
        <w:tc>
          <w:tcPr>
            <w:tcW w:w="26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29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&gt;60 bis 140 l/m²</w:t>
            </w:r>
          </w:p>
        </w:tc>
        <w:tc>
          <w:tcPr>
            <w:tcW w:w="15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26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29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rFonts w:ascii="Symbol" w:hAnsi="Symbol"/>
              </w:rPr>
              <w:t></w:t>
            </w:r>
            <w:r>
              <w:rPr/>
              <w:t>60 l/m²</w:t>
            </w:r>
          </w:p>
        </w:tc>
        <w:tc>
          <w:tcPr>
            <w:tcW w:w="15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5</w:t>
            </w:r>
          </w:p>
        </w:tc>
      </w:tr>
    </w:tbl>
    <w:p>
      <w:pPr>
        <w:pStyle w:val="Normal"/>
        <w:rPr/>
      </w:pPr>
      <w:r>
        <w:rPr/>
      </w:r>
    </w:p>
    <w:p>
      <w:pPr>
        <w:pStyle w:val="Normal"/>
        <w:jc w:val="both"/>
        <w:rPr>
          <w:rFonts w:cs="Arial"/>
          <w:szCs w:val="20"/>
        </w:rPr>
      </w:pPr>
      <w:r>
        <w:rPr>
          <w:rFonts w:cs="Arial"/>
          <w:szCs w:val="20"/>
        </w:rPr>
        <w:t>Als primäres Einstufungskriterium wird der Bodentyp herangezogen. Sollte dieser nicht bekannt sein, so erfolgt die Bewertung über den mittleren Grundwasserflurabstand, gemessen über einen längeren Zeitraum, oder den leichter und exakter zu ermittelnden aktuellen Grundwasser</w:t>
        <w:softHyphen/>
        <w:t xml:space="preserve">flurabstand. </w:t>
      </w:r>
    </w:p>
    <w:p>
      <w:pPr>
        <w:pStyle w:val="Normal"/>
        <w:jc w:val="both"/>
        <w:rPr>
          <w:rFonts w:cs="Arial"/>
          <w:szCs w:val="20"/>
        </w:rPr>
      </w:pPr>
      <w:r>
        <w:rPr>
          <w:rFonts w:cs="Arial"/>
          <w:szCs w:val="20"/>
        </w:rPr>
        <w:t>Die nutzbare Feldkapazität im Wurzelraum (nFK</w:t>
      </w:r>
      <w:r>
        <w:rPr>
          <w:rFonts w:cs="Arial"/>
          <w:szCs w:val="20"/>
          <w:vertAlign w:val="subscript"/>
        </w:rPr>
        <w:t>We</w:t>
      </w:r>
      <w:r>
        <w:rPr>
          <w:rFonts w:cs="Arial"/>
          <w:szCs w:val="20"/>
        </w:rPr>
        <w:t>) ist für alle nicht aufgelisteten Bodentypen sowie bei einem Grundwasserflurabstand von &gt;1 m bewertungsrelevant, da sie durch die Speicherung oberflächlich anfallenden Wassers die Lebensbedingungen für nässetolerante Spezies maßgeblich steuert. Au- und Schwemmböden mit einer nFK</w:t>
      </w:r>
      <w:r>
        <w:rPr>
          <w:rFonts w:cs="Arial"/>
          <w:szCs w:val="20"/>
          <w:vertAlign w:val="subscript"/>
        </w:rPr>
        <w:t>We</w:t>
      </w:r>
      <w:r>
        <w:rPr>
          <w:rFonts w:cs="Arial"/>
          <w:szCs w:val="20"/>
        </w:rPr>
        <w:t xml:space="preserve"> von &gt;220 mm und Bereiche mit einem GW-Flurabstand von 50 bis 100 cm werden dementsprechend auch in Stufe 2 aufgewertet.</w:t>
      </w:r>
    </w:p>
    <w:p>
      <w:pPr>
        <w:pStyle w:val="Normal"/>
        <w:rPr>
          <w:rFonts w:cs="Arial"/>
          <w:b/>
          <w:i/>
          <w:szCs w:val="20"/>
        </w:rPr>
      </w:pPr>
      <w:r>
        <w:rPr>
          <w:rFonts w:cs="Arial"/>
          <w:b/>
          <w:i/>
          <w:szCs w:val="20"/>
        </w:rPr>
      </w:r>
    </w:p>
    <w:p>
      <w:pPr>
        <w:pStyle w:val="Heading3"/>
        <w:pageBreakBefore/>
        <w:rPr/>
      </w:pPr>
      <w:r>
        <w:rPr/>
        <w:t xml:space="preserve">1a.3) Lebensraum für Bodenorganismen </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Bodenart des Oberbodens (P140 oder B209)</w:t>
      </w:r>
    </w:p>
    <w:p>
      <w:pPr>
        <w:pStyle w:val="Normal"/>
        <w:ind w:left="142" w:right="0" w:hanging="0"/>
        <w:rPr>
          <w:rFonts w:cs="Arial"/>
          <w:i/>
          <w:szCs w:val="20"/>
        </w:rPr>
      </w:pPr>
      <w:r>
        <w:rPr>
          <w:rFonts w:cs="Arial"/>
          <w:i/>
          <w:szCs w:val="20"/>
        </w:rPr>
        <w:t>pH-Wert des Oberbodens (</w:t>
      </w:r>
      <w:r>
        <w:rPr>
          <w:rFonts w:cs="Arial"/>
          <w:i/>
          <w:color w:val="000000"/>
          <w:szCs w:val="20"/>
        </w:rPr>
        <w:t>P149 oder B105</w:t>
      </w:r>
      <w:r>
        <w:rPr>
          <w:rFonts w:cs="Arial"/>
          <w:i/>
          <w:szCs w:val="20"/>
        </w:rPr>
        <w:t>)</w:t>
      </w:r>
    </w:p>
    <w:p>
      <w:pPr>
        <w:pStyle w:val="Normal"/>
        <w:ind w:left="142" w:right="0" w:hanging="0"/>
        <w:rPr>
          <w:rFonts w:cs="Arial"/>
          <w:i/>
          <w:szCs w:val="20"/>
        </w:rPr>
      </w:pPr>
      <w:r>
        <w:rPr>
          <w:rFonts w:cs="Arial"/>
          <w:i/>
          <w:szCs w:val="20"/>
        </w:rPr>
        <w:t>Bodenwasserverhältnisse (S161)</w:t>
      </w:r>
    </w:p>
    <w:p>
      <w:pPr>
        <w:pStyle w:val="Normal"/>
        <w:ind w:left="142" w:right="0" w:hanging="0"/>
        <w:rPr>
          <w:rFonts w:cs="Arial"/>
          <w:i/>
          <w:szCs w:val="20"/>
        </w:rPr>
      </w:pPr>
      <w:r>
        <w:rPr>
          <w:rFonts w:cs="Arial"/>
          <w:i/>
          <w:szCs w:val="20"/>
        </w:rPr>
        <w:t>Nutzung (S178)</w:t>
      </w:r>
    </w:p>
    <w:p>
      <w:pPr>
        <w:pStyle w:val="Normal"/>
        <w:ind w:left="142" w:right="0" w:hanging="0"/>
        <w:rPr>
          <w:rFonts w:cs="Arial"/>
          <w:i/>
          <w:szCs w:val="20"/>
        </w:rPr>
      </w:pPr>
      <w:r>
        <w:rPr>
          <w:rFonts w:cs="Arial"/>
          <w:i/>
          <w:szCs w:val="20"/>
        </w:rPr>
        <w:t>Bodentyp (S322)</w:t>
      </w:r>
    </w:p>
    <w:p>
      <w:pPr>
        <w:pStyle w:val="Normal"/>
        <w:rPr>
          <w:rFonts w:cs="Arial"/>
          <w:b/>
          <w:sz w:val="22"/>
          <w:szCs w:val="22"/>
        </w:rPr>
      </w:pPr>
      <w:r>
        <w:rPr>
          <w:rFonts w:cs="Arial"/>
          <w:b/>
          <w:sz w:val="22"/>
          <w:szCs w:val="22"/>
        </w:rPr>
      </w:r>
    </w:p>
    <w:p>
      <w:pPr>
        <w:pStyle w:val="Normal"/>
        <w:rPr>
          <w:rFonts w:cs="Arial"/>
          <w:i/>
          <w:szCs w:val="20"/>
        </w:rPr>
      </w:pPr>
      <w:r>
        <w:rPr>
          <w:rFonts w:cs="Arial"/>
          <w:b/>
          <w:i/>
          <w:szCs w:val="20"/>
        </w:rPr>
        <w:t>Methodik</w:t>
      </w:r>
      <w:r>
        <w:rPr>
          <w:rFonts w:cs="Arial"/>
          <w:b/>
          <w:i/>
          <w:sz w:val="18"/>
          <w:szCs w:val="20"/>
        </w:rPr>
        <w:t>:</w:t>
      </w:r>
      <w:r>
        <w:rPr>
          <w:rFonts w:cs="Arial"/>
          <w:i/>
          <w:sz w:val="18"/>
          <w:szCs w:val="20"/>
        </w:rPr>
        <w:t xml:space="preserve"> </w:t>
      </w:r>
      <w:r>
        <w:rPr>
          <w:rFonts w:cs="Arial"/>
          <w:i/>
          <w:szCs w:val="20"/>
        </w:rPr>
        <w:t>Beylich et al. (2004) – modifiziert</w:t>
      </w:r>
    </w:p>
    <w:p>
      <w:pPr>
        <w:pStyle w:val="Normal"/>
        <w:rPr>
          <w:rFonts w:cs="Arial"/>
          <w:i/>
          <w:szCs w:val="20"/>
        </w:rPr>
      </w:pPr>
      <w:r>
        <w:rPr>
          <w:rFonts w:cs="Arial"/>
          <w:i/>
          <w:szCs w:val="20"/>
        </w:rPr>
      </w:r>
    </w:p>
    <w:p>
      <w:pPr>
        <w:pStyle w:val="Normal"/>
        <w:jc w:val="both"/>
        <w:rPr>
          <w:rFonts w:cs="Arial"/>
          <w:szCs w:val="20"/>
        </w:rPr>
      </w:pPr>
      <w:r>
        <w:rPr>
          <w:rFonts w:cs="Arial"/>
          <w:szCs w:val="20"/>
        </w:rPr>
        <w:t xml:space="preserve">Bodenorganismen haben durch ihre wühlenden, zersetzenden und umwandelnden Tätigkeiten großen Einfluss auf die Entwicklung und Zusammensetzung (Struktur) des Bodens. Umgekehrt begünstigen bestimmte Bodeneigenschaften das Vorkommen von Bodenorganismen, wobei die Artenzahl (Diversität), die Individuenzahl (Abundanz) und das Gesamtgewicht (Biomasse) gebräuchliche Kenngrößen zur Beurteilung der biologischen Aktivität sind. Eine umfassende Bewertung der Lebensraumfunktion wird allerdings durch die Zusammensetzung des Edaphons (Gesamtheit aller Bodenlebewesen) aus einer Vielzahl von Lebensformen mit sehr unterschiedlichen Ansprüchen an ihren Lebensraum erschwert. </w:t>
      </w:r>
    </w:p>
    <w:p>
      <w:pPr>
        <w:pStyle w:val="Normal"/>
        <w:jc w:val="both"/>
        <w:rPr>
          <w:rFonts w:cs="Arial"/>
          <w:szCs w:val="20"/>
        </w:rPr>
      </w:pPr>
      <w:r>
        <w:rPr>
          <w:rFonts w:cs="Arial"/>
          <w:szCs w:val="20"/>
        </w:rPr>
      </w:r>
    </w:p>
    <w:p>
      <w:pPr>
        <w:pStyle w:val="Normal"/>
        <w:jc w:val="both"/>
        <w:rPr>
          <w:rFonts w:cs="Arial"/>
          <w:szCs w:val="20"/>
        </w:rPr>
      </w:pPr>
      <w:r>
        <w:rPr>
          <w:rFonts w:cs="Arial"/>
          <w:szCs w:val="20"/>
        </w:rPr>
        <w:t>In der Regel werden daher bestimmte Gruppen, die auch ohne bodenzoologisches Expertenwissen identifiziert werden können, als Indikatoren für die Zusammensetzung des Bodenlebens herangezogen. Besondere Bedeutung kommt dabei den Regenwürmern (</w:t>
      </w:r>
      <w:r>
        <w:rPr>
          <w:rFonts w:cs="Arial"/>
          <w:i/>
          <w:szCs w:val="20"/>
        </w:rPr>
        <w:t>Lumbricidae</w:t>
      </w:r>
      <w:r>
        <w:rPr>
          <w:rFonts w:cs="Arial"/>
          <w:szCs w:val="20"/>
        </w:rPr>
        <w:t xml:space="preserve">) zu, die in ihrer Gesamtheit bis zu 90 % der Biomasse der Fauna im Oberboden bilden. Dadurch üben sie auch den größten Einfluss auf die physikalische Zusammensetzung (Struktur, Stabilität durch Ton-Humus-Kopplung) und die Durchmischung des Bodens sowie die damit verbundenen Eigenschaften im Wasser- und Nährstoffhaushalt aus. Je größer die Biomasse der Regenwürmer, desto stärker ist die Bioturbation und desto besser kann der Boden in der Regel seine Funktionen in den natürlichen Stoffkreisläufen erfüllen. </w:t>
      </w:r>
    </w:p>
    <w:p>
      <w:pPr>
        <w:pStyle w:val="Normal"/>
        <w:rPr>
          <w:rFonts w:cs="Arial"/>
          <w:b/>
          <w:i/>
          <w:szCs w:val="20"/>
        </w:rPr>
      </w:pPr>
      <w:r>
        <w:rPr>
          <w:rFonts w:cs="Arial"/>
          <w:b/>
          <w:i/>
          <w:szCs w:val="20"/>
        </w:rPr>
      </w:r>
    </w:p>
    <w:p>
      <w:pPr>
        <w:pStyle w:val="Normal"/>
        <w:jc w:val="both"/>
        <w:rPr>
          <w:rFonts w:cs="Arial"/>
          <w:szCs w:val="20"/>
        </w:rPr>
      </w:pPr>
      <w:r>
        <w:rPr>
          <w:rFonts w:cs="Arial"/>
          <w:szCs w:val="20"/>
        </w:rPr>
        <w:t xml:space="preserve">In dem von Beylich et al. (2004) entwickelten Verfahren werden bekannte Zusammenhänge zwischen dem Artenspektrum des Edaphons und einzelnen Bodenfaktoren herangezogen und damit ein „Soll-Zustand“, d.h. die aufgrund der Bodeneigenschaften zu erwartende Zusammensetzung des Edaphons ermittelt. Relevante Bodenparameter sind pH-Wert, Bodenart, Humusform und die bodenkundliche Feuchtestufe (ersatzweise die nutzbare Feldkapazität im Wurzelraum). Hinsichtlich des Bodenlebens werden 14 „Bodenlebensgemeinschaftstypen“ (BLGT) auf vier hierarchischen Ebenen unterschieden. </w:t>
      </w:r>
    </w:p>
    <w:p>
      <w:pPr>
        <w:pStyle w:val="Normal"/>
        <w:rPr>
          <w:rFonts w:cs="Arial"/>
          <w:szCs w:val="20"/>
          <w:u w:val="single"/>
        </w:rPr>
      </w:pPr>
      <w:r>
        <w:rPr>
          <w:rFonts w:cs="Arial"/>
          <w:szCs w:val="20"/>
          <w:u w:val="single"/>
        </w:rPr>
      </w:r>
    </w:p>
    <w:p>
      <w:pPr>
        <w:pStyle w:val="Normal"/>
        <w:spacing w:before="0" w:after="120"/>
        <w:rPr>
          <w:rFonts w:cs="Arial"/>
          <w:szCs w:val="20"/>
          <w:u w:val="single"/>
        </w:rPr>
      </w:pPr>
      <w:r>
        <w:rPr>
          <w:rFonts w:cs="Arial"/>
          <w:szCs w:val="20"/>
          <w:u w:val="single"/>
        </w:rPr>
        <w:t xml:space="preserve">Ebene 1 – Unterscheidung nach pH-Wert </w:t>
      </w:r>
    </w:p>
    <w:p>
      <w:pPr>
        <w:pStyle w:val="Normal"/>
        <w:jc w:val="both"/>
        <w:rPr>
          <w:rFonts w:cs="Arial"/>
          <w:szCs w:val="20"/>
        </w:rPr>
      </w:pPr>
      <w:r>
        <w:rPr>
          <w:rFonts w:cs="Arial"/>
          <w:b/>
          <w:szCs w:val="20"/>
        </w:rPr>
        <w:t xml:space="preserve">BLGT A bei pH-Wert </w:t>
      </w:r>
      <w:r>
        <w:rPr>
          <w:rFonts w:ascii="Symbol" w:hAnsi="Symbol"/>
          <w:b/>
          <w:szCs w:val="20"/>
        </w:rPr>
        <w:t></w:t>
      </w:r>
      <w:r>
        <w:rPr>
          <w:rFonts w:cs="Arial"/>
          <w:b/>
          <w:szCs w:val="20"/>
        </w:rPr>
        <w:t xml:space="preserve">4,2: </w:t>
      </w:r>
      <w:r>
        <w:rPr>
          <w:rFonts w:cs="Arial"/>
          <w:szCs w:val="20"/>
        </w:rPr>
        <w:t>anecische und/oder endogäische Regenwurmarten („Bodenwühler“) kommen vor; idR. dominieren Mull-Humusformen</w:t>
      </w:r>
    </w:p>
    <w:p>
      <w:pPr>
        <w:pStyle w:val="Normal"/>
        <w:jc w:val="both"/>
        <w:rPr>
          <w:rFonts w:cs="Arial"/>
          <w:b/>
          <w:szCs w:val="20"/>
        </w:rPr>
      </w:pPr>
      <w:r>
        <w:rPr>
          <w:rFonts w:cs="Arial"/>
          <w:b/>
          <w:szCs w:val="20"/>
        </w:rPr>
      </w:r>
    </w:p>
    <w:p>
      <w:pPr>
        <w:pStyle w:val="Normal"/>
        <w:jc w:val="both"/>
        <w:rPr>
          <w:rFonts w:cs="Arial"/>
          <w:szCs w:val="20"/>
        </w:rPr>
      </w:pPr>
      <w:r>
        <w:rPr>
          <w:rFonts w:cs="Arial"/>
          <w:b/>
          <w:szCs w:val="20"/>
        </w:rPr>
        <w:t>BLGT B bei pH-Wert &lt;4,2:</w:t>
      </w:r>
      <w:r>
        <w:rPr>
          <w:rFonts w:cs="Arial"/>
          <w:szCs w:val="20"/>
        </w:rPr>
        <w:t xml:space="preserve"> anecische und endogäische Regenwurmarten fehlen, epigäische Arten kommen in geringer, Mikroarthropoden in großer Abundanz vor; idR. dominieren Auflage-Humusformen </w:t>
      </w:r>
    </w:p>
    <w:p>
      <w:pPr>
        <w:pStyle w:val="Normal"/>
        <w:rPr>
          <w:rFonts w:cs="Arial"/>
          <w:szCs w:val="20"/>
          <w:u w:val="single"/>
        </w:rPr>
      </w:pPr>
      <w:r>
        <w:rPr>
          <w:rFonts w:cs="Arial"/>
          <w:szCs w:val="20"/>
          <w:u w:val="single"/>
        </w:rPr>
      </w:r>
    </w:p>
    <w:p>
      <w:pPr>
        <w:pStyle w:val="Normal"/>
        <w:spacing w:before="0" w:after="120"/>
        <w:rPr>
          <w:rFonts w:cs="Arial"/>
          <w:szCs w:val="20"/>
          <w:u w:val="single"/>
        </w:rPr>
      </w:pPr>
      <w:r>
        <w:rPr>
          <w:rFonts w:cs="Arial"/>
          <w:szCs w:val="20"/>
          <w:u w:val="single"/>
        </w:rPr>
        <w:t>Ebene 2 – Unterscheidung nach Bodenkundlicher Feuchtestufe (Müller 2004, 211ff.)</w:t>
      </w:r>
    </w:p>
    <w:p>
      <w:pPr>
        <w:pStyle w:val="Normal"/>
        <w:jc w:val="both"/>
        <w:rPr>
          <w:rFonts w:cs="Arial"/>
          <w:szCs w:val="20"/>
        </w:rPr>
      </w:pPr>
      <w:r>
        <w:rPr>
          <w:rFonts w:cs="Arial"/>
          <w:b/>
          <w:szCs w:val="20"/>
        </w:rPr>
        <w:t xml:space="preserve">Bodenkundliche Feuchtestufe 2 bis 8 </w:t>
      </w:r>
      <w:r>
        <w:rPr>
          <w:rFonts w:cs="Arial"/>
          <w:szCs w:val="20"/>
        </w:rPr>
        <w:t>(</w:t>
      </w:r>
      <w:r>
        <w:rPr>
          <w:rFonts w:cs="Arial"/>
          <w:i/>
          <w:szCs w:val="20"/>
        </w:rPr>
        <w:t>mittel trocken bis mittel feucht</w:t>
      </w:r>
      <w:r>
        <w:rPr>
          <w:rFonts w:cs="Arial"/>
          <w:szCs w:val="20"/>
        </w:rPr>
        <w:t>)</w:t>
      </w:r>
    </w:p>
    <w:p>
      <w:pPr>
        <w:pStyle w:val="Normal"/>
        <w:jc w:val="both"/>
        <w:rPr>
          <w:rFonts w:cs="Arial"/>
          <w:szCs w:val="20"/>
        </w:rPr>
      </w:pPr>
      <w:r>
        <w:rPr>
          <w:rFonts w:cs="Arial"/>
          <w:szCs w:val="20"/>
        </w:rPr>
        <w:tab/>
      </w:r>
      <w:r>
        <w:rPr>
          <w:rFonts w:cs="Arial"/>
          <w:b/>
          <w:szCs w:val="20"/>
        </w:rPr>
        <w:t>=</w:t>
      </w:r>
      <w:r>
        <w:rPr>
          <w:rFonts w:cs="Arial"/>
          <w:szCs w:val="20"/>
        </w:rPr>
        <w:t> </w:t>
      </w:r>
      <w:r>
        <w:rPr>
          <w:rFonts w:cs="Arial"/>
          <w:b/>
          <w:szCs w:val="20"/>
        </w:rPr>
        <w:t xml:space="preserve">BLGT A1: </w:t>
      </w:r>
      <w:r>
        <w:rPr>
          <w:rFonts w:cs="Arial"/>
          <w:szCs w:val="20"/>
        </w:rPr>
        <w:t>Bodenbiozönose ohne Besonderheiten</w:t>
      </w:r>
    </w:p>
    <w:p>
      <w:pPr>
        <w:pStyle w:val="Normal"/>
        <w:ind w:left="1701" w:right="0" w:hanging="992"/>
        <w:jc w:val="both"/>
        <w:rPr>
          <w:rFonts w:cs="Arial"/>
          <w:szCs w:val="20"/>
        </w:rPr>
      </w:pPr>
      <w:r>
        <w:rPr>
          <w:rFonts w:cs="Arial"/>
          <w:b/>
          <w:szCs w:val="20"/>
        </w:rPr>
        <w:t xml:space="preserve">= BLGT B1: </w:t>
      </w:r>
      <w:r>
        <w:rPr>
          <w:rFonts w:cs="Arial"/>
          <w:szCs w:val="20"/>
        </w:rPr>
        <w:t>oft hohe Abundanz von Enchyträen und Hornmilben (BLGT B1), aeromorphe Auflage-Humusformen dominieren</w:t>
      </w:r>
    </w:p>
    <w:p>
      <w:pPr>
        <w:pStyle w:val="Normal"/>
        <w:jc w:val="both"/>
        <w:rPr>
          <w:rFonts w:cs="Arial"/>
          <w:szCs w:val="20"/>
        </w:rPr>
      </w:pPr>
      <w:r>
        <w:rPr>
          <w:rFonts w:cs="Arial"/>
          <w:szCs w:val="20"/>
        </w:rPr>
      </w:r>
    </w:p>
    <w:p>
      <w:pPr>
        <w:pStyle w:val="Normal"/>
        <w:jc w:val="both"/>
        <w:rPr>
          <w:rFonts w:cs="Arial"/>
          <w:szCs w:val="20"/>
        </w:rPr>
      </w:pPr>
      <w:r>
        <w:rPr>
          <w:rFonts w:cs="Arial"/>
          <w:b/>
          <w:szCs w:val="20"/>
        </w:rPr>
        <w:t xml:space="preserve">Bodenkundliche Feuchtestufe 9 oder 10 </w:t>
      </w:r>
      <w:r>
        <w:rPr>
          <w:rFonts w:cs="Arial"/>
          <w:szCs w:val="20"/>
        </w:rPr>
        <w:t>(</w:t>
      </w:r>
      <w:r>
        <w:rPr>
          <w:rFonts w:cs="Arial"/>
          <w:i/>
          <w:szCs w:val="20"/>
        </w:rPr>
        <w:t>stark feucht bis nass</w:t>
      </w:r>
      <w:r>
        <w:rPr>
          <w:rFonts w:cs="Arial"/>
          <w:szCs w:val="20"/>
        </w:rPr>
        <w:t>)</w:t>
      </w:r>
    </w:p>
    <w:p>
      <w:pPr>
        <w:pStyle w:val="Normal"/>
        <w:ind w:left="1843" w:right="0" w:hanging="1134"/>
        <w:jc w:val="both"/>
        <w:rPr>
          <w:rFonts w:cs="Arial"/>
          <w:szCs w:val="20"/>
        </w:rPr>
      </w:pPr>
      <w:r>
        <w:rPr>
          <w:rFonts w:cs="Arial"/>
          <w:b/>
          <w:szCs w:val="20"/>
        </w:rPr>
        <w:t>= BLGT A2</w:t>
      </w:r>
      <w:r>
        <w:rPr>
          <w:rFonts w:cs="Arial"/>
          <w:szCs w:val="20"/>
        </w:rPr>
        <w:t>: nässeliebende und Luftmangel tolerierende Bodenbiozönose, anecische Wurm</w:t>
        <w:softHyphen/>
        <w:t>arten fehlen; aerohydromorphe und hydromorphe Mull-Humusformen dominieren</w:t>
      </w:r>
    </w:p>
    <w:p>
      <w:pPr>
        <w:pStyle w:val="Normal"/>
        <w:ind w:left="1843" w:right="0" w:hanging="1134"/>
        <w:jc w:val="both"/>
        <w:rPr>
          <w:rFonts w:cs="Arial"/>
          <w:szCs w:val="20"/>
        </w:rPr>
      </w:pPr>
      <w:r>
        <w:rPr>
          <w:rFonts w:cs="Arial"/>
          <w:b/>
          <w:szCs w:val="20"/>
        </w:rPr>
        <w:t>= BLGT B2</w:t>
      </w:r>
      <w:r>
        <w:rPr>
          <w:rFonts w:cs="Arial"/>
          <w:szCs w:val="20"/>
        </w:rPr>
        <w:t>: Nässe und Säure tolerierende Enchyträen, aerohydromorphe und hydromorphe Auflage-Humusformen dominieren</w:t>
      </w:r>
    </w:p>
    <w:p>
      <w:pPr>
        <w:pStyle w:val="Normal"/>
        <w:ind w:left="709" w:right="0" w:hanging="0"/>
        <w:jc w:val="both"/>
        <w:rPr>
          <w:rFonts w:cs="Arial"/>
          <w:b/>
          <w:szCs w:val="20"/>
        </w:rPr>
      </w:pPr>
      <w:r>
        <w:rPr>
          <w:rFonts w:cs="Arial"/>
          <w:b/>
          <w:szCs w:val="20"/>
        </w:rPr>
      </w:r>
    </w:p>
    <w:p>
      <w:pPr>
        <w:pStyle w:val="Normal"/>
        <w:ind w:left="709" w:right="0" w:hanging="709"/>
        <w:jc w:val="both"/>
        <w:rPr>
          <w:rFonts w:cs="Arial"/>
          <w:szCs w:val="20"/>
        </w:rPr>
      </w:pPr>
      <w:r>
        <w:rPr>
          <w:rFonts w:cs="Arial"/>
          <w:b/>
          <w:szCs w:val="20"/>
        </w:rPr>
        <w:t xml:space="preserve">Bodenkundliche Feuchtestufe 0 oder 1 </w:t>
      </w:r>
      <w:r>
        <w:rPr>
          <w:rFonts w:cs="Arial"/>
          <w:szCs w:val="20"/>
        </w:rPr>
        <w:t>(</w:t>
      </w:r>
      <w:r>
        <w:rPr>
          <w:rFonts w:cs="Arial"/>
          <w:i/>
          <w:szCs w:val="20"/>
        </w:rPr>
        <w:t>dürr bis stark trocken</w:t>
      </w:r>
      <w:r>
        <w:rPr>
          <w:rFonts w:cs="Arial"/>
          <w:szCs w:val="20"/>
        </w:rPr>
        <w:t>)</w:t>
      </w:r>
    </w:p>
    <w:p>
      <w:pPr>
        <w:pStyle w:val="Normal"/>
        <w:ind w:left="1701" w:right="0" w:hanging="992"/>
        <w:jc w:val="both"/>
        <w:rPr>
          <w:rFonts w:cs="Arial"/>
          <w:szCs w:val="20"/>
        </w:rPr>
      </w:pPr>
      <w:r>
        <w:rPr>
          <w:rFonts w:cs="Arial"/>
          <w:b/>
          <w:szCs w:val="20"/>
        </w:rPr>
        <w:t>= BLGT A3</w:t>
      </w:r>
      <w:r>
        <w:rPr>
          <w:rFonts w:cs="Arial"/>
          <w:szCs w:val="20"/>
        </w:rPr>
        <w:t>: wärmeliebende und Trockenheit tolerierende Bodenbiozönose</w:t>
      </w:r>
    </w:p>
    <w:p>
      <w:pPr>
        <w:pStyle w:val="Normal"/>
        <w:ind w:left="1701" w:right="0" w:hanging="992"/>
        <w:jc w:val="both"/>
        <w:rPr>
          <w:rFonts w:cs="Arial"/>
          <w:szCs w:val="20"/>
        </w:rPr>
      </w:pPr>
      <w:r>
        <w:rPr>
          <w:rFonts w:cs="Arial"/>
          <w:b/>
          <w:szCs w:val="20"/>
        </w:rPr>
        <w:t>= BLGT B3</w:t>
      </w:r>
      <w:r>
        <w:rPr>
          <w:rFonts w:cs="Arial"/>
          <w:szCs w:val="20"/>
        </w:rPr>
        <w:t>: Trockenheit und Säure tolerierende Bodenbiozönose</w:t>
      </w:r>
    </w:p>
    <w:p>
      <w:pPr>
        <w:pStyle w:val="Normal"/>
        <w:rPr>
          <w:rFonts w:cs="Arial"/>
          <w:szCs w:val="20"/>
          <w:u w:val="single"/>
        </w:rPr>
      </w:pPr>
      <w:r>
        <w:rPr>
          <w:rFonts w:cs="Arial"/>
          <w:szCs w:val="20"/>
          <w:u w:val="single"/>
        </w:rPr>
      </w:r>
    </w:p>
    <w:p>
      <w:pPr>
        <w:pStyle w:val="Normal"/>
        <w:spacing w:before="0" w:after="120"/>
        <w:rPr>
          <w:rFonts w:cs="Arial"/>
          <w:szCs w:val="20"/>
          <w:u w:val="single"/>
        </w:rPr>
      </w:pPr>
      <w:r>
        <w:rPr>
          <w:rFonts w:cs="Arial"/>
          <w:szCs w:val="20"/>
          <w:u w:val="single"/>
        </w:rPr>
        <w:t>Ebene 3.1 – Unterscheidung nach der Nutzung (</w:t>
      </w:r>
      <w:r>
        <w:rPr>
          <w:rFonts w:cs="Arial"/>
          <w:i/>
          <w:szCs w:val="20"/>
          <w:u w:val="single"/>
        </w:rPr>
        <w:t>nur für BLGT A1</w:t>
      </w:r>
      <w:r>
        <w:rPr>
          <w:rFonts w:cs="Arial"/>
          <w:szCs w:val="20"/>
          <w:u w:val="single"/>
        </w:rPr>
        <w:t>)</w:t>
      </w:r>
    </w:p>
    <w:p>
      <w:pPr>
        <w:pStyle w:val="Normal"/>
        <w:ind w:left="1985" w:right="0" w:hanging="1985"/>
        <w:rPr>
          <w:rFonts w:cs="Arial"/>
          <w:szCs w:val="20"/>
        </w:rPr>
      </w:pPr>
      <w:r>
        <w:rPr>
          <w:rFonts w:cs="Arial"/>
          <w:b/>
          <w:szCs w:val="20"/>
        </w:rPr>
        <w:t>BLGT A1.1 bei Wald</w:t>
      </w:r>
      <w:r>
        <w:rPr>
          <w:rFonts w:cs="Arial"/>
          <w:szCs w:val="20"/>
        </w:rPr>
        <w:t>: epigäische, endogäische und anecische Regenwürmer sowie Streubewohner (Hornmilben, Tausendfüßer und Asseln) kommen vor</w:t>
      </w:r>
    </w:p>
    <w:p>
      <w:pPr>
        <w:pStyle w:val="Normal"/>
        <w:ind w:left="1985" w:right="0" w:hanging="1985"/>
        <w:rPr>
          <w:rFonts w:cs="Arial"/>
          <w:szCs w:val="20"/>
        </w:rPr>
      </w:pPr>
      <w:r>
        <w:rPr>
          <w:rFonts w:cs="Arial"/>
          <w:b/>
          <w:szCs w:val="20"/>
        </w:rPr>
        <w:t xml:space="preserve">BLGT A1.2 bei Grünland </w:t>
      </w:r>
      <w:r>
        <w:rPr>
          <w:rFonts w:cs="Arial"/>
          <w:szCs w:val="20"/>
        </w:rPr>
        <w:t xml:space="preserve">(Feuchtestufe 2-7): epigäische, endogäische und anecische Regenwürmer kommen vor </w:t>
      </w:r>
    </w:p>
    <w:p>
      <w:pPr>
        <w:pStyle w:val="Normal"/>
        <w:ind w:left="1985" w:right="0" w:hanging="1985"/>
        <w:jc w:val="both"/>
        <w:rPr>
          <w:rFonts w:cs="Arial"/>
          <w:szCs w:val="20"/>
        </w:rPr>
      </w:pPr>
      <w:r>
        <w:rPr>
          <w:rFonts w:cs="Arial"/>
          <w:b/>
          <w:szCs w:val="20"/>
        </w:rPr>
        <w:t>BLGT A1.3 bei Feuchtgrünland</w:t>
      </w:r>
      <w:r>
        <w:rPr>
          <w:rFonts w:cs="Arial"/>
          <w:szCs w:val="20"/>
        </w:rPr>
        <w:t xml:space="preserve"> (Feuchtestufe 8): epigäische, endogäische und anecische Regen</w:t>
        <w:softHyphen/>
        <w:t xml:space="preserve">würmer sowie Feuchte liebende Horn- und Raubmilben kommen vor </w:t>
      </w:r>
    </w:p>
    <w:p>
      <w:pPr>
        <w:pStyle w:val="Normal"/>
        <w:ind w:left="1843" w:right="0" w:hanging="1843"/>
        <w:jc w:val="both"/>
        <w:rPr>
          <w:rFonts w:cs="Arial"/>
          <w:szCs w:val="20"/>
        </w:rPr>
      </w:pPr>
      <w:r>
        <w:rPr>
          <w:rFonts w:cs="Arial"/>
          <w:b/>
          <w:szCs w:val="20"/>
        </w:rPr>
        <w:t>BLGT A1.4 bei Acker</w:t>
      </w:r>
      <w:r>
        <w:rPr>
          <w:rFonts w:cs="Arial"/>
          <w:szCs w:val="20"/>
        </w:rPr>
        <w:t>: Auflage fehlt, daher keine Streubewohner</w:t>
      </w:r>
    </w:p>
    <w:p>
      <w:pPr>
        <w:pStyle w:val="Normal"/>
        <w:rPr>
          <w:rFonts w:cs="Arial"/>
          <w:szCs w:val="20"/>
          <w:u w:val="single"/>
        </w:rPr>
      </w:pPr>
      <w:r>
        <w:rPr>
          <w:rFonts w:cs="Arial"/>
          <w:szCs w:val="20"/>
          <w:u w:val="single"/>
        </w:rPr>
      </w:r>
    </w:p>
    <w:p>
      <w:pPr>
        <w:pStyle w:val="Normal"/>
        <w:spacing w:before="0" w:after="120"/>
        <w:rPr>
          <w:rFonts w:cs="Arial"/>
          <w:szCs w:val="20"/>
          <w:u w:val="single"/>
        </w:rPr>
      </w:pPr>
      <w:r>
        <w:rPr>
          <w:rFonts w:cs="Arial"/>
          <w:szCs w:val="20"/>
          <w:u w:val="single"/>
        </w:rPr>
        <w:t>Ebene 3.2 – Unterscheidung nach dem pH-Wert (</w:t>
      </w:r>
      <w:r>
        <w:rPr>
          <w:rFonts w:cs="Arial"/>
          <w:i/>
          <w:szCs w:val="20"/>
          <w:u w:val="single"/>
        </w:rPr>
        <w:t>nur für BLGT A2</w:t>
      </w:r>
      <w:r>
        <w:rPr>
          <w:rFonts w:cs="Arial"/>
          <w:szCs w:val="20"/>
          <w:u w:val="single"/>
        </w:rPr>
        <w:t>)</w:t>
      </w:r>
    </w:p>
    <w:p>
      <w:pPr>
        <w:pStyle w:val="Normal"/>
        <w:rPr>
          <w:rFonts w:cs="Arial"/>
          <w:i/>
          <w:szCs w:val="20"/>
        </w:rPr>
      </w:pPr>
      <w:r>
        <w:rPr>
          <w:rFonts w:cs="Arial"/>
          <w:b/>
          <w:szCs w:val="20"/>
        </w:rPr>
        <w:t xml:space="preserve">BLGT A2.1 bei pH-Wert 4,2 bis 5,5: </w:t>
      </w:r>
      <w:r>
        <w:rPr>
          <w:rFonts w:cs="Arial"/>
          <w:szCs w:val="20"/>
        </w:rPr>
        <w:t xml:space="preserve">charakteristische Regenwurmart </w:t>
      </w:r>
      <w:r>
        <w:rPr>
          <w:rFonts w:cs="Arial"/>
          <w:i/>
          <w:szCs w:val="20"/>
        </w:rPr>
        <w:t>Eisenella tetraedra</w:t>
      </w:r>
    </w:p>
    <w:p>
      <w:pPr>
        <w:pStyle w:val="Normal"/>
        <w:rPr>
          <w:rFonts w:cs="Arial"/>
          <w:i/>
          <w:szCs w:val="20"/>
        </w:rPr>
      </w:pPr>
      <w:r>
        <w:rPr>
          <w:rFonts w:cs="Arial"/>
          <w:b/>
          <w:szCs w:val="20"/>
        </w:rPr>
        <w:t xml:space="preserve">BLGT A2.2 bei pH-Wert &gt;5,5: </w:t>
      </w:r>
      <w:r>
        <w:rPr>
          <w:rFonts w:cs="Arial"/>
          <w:szCs w:val="20"/>
        </w:rPr>
        <w:t xml:space="preserve">charakteristische Regenwurmart </w:t>
      </w:r>
      <w:r>
        <w:rPr>
          <w:rFonts w:cs="Arial"/>
          <w:i/>
          <w:szCs w:val="20"/>
        </w:rPr>
        <w:t>Octolasion tyrtaeum</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spacing w:before="0" w:after="120"/>
        <w:rPr>
          <w:rFonts w:cs="Arial"/>
          <w:szCs w:val="20"/>
          <w:u w:val="single"/>
        </w:rPr>
      </w:pPr>
      <w:r>
        <w:rPr>
          <w:rFonts w:cs="Arial"/>
          <w:szCs w:val="20"/>
          <w:u w:val="single"/>
        </w:rPr>
        <w:t>Ebene 4 – Unterscheidung nach Textur des Oberbodens (</w:t>
      </w:r>
      <w:r>
        <w:rPr>
          <w:rFonts w:cs="Arial"/>
          <w:i/>
          <w:szCs w:val="20"/>
          <w:u w:val="single"/>
        </w:rPr>
        <w:t>nur für BLGT A1.2 und A1.4</w:t>
      </w:r>
      <w:r>
        <w:rPr>
          <w:rFonts w:cs="Arial"/>
          <w:szCs w:val="20"/>
          <w:u w:val="single"/>
        </w:rPr>
        <w:t>)</w:t>
      </w:r>
    </w:p>
    <w:p>
      <w:pPr>
        <w:pStyle w:val="Normal"/>
        <w:rPr>
          <w:rFonts w:cs="Arial"/>
          <w:szCs w:val="20"/>
        </w:rPr>
      </w:pPr>
      <w:r>
        <w:rPr>
          <w:rFonts w:cs="Arial"/>
          <w:b/>
          <w:szCs w:val="20"/>
        </w:rPr>
        <w:t>BLGT A1.2.1</w:t>
      </w:r>
      <w:r>
        <w:rPr>
          <w:rFonts w:cs="Arial"/>
          <w:szCs w:val="20"/>
        </w:rPr>
        <w:t xml:space="preserve"> </w:t>
      </w:r>
      <w:r>
        <w:rPr>
          <w:rFonts w:cs="Arial"/>
          <w:b/>
          <w:szCs w:val="20"/>
        </w:rPr>
        <w:t>bei S, uS, lS, tS</w:t>
      </w:r>
      <w:r>
        <w:rPr>
          <w:rFonts w:cs="Arial"/>
          <w:szCs w:val="20"/>
        </w:rPr>
        <w:t>: mittlere mikrobielle Biomasse, hohe Regenwurmbiomasse</w:t>
      </w:r>
    </w:p>
    <w:p>
      <w:pPr>
        <w:pStyle w:val="Normal"/>
        <w:ind w:left="2835" w:right="0" w:hanging="2835"/>
        <w:rPr>
          <w:rFonts w:cs="Arial"/>
          <w:szCs w:val="20"/>
        </w:rPr>
      </w:pPr>
      <w:r>
        <w:rPr>
          <w:rFonts w:cs="Arial"/>
          <w:b/>
          <w:szCs w:val="20"/>
        </w:rPr>
        <w:t>BLGT A1.2.2 bei sU, U, lU, sL, uL, L</w:t>
      </w:r>
      <w:r>
        <w:rPr>
          <w:rFonts w:cs="Arial"/>
          <w:szCs w:val="20"/>
        </w:rPr>
        <w:t>: hohe mikrobielle Biomasse, mittlere bis sehr hohe Regenwurm</w:t>
        <w:softHyphen/>
        <w:t>biomasse</w:t>
      </w:r>
    </w:p>
    <w:p>
      <w:pPr>
        <w:pStyle w:val="Normal"/>
        <w:rPr>
          <w:rFonts w:cs="Arial"/>
          <w:szCs w:val="20"/>
        </w:rPr>
      </w:pPr>
      <w:r>
        <w:rPr>
          <w:rFonts w:cs="Arial"/>
          <w:b/>
          <w:szCs w:val="20"/>
        </w:rPr>
        <w:t>BLGT A1.2.3 bei T, lT und Mooren</w:t>
      </w:r>
      <w:r>
        <w:rPr>
          <w:rFonts w:cs="Arial"/>
          <w:szCs w:val="20"/>
        </w:rPr>
        <w:t>: sehr hohe mikrobielle Biomasse, hohe Regenwurmbiomasse</w:t>
      </w:r>
    </w:p>
    <w:p>
      <w:pPr>
        <w:pStyle w:val="Normal"/>
        <w:rPr>
          <w:rFonts w:cs="Arial"/>
          <w:szCs w:val="20"/>
        </w:rPr>
      </w:pPr>
      <w:r>
        <w:rPr>
          <w:rFonts w:cs="Arial"/>
          <w:szCs w:val="20"/>
        </w:rPr>
      </w:r>
    </w:p>
    <w:p>
      <w:pPr>
        <w:pStyle w:val="Normal"/>
        <w:rPr>
          <w:rFonts w:cs="Arial"/>
          <w:szCs w:val="20"/>
        </w:rPr>
      </w:pPr>
      <w:r>
        <w:rPr>
          <w:rFonts w:cs="Arial"/>
          <w:b/>
          <w:szCs w:val="20"/>
        </w:rPr>
        <w:t>BLGT A1.4.1</w:t>
      </w:r>
      <w:r>
        <w:rPr>
          <w:rFonts w:cs="Arial"/>
          <w:szCs w:val="20"/>
        </w:rPr>
        <w:t xml:space="preserve"> </w:t>
      </w:r>
      <w:r>
        <w:rPr>
          <w:rFonts w:cs="Arial"/>
          <w:b/>
          <w:szCs w:val="20"/>
        </w:rPr>
        <w:t xml:space="preserve">bei S </w:t>
      </w:r>
      <w:r>
        <w:rPr>
          <w:rFonts w:cs="Arial"/>
          <w:szCs w:val="20"/>
        </w:rPr>
        <w:t>(</w:t>
      </w:r>
      <w:r>
        <w:rPr>
          <w:rFonts w:cs="Arial"/>
          <w:i/>
          <w:szCs w:val="20"/>
        </w:rPr>
        <w:t>nach österreichischer Systematik einzige Bodenart mit T</w:t>
      </w:r>
      <w:r>
        <w:rPr>
          <w:rFonts w:ascii="Symbol" w:hAnsi="Symbol"/>
          <w:i/>
          <w:szCs w:val="20"/>
        </w:rPr>
        <w:t></w:t>
      </w:r>
      <w:r>
        <w:rPr>
          <w:rFonts w:cs="Arial"/>
          <w:i/>
          <w:szCs w:val="20"/>
        </w:rPr>
        <w:t>8% und U</w:t>
      </w:r>
      <w:r>
        <w:rPr>
          <w:rFonts w:ascii="Symbol" w:hAnsi="Symbol"/>
          <w:i/>
          <w:szCs w:val="20"/>
        </w:rPr>
        <w:t></w:t>
      </w:r>
      <w:r>
        <w:rPr>
          <w:rFonts w:cs="Arial"/>
          <w:i/>
          <w:szCs w:val="20"/>
        </w:rPr>
        <w:t>50%</w:t>
      </w:r>
      <w:r>
        <w:rPr>
          <w:rFonts w:cs="Arial"/>
          <w:szCs w:val="20"/>
        </w:rPr>
        <w:t xml:space="preserve">): </w:t>
        <w:tab/>
        <w:tab/>
        <w:t>geringe mikrobielle Biomasse, geringe Regenwurmbiomasse, anecische Arten fehlen</w:t>
      </w:r>
    </w:p>
    <w:p>
      <w:pPr>
        <w:pStyle w:val="Normal"/>
        <w:rPr>
          <w:rFonts w:cs="Arial"/>
          <w:szCs w:val="20"/>
        </w:rPr>
      </w:pPr>
      <w:r>
        <w:rPr>
          <w:rFonts w:cs="Arial"/>
          <w:b/>
          <w:szCs w:val="20"/>
        </w:rPr>
        <w:t>BLGT A1.4.2 bei uS, lS, tS, sU, U, lU, sL, uL, L</w:t>
      </w:r>
      <w:r>
        <w:rPr>
          <w:rFonts w:cs="Arial"/>
          <w:szCs w:val="20"/>
        </w:rPr>
        <w:t xml:space="preserve">: mittlere mikrobielle Biomasse, mittlere bis hohe </w:t>
        <w:tab/>
        <w:tab/>
        <w:t>Regenwurmbiomasse</w:t>
      </w:r>
    </w:p>
    <w:p>
      <w:pPr>
        <w:pStyle w:val="Normal"/>
        <w:rPr>
          <w:rFonts w:cs="Arial"/>
          <w:szCs w:val="20"/>
        </w:rPr>
      </w:pPr>
      <w:r>
        <w:rPr>
          <w:rFonts w:cs="Arial"/>
          <w:b/>
          <w:szCs w:val="20"/>
        </w:rPr>
        <w:t>BLGT A1.4.3 bei T, lT und Mooren</w:t>
      </w:r>
      <w:r>
        <w:rPr>
          <w:rFonts w:cs="Arial"/>
          <w:szCs w:val="20"/>
        </w:rPr>
        <w:t>: hohe mikrobielle Biomasse, mittlere Regenwurmbiomasse</w:t>
      </w:r>
    </w:p>
    <w:p>
      <w:pPr>
        <w:pStyle w:val="Normal"/>
        <w:rPr>
          <w:rFonts w:cs="Arial"/>
          <w:szCs w:val="20"/>
        </w:rPr>
      </w:pPr>
      <w:r>
        <w:rPr>
          <w:rFonts w:cs="Arial"/>
          <w:szCs w:val="20"/>
        </w:rPr>
      </w:r>
    </w:p>
    <w:p>
      <w:pPr>
        <w:pStyle w:val="Normal"/>
        <w:pageBreakBefore/>
        <w:jc w:val="both"/>
        <w:rPr>
          <w:rFonts w:cs="Arial"/>
          <w:szCs w:val="20"/>
        </w:rPr>
      </w:pPr>
      <w:r>
        <w:rPr>
          <w:rFonts w:cs="Arial"/>
          <w:szCs w:val="20"/>
        </w:rPr>
        <w:t xml:space="preserve">Die Umsetzung des beschriebenen Schemas zur Einteilung in 14 Bodenlebengemeinschaftstypen kann folgendermaßen zusammengefasst werden: </w:t>
      </w:r>
    </w:p>
    <w:p>
      <w:pPr>
        <w:pStyle w:val="Normal"/>
        <w:rPr/>
      </w:pPr>
      <w:r>
        <w:rPr/>
      </w:r>
    </w:p>
    <w:tbl>
      <w:tblPr>
        <w:jc w:val="left"/>
        <w:tblInd w:w="9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857"/>
        <w:gridCol w:w="1145"/>
        <w:gridCol w:w="1721"/>
        <w:gridCol w:w="2035"/>
        <w:gridCol w:w="1976"/>
        <w:gridCol w:w="1340"/>
      </w:tblGrid>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pPr>
            <w:r>
              <w:rPr/>
              <w:t>BLGT</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vertAlign w:val="superscript"/>
              </w:rPr>
            </w:pPr>
            <w:r>
              <w:rPr/>
              <w:t>pH-Wert</w:t>
            </w:r>
            <w:r>
              <w:rPr>
                <w:b w:val="false"/>
                <w:vertAlign w:val="superscript"/>
              </w:rPr>
              <w:t xml:space="preserve"> 1)</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
                <w:iCs/>
              </w:rPr>
            </w:pPr>
            <w:r>
              <w:rPr>
                <w:iCs/>
              </w:rPr>
              <w:t>Feuchtestufe</w:t>
            </w:r>
            <w:r>
              <w:rPr>
                <w:b w:val="false"/>
                <w:i/>
                <w:iCs/>
              </w:rPr>
              <w:t xml:space="preserve"> </w:t>
            </w:r>
            <w:r>
              <w:rPr>
                <w:b w:val="false"/>
                <w:vertAlign w:val="superscript"/>
              </w:rPr>
              <w:t>2)</w:t>
            </w:r>
            <w:r>
              <w:rPr>
                <w:b w:val="false"/>
                <w:i/>
                <w:iCs/>
              </w:rPr>
              <w:t xml:space="preserve"> (S161)</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
              </w:rPr>
            </w:pPr>
            <w:r>
              <w:rPr/>
              <w:t xml:space="preserve">Nutzung </w:t>
            </w:r>
            <w:r>
              <w:rPr>
                <w:b w:val="false"/>
                <w:i/>
              </w:rPr>
              <w:t>(S178)</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vertAlign w:val="superscript"/>
              </w:rPr>
            </w:pPr>
            <w:r>
              <w:rPr/>
              <w:t xml:space="preserve">Bodenart </w:t>
            </w:r>
            <w:r>
              <w:rPr>
                <w:b w:val="false"/>
                <w:vertAlign w:val="superscript"/>
              </w:rPr>
              <w:t>3)</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rPr>
                <w:b w:val="false"/>
                <w:vertAlign w:val="superscript"/>
                <w:lang w:val="en-GB"/>
              </w:rPr>
            </w:pPr>
            <w:r>
              <w:rPr>
                <w:lang w:val="en-GB"/>
              </w:rPr>
              <w:t xml:space="preserve">Bewertung </w:t>
            </w:r>
            <w:r>
              <w:rPr>
                <w:rFonts w:cs="Arial"/>
                <w:szCs w:val="20"/>
              </w:rPr>
              <w:t>Leben_Org</w:t>
            </w:r>
            <w:r>
              <w:rPr>
                <w:b w:val="false"/>
                <w:vertAlign w:val="superscript"/>
                <w:lang w:val="en-GB"/>
              </w:rPr>
              <w:t xml:space="preserve"> 4)</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en-GB"/>
              </w:rPr>
            </w:pPr>
            <w:r>
              <w:rPr>
                <w:lang w:val="en-GB"/>
              </w:rPr>
              <w:t>A1.1</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en-GB"/>
              </w:rPr>
            </w:pPr>
            <w:r>
              <w:rPr>
                <w:rFonts w:ascii="Symbol" w:hAnsi="Symbol"/>
              </w:rPr>
              <w:t></w:t>
            </w:r>
            <w:r>
              <w:rPr>
                <w:lang w:val="en-GB"/>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lang w:val="en-GB"/>
              </w:rPr>
            </w:pPr>
            <w:r>
              <w:rPr>
                <w:iCs/>
                <w:lang w:val="en-GB"/>
              </w:rPr>
              <w:t xml:space="preserve">tr bis fe </w:t>
              <w:br/>
              <w:t>(220-260,280)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en-GB"/>
              </w:rPr>
            </w:pPr>
            <w:r>
              <w:rPr>
                <w:lang w:val="en-GB"/>
              </w:rPr>
              <w:t>Wald (100-130)</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en-GB"/>
              </w:rPr>
            </w:pPr>
            <w:r>
              <w:rPr>
                <w:lang w:val="en-GB"/>
              </w:rPr>
              <w:t>-</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lang w:val="en-GB"/>
              </w:rPr>
            </w:pPr>
            <w:r>
              <w:rPr>
                <w:b/>
                <w:lang w:val="en-GB"/>
              </w:rPr>
              <w:t>3</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en-GB"/>
              </w:rPr>
            </w:pPr>
            <w:r>
              <w:rPr>
                <w:lang w:val="en-GB"/>
              </w:rPr>
              <w:t>A1.2.1</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en-GB"/>
              </w:rPr>
            </w:pPr>
            <w:r>
              <w:rPr>
                <w:rFonts w:ascii="Symbol" w:hAnsi="Symbol"/>
              </w:rPr>
              <w:t></w:t>
            </w:r>
            <w:r>
              <w:rPr>
                <w:lang w:val="en-GB"/>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lang w:val="en-GB"/>
              </w:rPr>
            </w:pPr>
            <w:r>
              <w:rPr>
                <w:iCs/>
                <w:lang w:val="en-GB"/>
              </w:rPr>
              <w:t>tr bis mfe</w:t>
              <w:br/>
              <w:t>(220-250,280)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en-GB"/>
              </w:rPr>
            </w:pPr>
            <w:r>
              <w:rPr>
                <w:lang w:val="en-GB"/>
              </w:rPr>
              <w:t>Grünland (200-290, 2A0, 2A1)</w:t>
            </w:r>
          </w:p>
          <w:p>
            <w:pPr>
              <w:pStyle w:val="TabellenInhalt"/>
              <w:suppressLineNumbers/>
              <w:spacing w:lineRule="auto" w:line="240" w:before="60" w:after="60"/>
              <w:jc w:val="center"/>
              <w:rPr>
                <w:lang w:val="en-GB"/>
              </w:rPr>
            </w:pPr>
            <w:r>
              <w:rPr>
                <w:lang w:val="en-GB"/>
              </w:rPr>
              <w:t>Sonderkultur(2990)</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en-GB"/>
              </w:rPr>
            </w:pPr>
            <w:r>
              <w:rPr>
                <w:lang w:val="en-GB"/>
              </w:rPr>
              <w:t>S, uS, lS, tS (101,121,231,341)</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lang w:val="en-GB"/>
              </w:rPr>
            </w:pPr>
            <w:r>
              <w:rPr>
                <w:b/>
                <w:lang w:val="en-GB"/>
              </w:rPr>
              <w:t>2</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en-GB"/>
              </w:rPr>
            </w:pPr>
            <w:r>
              <w:rPr>
                <w:lang w:val="en-GB"/>
              </w:rPr>
              <w:t>A1.2.2</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en-GB"/>
              </w:rPr>
            </w:pPr>
            <w:r>
              <w:rPr>
                <w:rFonts w:ascii="Symbol" w:hAnsi="Symbol"/>
              </w:rPr>
              <w:t></w:t>
            </w:r>
            <w:r>
              <w:rPr>
                <w:lang w:val="en-GB"/>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lang w:val="en-GB"/>
              </w:rPr>
            </w:pPr>
            <w:r>
              <w:rPr>
                <w:iCs/>
                <w:lang w:val="en-GB"/>
              </w:rPr>
              <w:t>tr bis mfe</w:t>
              <w:br/>
              <w:t>(220-250,280)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en-US"/>
              </w:rPr>
            </w:pPr>
            <w:r>
              <w:rPr>
                <w:lang w:val="en-GB"/>
              </w:rPr>
              <w:t>Grü</w:t>
            </w:r>
            <w:r>
              <w:rPr>
                <w:lang w:val="en-US"/>
              </w:rPr>
              <w:t>nland (200-290, 2A0, 2A1)</w:t>
            </w:r>
          </w:p>
          <w:p>
            <w:pPr>
              <w:pStyle w:val="TabellenInhalt"/>
              <w:suppressLineNumbers/>
              <w:spacing w:lineRule="auto" w:line="240" w:before="60" w:after="60"/>
              <w:jc w:val="center"/>
              <w:rPr>
                <w:lang w:val="en-GB"/>
              </w:rPr>
            </w:pPr>
            <w:r>
              <w:rPr>
                <w:lang w:val="en-GB"/>
              </w:rPr>
              <w:t>Sonderkultur(2990)</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pl-PL"/>
              </w:rPr>
            </w:pPr>
            <w:r>
              <w:rPr>
                <w:lang w:val="pl-PL"/>
              </w:rPr>
              <w:t>sU, U, lU, sL, uL, L (212,202,332,313,423,403)</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lang w:val="fr-FR"/>
              </w:rPr>
            </w:pPr>
            <w:r>
              <w:rPr>
                <w:b/>
                <w:lang w:val="fr-FR"/>
              </w:rPr>
              <w:t>1</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A1.2.3</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rFonts w:ascii="Symbol" w:hAnsi="Symbol"/>
              </w:rPr>
              <w:t></w:t>
            </w:r>
            <w:r>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lang w:val="en-GB"/>
              </w:rPr>
            </w:pPr>
            <w:r>
              <w:rPr>
                <w:iCs/>
                <w:lang w:val="en-GB"/>
              </w:rPr>
              <w:t>tr bis mfe</w:t>
              <w:br/>
              <w:t>(220-250,280)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Grünland (200-290, 2A0, 2A1)</w:t>
            </w:r>
          </w:p>
          <w:p>
            <w:pPr>
              <w:pStyle w:val="TabellenInhalt"/>
              <w:suppressLineNumbers/>
              <w:spacing w:lineRule="auto" w:line="240" w:before="60" w:after="60"/>
              <w:jc w:val="center"/>
              <w:rPr>
                <w:lang w:val="en-GB"/>
              </w:rPr>
            </w:pPr>
            <w:r>
              <w:rPr>
                <w:lang w:val="en-GB"/>
              </w:rPr>
              <w:t>Sonderkultur(2990)</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
              </w:rPr>
            </w:pPr>
            <w:r>
              <w:rPr/>
              <w:t xml:space="preserve">T, lT (504,534) </w:t>
            </w:r>
            <w:r>
              <w:rPr>
                <w:i/>
              </w:rPr>
              <w:t>oder Bodentyp (S322) = Moor (2100-2120)</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2</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A1.3</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rFonts w:ascii="Symbol" w:hAnsi="Symbol"/>
              </w:rPr>
              <w:t></w:t>
            </w:r>
            <w:r>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rPr>
            </w:pPr>
            <w:r>
              <w:rPr>
                <w:iCs/>
              </w:rPr>
              <w:t>fe (260)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Feuchtgrünland (200-290, 2A0, 2A1)</w:t>
            </w:r>
          </w:p>
          <w:p>
            <w:pPr>
              <w:pStyle w:val="TabellenInhalt"/>
              <w:suppressLineNumbers/>
              <w:spacing w:lineRule="auto" w:line="240" w:before="60" w:after="60"/>
              <w:jc w:val="center"/>
              <w:rPr>
                <w:lang w:val="en-GB"/>
              </w:rPr>
            </w:pPr>
            <w:r>
              <w:rPr>
                <w:lang w:val="en-GB"/>
              </w:rPr>
              <w:t>Sonderkultur(2990)</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3</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A1.4.1</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rFonts w:ascii="Symbol" w:hAnsi="Symbol"/>
              </w:rPr>
              <w:t></w:t>
            </w:r>
            <w:r>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lang w:val="en-GB"/>
              </w:rPr>
            </w:pPr>
            <w:r>
              <w:rPr>
                <w:iCs/>
                <w:lang w:val="en-GB"/>
              </w:rPr>
              <w:t>tr bis fe</w:t>
              <w:br/>
              <w:t>(220-260,280)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Acker (300, 310)</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S (101)</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A1.4.2</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rFonts w:ascii="Symbol" w:hAnsi="Symbol"/>
              </w:rPr>
              <w:t></w:t>
            </w:r>
            <w:r>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lang w:val="en-GB"/>
              </w:rPr>
            </w:pPr>
            <w:r>
              <w:rPr>
                <w:iCs/>
                <w:lang w:val="en-GB"/>
              </w:rPr>
              <w:t>tr bis fe</w:t>
              <w:br/>
              <w:t>(220-260,280)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Acker (300, 310)</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lang w:val="fr-FR"/>
              </w:rPr>
            </w:pPr>
            <w:r>
              <w:rPr>
                <w:lang w:val="fr-FR"/>
              </w:rPr>
              <w:t>uS, lS, tS, sU, U, lU, sL, uL, L (121-423)</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lang w:val="fr-FR"/>
              </w:rPr>
            </w:pPr>
            <w:r>
              <w:rPr>
                <w:b/>
                <w:lang w:val="fr-FR"/>
              </w:rPr>
              <w:t>2</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A1.4.3</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rFonts w:ascii="Symbol" w:hAnsi="Symbol"/>
              </w:rPr>
              <w:t></w:t>
            </w:r>
            <w:r>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lang w:val="en-GB"/>
              </w:rPr>
            </w:pPr>
            <w:r>
              <w:rPr>
                <w:iCs/>
                <w:lang w:val="en-GB"/>
              </w:rPr>
              <w:t>tr bis fe</w:t>
              <w:br/>
              <w:t>(220-260,280)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Acker (300, 310)</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
              </w:rPr>
            </w:pPr>
            <w:r>
              <w:rPr/>
              <w:t xml:space="preserve">T, lT (504,534) </w:t>
            </w:r>
            <w:r>
              <w:rPr>
                <w:i/>
              </w:rPr>
              <w:t>oder Bodentyp (S322) = Moor (2100-2120)</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3</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A2.1</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rFonts w:ascii="Symbol" w:hAnsi="Symbol"/>
              </w:rPr>
              <w:t></w:t>
            </w:r>
            <w:r>
              <w:rPr/>
              <w:t>5,5</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rPr>
            </w:pPr>
            <w:r>
              <w:rPr>
                <w:iCs/>
              </w:rPr>
              <w:t>nass (170, 270)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A2.2</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rFonts w:ascii="Symbol" w:hAnsi="Symbol"/>
              </w:rPr>
              <w:t></w:t>
            </w:r>
            <w:r>
              <w:rPr/>
              <w:t>4,2 bis &lt;5,5</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rPr>
            </w:pPr>
            <w:r>
              <w:rPr>
                <w:iCs/>
              </w:rPr>
              <w:t>nass (170, 270)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A3</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rFonts w:ascii="Symbol" w:hAnsi="Symbol"/>
              </w:rPr>
              <w:t></w:t>
            </w:r>
            <w:r>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rPr>
            </w:pPr>
            <w:r>
              <w:rPr>
                <w:iCs/>
              </w:rPr>
              <w:t>str (110, 210)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B1</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&lt;4,2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rPr>
            </w:pPr>
            <w:r>
              <w:rPr>
                <w:iCs/>
              </w:rPr>
              <w:t xml:space="preserve">tr bis fe </w:t>
              <w:br/>
              <w:t xml:space="preserve">(120-160, </w:t>
              <w:br/>
              <w:t>220-260)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B2</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&lt;4,2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rPr>
            </w:pPr>
            <w:r>
              <w:rPr>
                <w:iCs/>
              </w:rPr>
              <w:t>nass (170, 270)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5</w:t>
            </w:r>
          </w:p>
        </w:tc>
      </w:tr>
      <w:tr>
        <w:trPr>
          <w:trHeight w:val="340" w:hRule="atLeast"/>
          <w:cantSplit w:val="false"/>
        </w:trPr>
        <w:tc>
          <w:tcPr>
            <w:tcW w:w="8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B3</w:t>
            </w:r>
          </w:p>
        </w:tc>
        <w:tc>
          <w:tcPr>
            <w:tcW w:w="11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&lt;4,2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iCs/>
              </w:rPr>
            </w:pPr>
            <w:r>
              <w:rPr>
                <w:iCs/>
              </w:rPr>
              <w:t>str (110, 210)</w:t>
            </w:r>
          </w:p>
        </w:tc>
        <w:tc>
          <w:tcPr>
            <w:tcW w:w="203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9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w:t>
            </w:r>
          </w:p>
        </w:tc>
        <w:tc>
          <w:tcPr>
            <w:tcW w:w="134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5</w:t>
            </w:r>
          </w:p>
        </w:tc>
      </w:tr>
    </w:tbl>
    <w:p>
      <w:pPr>
        <w:pStyle w:val="Bildunterschrift"/>
        <w:rPr/>
      </w:pPr>
      <w:r>
        <w:rPr/>
        <w:t>Quelle: Beylich et al. (2004: 42), modifiziert</w:t>
      </w:r>
    </w:p>
    <w:p>
      <w:pPr>
        <w:pStyle w:val="Normal"/>
        <w:rPr>
          <w:vertAlign w:val="superscript"/>
        </w:rPr>
      </w:pPr>
      <w:r>
        <w:rPr>
          <w:vertAlign w:val="superscript"/>
        </w:rPr>
      </w:r>
    </w:p>
    <w:p>
      <w:pPr>
        <w:pStyle w:val="Normal"/>
        <w:ind w:left="142" w:right="0" w:hanging="142"/>
        <w:rPr>
          <w:sz w:val="18"/>
        </w:rPr>
      </w:pPr>
      <w:r>
        <w:rPr>
          <w:sz w:val="18"/>
          <w:vertAlign w:val="superscript"/>
        </w:rPr>
        <w:t xml:space="preserve">1) </w:t>
      </w:r>
      <w:r>
        <w:rPr>
          <w:sz w:val="18"/>
        </w:rPr>
        <w:t>pH-Wert (P149 oder B105) des mächtigsten Oberboden-Horizontes (</w:t>
      </w:r>
      <w:r>
        <w:rPr>
          <w:i/>
          <w:sz w:val="18"/>
        </w:rPr>
        <w:t>siehe nachfolgende Anm.</w:t>
      </w:r>
      <w:r>
        <w:rPr>
          <w:sz w:val="18"/>
        </w:rPr>
        <w:t>)</w:t>
      </w:r>
    </w:p>
    <w:p>
      <w:pPr>
        <w:pStyle w:val="Normal"/>
        <w:ind w:left="142" w:right="0" w:hanging="142"/>
        <w:rPr>
          <w:sz w:val="18"/>
        </w:rPr>
      </w:pPr>
      <w:r>
        <w:rPr>
          <w:sz w:val="18"/>
          <w:vertAlign w:val="superscript"/>
        </w:rPr>
        <w:t xml:space="preserve">2) </w:t>
      </w:r>
      <w:r>
        <w:rPr>
          <w:sz w:val="18"/>
        </w:rPr>
        <w:t>Die bodenkundliche Feuchtestufe wird direkt aus dem Feld S161 „Bodenwasserverhältnisse“ abgeleitet; da die Klassifizierung von der in Beylich et al. (2004) verwendeten abweicht, sind die äquivalenten Werte gemäß österreichischer Systematik (Schwarz et al. 1999: 27; siehe Blum et al. 1996 und Englisch &amp; Kilian 1999) angegeben: str=sehr trocken, tr=trocken, mfe=mäßig feucht, fe=feucht, nass</w:t>
      </w:r>
    </w:p>
    <w:p>
      <w:pPr>
        <w:pStyle w:val="Normal"/>
        <w:ind w:left="142" w:right="0" w:hanging="142"/>
        <w:rPr>
          <w:sz w:val="18"/>
        </w:rPr>
      </w:pPr>
      <w:r>
        <w:rPr>
          <w:sz w:val="18"/>
          <w:vertAlign w:val="superscript"/>
        </w:rPr>
        <w:t xml:space="preserve">3) </w:t>
      </w:r>
      <w:r>
        <w:rPr>
          <w:sz w:val="18"/>
        </w:rPr>
        <w:t>Bodenart (P140 oder B204) des mächtigsten Oberboden-Horizontes, auch hier werden die Klassen von Beylich et al. (2004) in die österreichische Systematik übersetzt</w:t>
      </w:r>
    </w:p>
    <w:p>
      <w:pPr>
        <w:pStyle w:val="Normal"/>
        <w:ind w:left="142" w:right="0" w:hanging="142"/>
        <w:rPr>
          <w:rFonts w:cs="Arial"/>
          <w:sz w:val="18"/>
          <w:szCs w:val="20"/>
        </w:rPr>
      </w:pPr>
      <w:r>
        <w:rPr>
          <w:vertAlign w:val="superscript"/>
        </w:rPr>
        <w:t>4)</w:t>
      </w:r>
      <w:r>
        <w:rPr>
          <w:b/>
          <w:vertAlign w:val="superscript"/>
        </w:rPr>
        <w:t xml:space="preserve"> </w:t>
      </w:r>
      <w:r>
        <w:rPr>
          <w:rFonts w:cs="Arial"/>
          <w:sz w:val="18"/>
          <w:szCs w:val="20"/>
        </w:rPr>
        <w:t>Durch die sehr unterschiedlichen Lebensbedingungen lässt sich aus der Bestimmung eines dominierenden Boden</w:t>
        <w:softHyphen/>
        <w:t>lebensgemeinschaftstyps (BLGT) nicht per se eine allgemein gültige Bewertung im Sinne von „sehr hohem bis sehr geringem Potenzial“ ableiten. Eine solche Beurteilung erfordert übergeordnete Leitbilder zur Bestimmung der Schutzwürdigkeit („Was soll vor allem erhalten werden?“). Wie eingangs erwähnt ist eine hohe Regenwurmbiomasse ein wichtiger Indikator für einen im Hinblick auf Bodenfruchtbarkeit und Versickerungs</w:t>
        <w:softHyphen/>
        <w:t xml:space="preserve">fähigkeit „günstigen“ Aufbau des Bodens. In einer eigenständigen Erweiterung der reinen Klassifizierung nach Beylich et al. (2004) führen im vorliegenden Verfahren also gute Lebensbedingungen für Regenwürmer zu einer guten Bewertung des Potenzials als Lebensraum für Bodenorganismen, um dieses Potenzial in eine quantitative Gesamtbewertung eines Standortes einbeziehen zu können. </w:t>
      </w:r>
    </w:p>
    <w:p>
      <w:pPr>
        <w:pStyle w:val="Normal"/>
        <w:ind w:left="142" w:right="0" w:hanging="142"/>
        <w:rPr>
          <w:rFonts w:cs="Arial"/>
          <w:sz w:val="18"/>
          <w:szCs w:val="20"/>
        </w:rPr>
      </w:pPr>
      <w:r>
        <w:rPr>
          <w:rFonts w:cs="Arial"/>
          <w:sz w:val="18"/>
          <w:szCs w:val="20"/>
        </w:rPr>
      </w:r>
    </w:p>
    <w:p>
      <w:pPr>
        <w:pStyle w:val="Normal"/>
        <w:tabs>
          <w:tab w:val="left" w:pos="5318" w:leader="none"/>
        </w:tabs>
        <w:jc w:val="both"/>
        <w:rPr>
          <w:rFonts w:cs="Arial"/>
          <w:i/>
          <w:color w:val="000000"/>
          <w:sz w:val="18"/>
          <w:szCs w:val="18"/>
        </w:rPr>
      </w:pPr>
      <w:r>
        <w:rPr>
          <w:rFonts w:cs="Arial"/>
          <w:i/>
          <w:color w:val="000000"/>
          <w:sz w:val="18"/>
          <w:szCs w:val="18"/>
        </w:rPr>
        <w:t>Anm.: Da der Großteil der Bodenfauna in der organischen Auflage und im mineralischen Oberboden beheimatet ist, wird für die Parameter pH-Wert und Bodenart nur der Oberboden berücksichtigt. Die Abgrenzung erfolgt dabei über die Horizontbezeichnung, bewertungsrelevant sind pH-Wert und Bodenart des mächtigsten Oberboden-Horizonts, z.B.:</w:t>
      </w:r>
    </w:p>
    <w:p>
      <w:pPr>
        <w:pStyle w:val="Normal"/>
        <w:widowControl w:val="false"/>
        <w:numPr>
          <w:ilvl w:val="0"/>
          <w:numId w:val="4"/>
        </w:numPr>
        <w:tabs>
          <w:tab w:val="left" w:pos="709" w:leader="none"/>
          <w:tab w:val="left" w:pos="6392" w:leader="none"/>
        </w:tabs>
        <w:spacing w:lineRule="auto" w:line="240" w:before="60" w:after="60"/>
        <w:ind w:left="1780" w:right="0" w:hanging="360"/>
        <w:jc w:val="both"/>
        <w:rPr>
          <w:rFonts w:cs="Arial"/>
          <w:b/>
          <w:i/>
          <w:iCs/>
          <w:color w:val="000000"/>
          <w:sz w:val="18"/>
          <w:szCs w:val="18"/>
        </w:rPr>
      </w:pPr>
      <w:r>
        <w:rPr>
          <w:rFonts w:cs="Arial"/>
          <w:i/>
          <w:color w:val="000000"/>
          <w:sz w:val="18"/>
          <w:szCs w:val="18"/>
        </w:rPr>
        <w:t>bei Mooren (</w:t>
      </w:r>
      <w:r>
        <w:rPr>
          <w:rFonts w:cs="Arial"/>
          <w:i/>
          <w:iCs/>
          <w:color w:val="000000"/>
          <w:sz w:val="18"/>
          <w:szCs w:val="18"/>
        </w:rPr>
        <w:t>S322 mit Code 2100-2120</w:t>
      </w:r>
      <w:r>
        <w:rPr>
          <w:rFonts w:cs="Arial"/>
          <w:i/>
          <w:color w:val="000000"/>
          <w:sz w:val="18"/>
          <w:szCs w:val="18"/>
        </w:rPr>
        <w:t xml:space="preserve">): </w:t>
      </w:r>
      <w:r>
        <w:rPr>
          <w:rFonts w:cs="Arial"/>
          <w:b/>
          <w:i/>
          <w:color w:val="000000"/>
          <w:sz w:val="18"/>
          <w:szCs w:val="18"/>
        </w:rPr>
        <w:t>H1, H2, …, H</w:t>
      </w:r>
      <w:r>
        <w:rPr>
          <w:rFonts w:cs="Arial"/>
          <w:b/>
          <w:i/>
          <w:iCs/>
          <w:color w:val="000000"/>
          <w:szCs w:val="18"/>
        </w:rPr>
        <w:t>n</w:t>
      </w:r>
      <w:r>
        <w:rPr>
          <w:rFonts w:cs="Arial"/>
          <w:i/>
          <w:iCs/>
          <w:color w:val="000000"/>
          <w:szCs w:val="18"/>
        </w:rPr>
        <w:t> </w:t>
      </w:r>
      <w:r>
        <w:rPr>
          <w:rFonts w:cs="Arial"/>
          <w:i/>
          <w:color w:val="000000"/>
          <w:szCs w:val="20"/>
        </w:rPr>
        <w:t xml:space="preserve">bzw. </w:t>
      </w:r>
      <w:r>
        <w:rPr>
          <w:rFonts w:cs="Arial"/>
          <w:b/>
          <w:i/>
          <w:color w:val="000000"/>
          <w:szCs w:val="20"/>
        </w:rPr>
        <w:t>T1, …, T</w:t>
      </w:r>
      <w:r>
        <w:rPr>
          <w:rFonts w:cs="Arial"/>
          <w:b/>
          <w:i/>
          <w:iCs/>
          <w:color w:val="000000"/>
          <w:sz w:val="18"/>
          <w:szCs w:val="18"/>
        </w:rPr>
        <w:t>n</w:t>
      </w:r>
    </w:p>
    <w:p>
      <w:pPr>
        <w:pStyle w:val="Normal"/>
        <w:widowControl w:val="false"/>
        <w:numPr>
          <w:ilvl w:val="0"/>
          <w:numId w:val="4"/>
        </w:numPr>
        <w:tabs>
          <w:tab w:val="left" w:pos="709" w:leader="none"/>
          <w:tab w:val="left" w:pos="6392" w:leader="none"/>
        </w:tabs>
        <w:spacing w:lineRule="auto" w:line="240" w:before="60" w:after="60"/>
        <w:ind w:left="1780" w:right="0" w:hanging="360"/>
        <w:jc w:val="both"/>
        <w:rPr>
          <w:rFonts w:cs="Arial"/>
          <w:b/>
          <w:i/>
          <w:iCs/>
          <w:color w:val="000000"/>
          <w:sz w:val="18"/>
          <w:szCs w:val="18"/>
        </w:rPr>
      </w:pPr>
      <w:r>
        <w:rPr>
          <w:rFonts w:cs="Arial"/>
          <w:i/>
          <w:color w:val="000000"/>
          <w:sz w:val="18"/>
          <w:szCs w:val="18"/>
        </w:rPr>
        <w:t xml:space="preserve">bei Schüttungsböden (anthropogene Umlagerung, S322 mit Code 1700-1799): </w:t>
      </w:r>
      <w:r>
        <w:rPr>
          <w:rFonts w:cs="Arial"/>
          <w:b/>
          <w:i/>
          <w:color w:val="000000"/>
          <w:sz w:val="18"/>
          <w:szCs w:val="18"/>
        </w:rPr>
        <w:t>M</w:t>
      </w:r>
      <w:r>
        <w:rPr>
          <w:rFonts w:cs="Arial"/>
          <w:b/>
          <w:i/>
          <w:iCs/>
          <w:color w:val="000000"/>
          <w:sz w:val="18"/>
          <w:szCs w:val="18"/>
        </w:rPr>
        <w:t>xx</w:t>
      </w:r>
    </w:p>
    <w:p>
      <w:pPr>
        <w:pStyle w:val="Normal"/>
        <w:widowControl w:val="false"/>
        <w:numPr>
          <w:ilvl w:val="0"/>
          <w:numId w:val="4"/>
        </w:numPr>
        <w:tabs>
          <w:tab w:val="left" w:pos="709" w:leader="none"/>
          <w:tab w:val="left" w:pos="6392" w:leader="none"/>
        </w:tabs>
        <w:spacing w:lineRule="auto" w:line="240" w:before="60" w:after="60"/>
        <w:ind w:left="1780" w:right="0" w:hanging="360"/>
        <w:jc w:val="both"/>
        <w:rPr>
          <w:rFonts w:cs="Arial"/>
          <w:b/>
          <w:i/>
          <w:iCs/>
          <w:color w:val="000000"/>
          <w:sz w:val="18"/>
          <w:szCs w:val="18"/>
        </w:rPr>
      </w:pPr>
      <w:r>
        <w:rPr>
          <w:rFonts w:cs="Arial"/>
          <w:i/>
          <w:color w:val="000000"/>
          <w:sz w:val="18"/>
          <w:szCs w:val="18"/>
        </w:rPr>
        <w:t xml:space="preserve">bei terrestrischen Böden: </w:t>
      </w:r>
      <w:r>
        <w:rPr>
          <w:rFonts w:cs="Arial"/>
          <w:b/>
          <w:i/>
          <w:color w:val="000000"/>
          <w:sz w:val="18"/>
          <w:szCs w:val="18"/>
        </w:rPr>
        <w:t>A</w:t>
      </w:r>
      <w:r>
        <w:rPr>
          <w:rFonts w:cs="Arial"/>
          <w:b/>
          <w:i/>
          <w:iCs/>
          <w:color w:val="000000"/>
          <w:sz w:val="18"/>
          <w:szCs w:val="18"/>
        </w:rPr>
        <w:t>xx</w:t>
      </w:r>
    </w:p>
    <w:p>
      <w:pPr>
        <w:pStyle w:val="Normal"/>
        <w:rPr>
          <w:rFonts w:cs="Arial"/>
          <w:sz w:val="18"/>
        </w:rPr>
      </w:pPr>
      <w:r>
        <w:rPr>
          <w:rFonts w:cs="Arial"/>
          <w:sz w:val="18"/>
        </w:rPr>
      </w:r>
    </w:p>
    <w:p>
      <w:pPr>
        <w:pStyle w:val="Normal"/>
        <w:jc w:val="both"/>
        <w:rPr>
          <w:rFonts w:cs="Arial"/>
          <w:szCs w:val="20"/>
        </w:rPr>
      </w:pPr>
      <w:r>
        <w:rPr>
          <w:rFonts w:cs="Arial"/>
          <w:szCs w:val="20"/>
        </w:rPr>
        <w:t xml:space="preserve">Falls die Datengrundlagen in ausreichender Qualität vorhanden sind, liefert das Verfahren flächendeckende Aussagen über die zu erwartende Zusammensetzung der Bodenfauna. Idealerweise wird dieser Soll-Zustand im Gelände an ausgewählten Standorten überprüft („Soll-Ist-Vergleich“) und im Rahmen von Prüfverfahren die Auswirkung einer geplanten Maßnahme auf die physikalisch-chemischen Zusammensetzung des Bodens und in Folge auf die Biozönose des Bodens abgeschätzt. </w:t>
      </w:r>
    </w:p>
    <w:p>
      <w:pPr>
        <w:pStyle w:val="Normal"/>
        <w:rPr>
          <w:rFonts w:cs="Arial"/>
          <w:sz w:val="18"/>
        </w:rPr>
      </w:pPr>
      <w:r>
        <w:rPr>
          <w:rFonts w:cs="Arial"/>
          <w:sz w:val="18"/>
        </w:rPr>
      </w:r>
    </w:p>
    <w:p>
      <w:pPr>
        <w:pStyle w:val="Normal"/>
        <w:jc w:val="both"/>
        <w:rPr>
          <w:rFonts w:cs="Arial"/>
          <w:iCs/>
        </w:rPr>
      </w:pPr>
      <w:r>
        <w:rPr>
          <w:rFonts w:cs="Arial"/>
          <w:iCs/>
        </w:rPr>
        <w:t xml:space="preserve">Einschränkend ist zu erwähnen, dass die Zusammenhänge zwischen Bodenorganismen und abiotischen Bodeneigenschaften nicht für alle BLGT gleich gut gesichert sind (Beylich et al. 2004: 40) und bislang nur naturnahe Böden bewertet werden können (z.B. keine Bewertung von Parkanlagen und Gärten). Die in Abhängigkeit von der jeweiligen Höhenlage recht unterschiedlichen klimatischen Rahmenbedingungen werden ebenfalls nicht berücksichtigt und fließen nur indirekt über die bodenkundliche Feuchtestufe in die Bewertung ein. </w:t>
      </w:r>
    </w:p>
    <w:p>
      <w:pPr>
        <w:pStyle w:val="Normal"/>
        <w:jc w:val="both"/>
        <w:rPr>
          <w:rFonts w:cs="Arial"/>
          <w:iCs/>
        </w:rPr>
      </w:pPr>
      <w:r>
        <w:rPr>
          <w:rFonts w:cs="Arial"/>
          <w:iCs/>
        </w:rPr>
        <w:t xml:space="preserve">Hinsichtlich der Bewertung selbst könnte </w:t>
      </w:r>
      <w:r>
        <w:rPr>
          <w:rFonts w:cs="Arial"/>
          <w:szCs w:val="20"/>
        </w:rPr>
        <w:t>in Anlehnung an das Potenzial als Lebensraum für Tiere und Pflanzen (1a.2) auch umgekehrt argumentiert werden und „extreme“ Verhältnisse hinsichtlich Feuchtigkeit/Trockenheit und Boden</w:t>
        <w:softHyphen/>
        <w:t xml:space="preserve">acidität zu einer guten Bewertung führen, da </w:t>
      </w:r>
      <w:r>
        <w:rPr>
          <w:rFonts w:cs="Arial"/>
          <w:iCs/>
        </w:rPr>
        <w:t xml:space="preserve">solche Bedingungen die Voraussetzung für das Vorkommen seltener – und dadurch schutzwürdiger – Arten sind (z.B. sehr gute Bewertung von BLGT A2.1, A2.2, A3, B1, B2, B3). </w:t>
      </w:r>
    </w:p>
    <w:p>
      <w:pPr>
        <w:pStyle w:val="Normal"/>
        <w:rPr>
          <w:rFonts w:cs="Arial"/>
          <w:iCs/>
        </w:rPr>
      </w:pPr>
      <w:r>
        <w:rPr>
          <w:rFonts w:cs="Arial"/>
          <w:iCs/>
        </w:rPr>
      </w:r>
    </w:p>
    <w:p>
      <w:pPr>
        <w:pStyle w:val="Normal"/>
        <w:jc w:val="both"/>
        <w:rPr>
          <w:rFonts w:cs="Arial"/>
          <w:szCs w:val="20"/>
        </w:rPr>
      </w:pPr>
      <w:r>
        <w:rPr>
          <w:rFonts w:cs="Arial"/>
          <w:szCs w:val="20"/>
        </w:rPr>
        <w:t>Bis neue Erkenntnisse (z.B. auch aus dem Projekt BIOAK, in dem die Zusammenhänge von Boden- und Standorteigenschaften, aktueller Nutzung und dem Vorkommen von Regenwürmern in einem Testgebiet in den Kitzbüheler Alpen untersucht wurden) zur Ableitung verbesserter Bewertungs</w:t>
        <w:softHyphen/>
        <w:t xml:space="preserve">methoden verfügbar sind, wird die hier beschriebene Klassifizierung und Bewertung angewendet. </w:t>
      </w:r>
    </w:p>
    <w:p>
      <w:pPr>
        <w:pStyle w:val="Normal"/>
        <w:rPr>
          <w:rFonts w:cs="Arial"/>
          <w:i/>
          <w:iCs/>
        </w:rPr>
      </w:pPr>
      <w:r>
        <w:rPr>
          <w:rFonts w:cs="Arial"/>
          <w:i/>
          <w:iCs/>
        </w:rPr>
      </w:r>
    </w:p>
    <w:p>
      <w:pPr>
        <w:pStyle w:val="Normal"/>
        <w:jc w:val="both"/>
        <w:rPr>
          <w:rFonts w:cs="Arial"/>
          <w:iCs/>
        </w:rPr>
      </w:pPr>
      <w:r>
        <w:rPr>
          <w:rFonts w:cs="Arial"/>
          <w:iCs/>
        </w:rPr>
        <w:t xml:space="preserve">Beylich et al. (2004: 53) empfehlen aufgrund der genannten Unsicherheiten und der prinzipiellen Eignung </w:t>
      </w:r>
      <w:r>
        <w:rPr>
          <w:rFonts w:cs="Arial"/>
          <w:iCs/>
          <w:u w:val="single"/>
        </w:rPr>
        <w:t>aller</w:t>
      </w:r>
      <w:r>
        <w:rPr>
          <w:rFonts w:cs="Arial"/>
          <w:iCs/>
        </w:rPr>
        <w:t xml:space="preserve"> Böden als Lebensraum für die eine oder andere Lebensform eine verbal-argumentative Bewertung dieses Potenzials. Die quantitative Bewertung im vorliegenden Verfahren erfolgt dennoch, um die Ergebnisse leichter in eine Gesamtbewertung eines Standortes einbinden zu können. Eine ergänzende, textliche Erläuterung der Situation im jeweiligen Untersuchungsgebiet sollte bei der Anwendung der Methode in Planungs- und Genehmigungsverfahren unbedingt zusätzlich erfolgen!</w:t>
      </w:r>
    </w:p>
    <w:p>
      <w:pPr>
        <w:pStyle w:val="Normal"/>
        <w:rPr>
          <w:rFonts w:cs="Arial"/>
          <w:i/>
          <w:iCs/>
        </w:rPr>
      </w:pPr>
      <w:r>
        <w:rPr>
          <w:rFonts w:cs="Arial"/>
          <w:i/>
          <w:iCs/>
        </w:rPr>
      </w:r>
    </w:p>
    <w:p>
      <w:pPr>
        <w:pStyle w:val="Normal"/>
        <w:rPr>
          <w:rFonts w:cs="Arial"/>
          <w:i/>
          <w:iCs/>
          <w:color w:val="9900FF"/>
        </w:rPr>
      </w:pPr>
      <w:r>
        <w:rPr>
          <w:rFonts w:cs="Arial"/>
          <w:i/>
          <w:iCs/>
          <w:color w:val="9900FF"/>
        </w:rPr>
        <w:t>Anm. Sonderkulturen (etwa Wein- und Obstbau) werden hier wie Grünland bewertet. Ist dies nicht vergleichbar, etwa wenn keine Pflanzendecke zwischen Weinreben vorhanden ist, ist die 'Landnutzung zu ändern, etwa auf Ackerbau.</w:t>
      </w:r>
    </w:p>
    <w:p>
      <w:pPr>
        <w:pStyle w:val="Heading3"/>
        <w:pageBreakBefore/>
        <w:rPr/>
      </w:pPr>
      <w:r>
        <w:rPr/>
        <w:t xml:space="preserve">1a.4) Lebensraum für </w:t>
      </w:r>
      <w:r>
        <w:rPr>
          <w:szCs w:val="20"/>
        </w:rPr>
        <w:t>Kulturpflanzen = Potenzial für landwirtschaftliche Produktion (3a.1)</w:t>
      </w:r>
      <w:r>
        <w:rPr/>
        <w:t xml:space="preserve"> </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Primär-Bodenstruktur (P128)</w:t>
      </w:r>
    </w:p>
    <w:p>
      <w:pPr>
        <w:pStyle w:val="Normal"/>
        <w:ind w:left="142" w:right="0" w:hanging="0"/>
        <w:rPr>
          <w:rFonts w:cs="Arial"/>
          <w:i/>
          <w:szCs w:val="20"/>
        </w:rPr>
      </w:pPr>
      <w:r>
        <w:rPr>
          <w:rFonts w:cs="Arial"/>
          <w:i/>
          <w:szCs w:val="20"/>
        </w:rPr>
        <w:t>Anteil der Primär-Bodenstruktur (P174)</w:t>
      </w:r>
    </w:p>
    <w:p>
      <w:pPr>
        <w:pStyle w:val="Normal"/>
        <w:ind w:left="142" w:right="0" w:hanging="0"/>
        <w:rPr>
          <w:rFonts w:cs="Arial"/>
          <w:i/>
          <w:szCs w:val="20"/>
        </w:rPr>
      </w:pPr>
      <w:r>
        <w:rPr>
          <w:rFonts w:cs="Arial"/>
          <w:i/>
          <w:szCs w:val="20"/>
        </w:rPr>
        <w:t>Lagerungsdichte (Px03)</w:t>
      </w:r>
    </w:p>
    <w:p>
      <w:pPr>
        <w:pStyle w:val="Normal"/>
        <w:ind w:left="142" w:right="0" w:hanging="0"/>
        <w:rPr>
          <w:rFonts w:cs="Arial"/>
          <w:i/>
          <w:szCs w:val="20"/>
        </w:rPr>
      </w:pPr>
      <w:r>
        <w:rPr>
          <w:rFonts w:cs="Arial"/>
          <w:i/>
          <w:szCs w:val="20"/>
        </w:rPr>
        <w:t>Feinbodenmenge (Px04)</w:t>
      </w:r>
    </w:p>
    <w:p>
      <w:pPr>
        <w:pStyle w:val="Normal"/>
        <w:ind w:left="142" w:right="0" w:hanging="0"/>
        <w:rPr>
          <w:rFonts w:cs="Arial"/>
          <w:i/>
          <w:szCs w:val="20"/>
        </w:rPr>
      </w:pPr>
      <w:r>
        <w:rPr>
          <w:rFonts w:cs="Arial"/>
          <w:i/>
          <w:szCs w:val="20"/>
        </w:rPr>
        <w:t>potenzielle Durchwurzelungstiefe (Sx12)</w:t>
      </w:r>
    </w:p>
    <w:p>
      <w:pPr>
        <w:pStyle w:val="Normal"/>
        <w:ind w:left="142" w:right="0" w:hanging="0"/>
        <w:rPr>
          <w:rFonts w:cs="Arial"/>
          <w:i/>
          <w:szCs w:val="20"/>
        </w:rPr>
      </w:pPr>
      <w:r>
        <w:rPr>
          <w:rFonts w:cs="Arial"/>
          <w:i/>
          <w:szCs w:val="20"/>
        </w:rPr>
        <w:t>KAK</w:t>
      </w:r>
      <w:r>
        <w:rPr>
          <w:rFonts w:cs="Arial"/>
          <w:i/>
          <w:szCs w:val="20"/>
          <w:vertAlign w:val="subscript"/>
        </w:rPr>
        <w:t>pot</w:t>
      </w:r>
      <w:r>
        <w:rPr>
          <w:rFonts w:cs="Arial"/>
          <w:i/>
          <w:szCs w:val="20"/>
        </w:rPr>
        <w:t xml:space="preserve"> (Px13)</w:t>
      </w:r>
    </w:p>
    <w:p>
      <w:pPr>
        <w:pStyle w:val="Normal"/>
        <w:ind w:left="142" w:right="0" w:hanging="0"/>
        <w:rPr>
          <w:rFonts w:cs="Arial"/>
          <w:i/>
          <w:szCs w:val="20"/>
        </w:rPr>
      </w:pPr>
      <w:r>
        <w:rPr>
          <w:rFonts w:cs="Arial"/>
          <w:i/>
          <w:szCs w:val="20"/>
        </w:rPr>
        <w:t>Basensättigung (Px15)</w:t>
      </w:r>
    </w:p>
    <w:p>
      <w:pPr>
        <w:pStyle w:val="Normal"/>
        <w:ind w:left="142" w:right="0" w:hanging="0"/>
        <w:rPr>
          <w:rFonts w:cs="Arial"/>
          <w:i/>
          <w:szCs w:val="20"/>
        </w:rPr>
      </w:pPr>
      <w:r>
        <w:rPr>
          <w:rFonts w:cs="Arial"/>
          <w:i/>
          <w:szCs w:val="20"/>
        </w:rPr>
        <w:t>Hangneigungsklasse (S135)</w:t>
      </w:r>
    </w:p>
    <w:p>
      <w:pPr>
        <w:pStyle w:val="Normal"/>
        <w:ind w:left="142" w:right="0" w:hanging="0"/>
        <w:rPr>
          <w:rFonts w:cs="Arial"/>
          <w:i/>
          <w:szCs w:val="20"/>
        </w:rPr>
      </w:pPr>
      <w:r>
        <w:rPr>
          <w:rFonts w:cs="Arial"/>
          <w:i/>
          <w:szCs w:val="20"/>
        </w:rPr>
        <w:t>Grundwasserflurabstand (S153)</w:t>
      </w:r>
    </w:p>
    <w:p>
      <w:pPr>
        <w:pStyle w:val="Normal"/>
        <w:ind w:left="142" w:right="0" w:hanging="0"/>
        <w:rPr>
          <w:rFonts w:cs="Arial"/>
          <w:i/>
          <w:szCs w:val="20"/>
        </w:rPr>
      </w:pPr>
      <w:r>
        <w:rPr>
          <w:rFonts w:cs="Arial"/>
          <w:i/>
          <w:szCs w:val="20"/>
        </w:rPr>
        <w:t>nutzbare Feldkapazität im effektiven Wurzelraum (Sx05)</w:t>
      </w:r>
    </w:p>
    <w:p>
      <w:pPr>
        <w:pStyle w:val="Normal"/>
        <w:ind w:left="142" w:right="0" w:hanging="0"/>
        <w:rPr>
          <w:rFonts w:cs="Arial"/>
          <w:i/>
          <w:szCs w:val="20"/>
        </w:rPr>
      </w:pPr>
      <w:r>
        <w:rPr>
          <w:rFonts w:cs="Arial"/>
          <w:i/>
          <w:szCs w:val="20"/>
        </w:rPr>
        <w:t>Luftkapazität im Oberboden (Sx07)</w:t>
      </w:r>
    </w:p>
    <w:p>
      <w:pPr>
        <w:pStyle w:val="Normal"/>
        <w:ind w:left="142" w:right="0" w:hanging="0"/>
        <w:rPr>
          <w:rFonts w:cs="Arial"/>
          <w:i/>
          <w:szCs w:val="20"/>
        </w:rPr>
      </w:pPr>
      <w:r>
        <w:rPr>
          <w:rFonts w:cs="Arial"/>
          <w:i/>
          <w:szCs w:val="20"/>
        </w:rPr>
        <w:t>mittlere Temperatur in der Vegetationsperiode (Klimadaten)</w:t>
      </w:r>
    </w:p>
    <w:p>
      <w:pPr>
        <w:pStyle w:val="Normal"/>
        <w:rPr>
          <w:rFonts w:cs="Arial"/>
          <w:b/>
          <w:sz w:val="22"/>
          <w:szCs w:val="22"/>
        </w:rPr>
      </w:pPr>
      <w:r>
        <w:rPr>
          <w:rFonts w:cs="Arial"/>
          <w:b/>
          <w:sz w:val="22"/>
          <w:szCs w:val="22"/>
        </w:rPr>
      </w:r>
    </w:p>
    <w:p>
      <w:pPr>
        <w:pStyle w:val="Normal"/>
        <w:rPr>
          <w:rFonts w:cs="Arial"/>
          <w:i/>
          <w:szCs w:val="20"/>
        </w:rPr>
      </w:pPr>
      <w:r>
        <w:rPr>
          <w:rFonts w:cs="Arial"/>
          <w:b/>
          <w:i/>
          <w:szCs w:val="20"/>
        </w:rPr>
        <w:t>Methodik</w:t>
      </w:r>
      <w:r>
        <w:rPr>
          <w:rFonts w:cs="Arial"/>
          <w:b/>
          <w:i/>
          <w:sz w:val="18"/>
          <w:szCs w:val="20"/>
        </w:rPr>
        <w:t>:</w:t>
      </w:r>
      <w:r>
        <w:rPr>
          <w:rFonts w:cs="Arial"/>
          <w:i/>
          <w:sz w:val="18"/>
          <w:szCs w:val="20"/>
        </w:rPr>
        <w:t xml:space="preserve"> </w:t>
      </w:r>
      <w:r>
        <w:rPr>
          <w:rFonts w:cs="Arial"/>
          <w:i/>
          <w:szCs w:val="20"/>
        </w:rPr>
        <w:t>Lehmann et al. (2008: 40ff.) – modifiziert</w:t>
      </w:r>
    </w:p>
    <w:p>
      <w:pPr>
        <w:pStyle w:val="Normal"/>
        <w:rPr>
          <w:rFonts w:cs="Arial"/>
          <w:i/>
          <w:szCs w:val="20"/>
        </w:rPr>
      </w:pPr>
      <w:r>
        <w:rPr>
          <w:rFonts w:cs="Arial"/>
          <w:i/>
          <w:szCs w:val="20"/>
        </w:rPr>
      </w:r>
    </w:p>
    <w:p>
      <w:pPr>
        <w:pStyle w:val="Normal"/>
        <w:jc w:val="both"/>
        <w:rPr>
          <w:rFonts w:cs="Arial"/>
          <w:szCs w:val="20"/>
        </w:rPr>
      </w:pPr>
      <w:r>
        <w:rPr/>
        <w:t xml:space="preserve">Die potenzielle natürliche Ertragsfähigkeit des Bodens ist abhängig von den vorherrschenden Bedingungen für das Pflanzenwachstum, die in diesem Ansatz anhand komplexer Bodenparameter bewertet werden. </w:t>
      </w:r>
      <w:r>
        <w:rPr>
          <w:rFonts w:cs="Arial"/>
          <w:szCs w:val="20"/>
        </w:rPr>
        <w:t xml:space="preserve">Dazu kommen noch klimatisch limitierende Faktoren: in Gebirgsräumen ist dies vor allem die mit der Höhe abnehmende Temperatur, in sehr trockenen oder sehr feuchten Gebieten auch der Niederschlag. </w:t>
      </w:r>
    </w:p>
    <w:p>
      <w:pPr>
        <w:pStyle w:val="Normal"/>
        <w:jc w:val="both"/>
        <w:rPr>
          <w:rFonts w:cs="Arial"/>
          <w:szCs w:val="20"/>
        </w:rPr>
      </w:pPr>
      <w:r>
        <w:rPr>
          <w:rFonts w:cs="Arial"/>
          <w:szCs w:val="20"/>
        </w:rPr>
      </w:r>
    </w:p>
    <w:p>
      <w:pPr>
        <w:pStyle w:val="Normal"/>
        <w:jc w:val="both"/>
        <w:rPr>
          <w:rFonts w:cs="Arial"/>
          <w:szCs w:val="20"/>
        </w:rPr>
      </w:pPr>
      <w:r>
        <w:rPr>
          <w:rFonts w:cs="Arial"/>
          <w:szCs w:val="20"/>
        </w:rPr>
        <w:t xml:space="preserve">Diese Kenngrößen werden auch in der Finanzbodenschätzung berücksichtigt, für die allerdings eine andere Systematik als die in der Bodenkartierung verwendete (KA5 in Deutschland, Systematik nach Kilian 2002 oder Englisch &amp; Kilian 1999 in Österreich) zugrunde gelegt wird (vgl. Wagner 2001). Die „Zustandsstufe“ (4 Stufen für Grünland, 7 für Ackerland) ist ein abstrakter Wert, in welchem die genannten Faktoren integriert und die gemeinsam mit der Bodenart und der Entstehungsart (Ackerland) bzw. Wasserverhältnissen und Klimastufe (Grünland) zur Bonitierung landwirtschaftlich genutzter Böden herangezogen wird. Für Ackerland und Grünland können also die in der Bodenschätzung angegebenen Wertzahlen (Ackerzahl bzw. Grünlandzahl) wie in </w:t>
      </w:r>
      <w:r>
        <w:rPr>
          <w:rFonts w:cs="Arial"/>
          <w:color w:val="FF0000"/>
          <w:szCs w:val="20"/>
        </w:rPr>
        <w:t>X.X.X</w:t>
      </w:r>
      <w:r>
        <w:rPr>
          <w:rFonts w:cs="Arial"/>
          <w:szCs w:val="20"/>
        </w:rPr>
        <w:t xml:space="preserve"> beschrieben zur Beurteilung des Potenzials als Lebensraum für Kulturpflanzen verwendet werden.</w:t>
      </w:r>
    </w:p>
    <w:p>
      <w:pPr>
        <w:pStyle w:val="Normal"/>
        <w:jc w:val="both"/>
        <w:rPr>
          <w:rFonts w:cs="Arial"/>
          <w:szCs w:val="20"/>
        </w:rPr>
      </w:pPr>
      <w:r>
        <w:rPr>
          <w:rFonts w:cs="Arial"/>
          <w:szCs w:val="20"/>
        </w:rPr>
      </w:r>
    </w:p>
    <w:p>
      <w:pPr>
        <w:pStyle w:val="Normal"/>
        <w:jc w:val="both"/>
        <w:rPr>
          <w:rFonts w:cs="Arial"/>
          <w:szCs w:val="20"/>
        </w:rPr>
      </w:pPr>
      <w:r>
        <w:rPr>
          <w:rFonts w:cs="Arial"/>
          <w:szCs w:val="20"/>
        </w:rPr>
        <w:t xml:space="preserve">Der hier verwendete, im Rahmen von TUSEC-IP entwickelte Ansatz ermöglicht es, zusätzlich zu Grünland und Ackerland auch das landwirtschaftliche Produktionspotenzial auf derzeit anderweitig genutzten Böden zu bewerten. Die Bewertungsergebnisse sind dabei nur als grobe Orientierung zu verstehen, da sich verschiedene Parameter im Zuge einer Nutzungsumstellung ändern können, z.B. Änderung von Bodenstruktur und Lagerungsdichte durch Befahren oder Abnahme des Humusgehalts und Zunahme des pH-Wertes nach der Rodung von Waldstandorten. </w:t>
      </w:r>
    </w:p>
    <w:p>
      <w:pPr>
        <w:pStyle w:val="Normal"/>
        <w:jc w:val="both"/>
        <w:rPr>
          <w:rFonts w:cs="Arial"/>
          <w:szCs w:val="20"/>
        </w:rPr>
      </w:pPr>
      <w:r>
        <w:rPr>
          <w:rFonts w:cs="Arial"/>
          <w:szCs w:val="20"/>
        </w:rPr>
      </w:r>
    </w:p>
    <w:p>
      <w:pPr>
        <w:pStyle w:val="Normal"/>
        <w:jc w:val="both"/>
        <w:rPr>
          <w:rFonts w:cs="Arial"/>
          <w:szCs w:val="20"/>
        </w:rPr>
      </w:pPr>
      <w:r>
        <w:rPr>
          <w:rFonts w:cs="Arial"/>
          <w:szCs w:val="20"/>
        </w:rPr>
        <w:t>Die Bewertung des Potenzials für die landwirtschaftliche Produktion erfolgt durch die Einzelbewertung von fünf Kriterien, die in einem weiteren Schritt zu einer Gesamtbeurteilung verknüpft werden. Abschließend wird dieser Wert noch in Abhängigkeit von der Neigung modifiziert, um die in Hanglagen relevante Erschwernis der Bearbeitung zu berücksichtigen.</w:t>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48"/>
        <w:gridCol w:w="1175"/>
        <w:gridCol w:w="5207"/>
      </w:tblGrid>
      <w:tr>
        <w:trPr>
          <w:trHeight w:val="340" w:hRule="atLeast"/>
          <w:cantSplit w:val="false"/>
        </w:trPr>
        <w:tc>
          <w:tcPr>
            <w:tcW w:w="25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pPr>
            <w:r>
              <w:rPr/>
              <w:t>Kriterium</w:t>
            </w:r>
          </w:p>
        </w:tc>
        <w:tc>
          <w:tcPr>
            <w:tcW w:w="11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iCs/>
              </w:rPr>
            </w:pPr>
            <w:r>
              <w:rPr>
                <w:iCs/>
              </w:rPr>
              <w:t>Schritt</w:t>
            </w:r>
          </w:p>
        </w:tc>
        <w:tc>
          <w:tcPr>
            <w:tcW w:w="52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rPr/>
            </w:pPr>
            <w:r>
              <w:rPr/>
              <w:t>Parameter</w:t>
            </w:r>
          </w:p>
        </w:tc>
      </w:tr>
      <w:tr>
        <w:trPr>
          <w:trHeight w:val="340" w:hRule="atLeast"/>
          <w:cantSplit w:val="false"/>
        </w:trPr>
        <w:tc>
          <w:tcPr>
            <w:tcW w:w="2548" w:type="dxa"/>
            <w:vMerge w:val="restart"/>
            <w:tcBorders>
              <w:top w:val="single" w:sz="4" w:space="0" w:color="000001"/>
              <w:left w:val="single" w:sz="4" w:space="0" w:color="000001"/>
              <w:bottom w:val="nil"/>
              <w:insideH w:val="nil"/>
              <w:right w:val="nil"/>
              <w:insideV w:val="nil"/>
            </w:tcBorders>
            <w:shd w:fill="FFFFFF" w:val="clear"/>
            <w:tcMar>
              <w:left w:w="88" w:type="dxa"/>
            </w:tcMar>
            <w:vAlign w:val="center"/>
          </w:tcPr>
          <w:p>
            <w:pPr>
              <w:pStyle w:val="Tabellenberschrift"/>
              <w:spacing w:before="120" w:after="60"/>
              <w:jc w:val="left"/>
              <w:rPr>
                <w:b w:val="false"/>
              </w:rPr>
            </w:pPr>
            <w:r>
              <w:rPr>
                <w:b w:val="false"/>
              </w:rPr>
              <w:t>allg. Standortbedingungen</w:t>
            </w:r>
          </w:p>
        </w:tc>
        <w:tc>
          <w:tcPr>
            <w:tcW w:w="11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Cs/>
              </w:rPr>
            </w:pPr>
            <w:r>
              <w:rPr>
                <w:b w:val="false"/>
                <w:iCs/>
              </w:rPr>
              <w:t>A1</w:t>
            </w:r>
          </w:p>
        </w:tc>
        <w:tc>
          <w:tcPr>
            <w:tcW w:w="52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jc w:val="left"/>
              <w:rPr>
                <w:b w:val="false"/>
              </w:rPr>
            </w:pPr>
            <w:r>
              <w:rPr>
                <w:b w:val="false"/>
              </w:rPr>
              <w:t>Durchwurzelungstiefe (effektiv oder potenziell)</w:t>
            </w:r>
          </w:p>
        </w:tc>
      </w:tr>
      <w:tr>
        <w:trPr>
          <w:trHeight w:val="340" w:hRule="atLeast"/>
          <w:cantSplit w:val="false"/>
        </w:trPr>
        <w:tc>
          <w:tcPr>
            <w:tcW w:w="2548" w:type="dxa"/>
            <w:vMerge w:val="continue"/>
            <w:tcBorders>
              <w:top w:val="nil"/>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jc w:val="left"/>
              <w:rPr>
                <w:b w:val="false"/>
              </w:rPr>
            </w:pPr>
            <w:r>
              <w:rPr>
                <w:b w:val="false"/>
              </w:rPr>
            </w:r>
          </w:p>
        </w:tc>
        <w:tc>
          <w:tcPr>
            <w:tcW w:w="11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Cs/>
              </w:rPr>
            </w:pPr>
            <w:r>
              <w:rPr>
                <w:b w:val="false"/>
                <w:iCs/>
              </w:rPr>
              <w:t>A2</w:t>
            </w:r>
          </w:p>
        </w:tc>
        <w:tc>
          <w:tcPr>
            <w:tcW w:w="52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jc w:val="left"/>
              <w:rPr>
                <w:b w:val="false"/>
              </w:rPr>
            </w:pPr>
            <w:r>
              <w:rPr>
                <w:b w:val="false"/>
              </w:rPr>
              <w:t>Bodenaufbau: Struktur und Dichte</w:t>
            </w:r>
          </w:p>
        </w:tc>
      </w:tr>
      <w:tr>
        <w:trPr>
          <w:trHeight w:val="340" w:hRule="atLeast"/>
          <w:cantSplit w:val="false"/>
        </w:trPr>
        <w:tc>
          <w:tcPr>
            <w:tcW w:w="2548" w:type="dxa"/>
            <w:vMerge w:val="restart"/>
            <w:tcBorders>
              <w:top w:val="single" w:sz="4" w:space="0" w:color="000001"/>
              <w:left w:val="single" w:sz="4" w:space="0" w:color="000001"/>
              <w:bottom w:val="nil"/>
              <w:insideH w:val="nil"/>
              <w:right w:val="nil"/>
              <w:insideV w:val="nil"/>
            </w:tcBorders>
            <w:shd w:fill="FFFFFF" w:val="clear"/>
            <w:tcMar>
              <w:left w:w="88" w:type="dxa"/>
            </w:tcMar>
            <w:vAlign w:val="center"/>
          </w:tcPr>
          <w:p>
            <w:pPr>
              <w:pStyle w:val="Tabellenberschrift"/>
              <w:spacing w:before="120" w:after="60"/>
              <w:jc w:val="left"/>
              <w:rPr>
                <w:b w:val="false"/>
              </w:rPr>
            </w:pPr>
            <w:r>
              <w:rPr>
                <w:b w:val="false"/>
              </w:rPr>
              <w:t>Wasserversorgung</w:t>
            </w:r>
          </w:p>
        </w:tc>
        <w:tc>
          <w:tcPr>
            <w:tcW w:w="11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Cs/>
              </w:rPr>
            </w:pPr>
            <w:r>
              <w:rPr>
                <w:b w:val="false"/>
                <w:iCs/>
              </w:rPr>
              <w:t>B1</w:t>
            </w:r>
          </w:p>
        </w:tc>
        <w:tc>
          <w:tcPr>
            <w:tcW w:w="52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jc w:val="left"/>
              <w:rPr>
                <w:b w:val="false"/>
              </w:rPr>
            </w:pPr>
            <w:r>
              <w:rPr>
                <w:b w:val="false"/>
              </w:rPr>
              <w:t>nFK im effektiven Wurzelraum</w:t>
            </w:r>
          </w:p>
        </w:tc>
      </w:tr>
      <w:tr>
        <w:trPr>
          <w:trHeight w:val="340" w:hRule="atLeast"/>
          <w:cantSplit w:val="false"/>
        </w:trPr>
        <w:tc>
          <w:tcPr>
            <w:tcW w:w="2548" w:type="dxa"/>
            <w:vMerge w:val="continue"/>
            <w:tcBorders>
              <w:top w:val="nil"/>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jc w:val="left"/>
              <w:rPr>
                <w:b w:val="false"/>
              </w:rPr>
            </w:pPr>
            <w:r>
              <w:rPr>
                <w:b w:val="false"/>
              </w:rPr>
            </w:r>
          </w:p>
        </w:tc>
        <w:tc>
          <w:tcPr>
            <w:tcW w:w="11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Cs/>
              </w:rPr>
            </w:pPr>
            <w:r>
              <w:rPr>
                <w:b w:val="false"/>
                <w:iCs/>
              </w:rPr>
              <w:t>B2</w:t>
            </w:r>
          </w:p>
        </w:tc>
        <w:tc>
          <w:tcPr>
            <w:tcW w:w="52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jc w:val="left"/>
              <w:rPr>
                <w:b w:val="false"/>
              </w:rPr>
            </w:pPr>
            <w:r>
              <w:rPr>
                <w:b w:val="false"/>
              </w:rPr>
              <w:t>Grund</w:t>
              <w:softHyphen/>
              <w:t>wasser</w:t>
              <w:softHyphen/>
              <w:t>flurabstand</w:t>
            </w:r>
          </w:p>
        </w:tc>
      </w:tr>
      <w:tr>
        <w:trPr>
          <w:trHeight w:val="340" w:hRule="atLeast"/>
          <w:cantSplit w:val="false"/>
        </w:trPr>
        <w:tc>
          <w:tcPr>
            <w:tcW w:w="25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jc w:val="left"/>
              <w:rPr>
                <w:b w:val="false"/>
              </w:rPr>
            </w:pPr>
            <w:r>
              <w:rPr>
                <w:b w:val="false"/>
              </w:rPr>
              <w:t>Luftversorgung</w:t>
            </w:r>
          </w:p>
        </w:tc>
        <w:tc>
          <w:tcPr>
            <w:tcW w:w="11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Cs/>
              </w:rPr>
            </w:pPr>
            <w:r>
              <w:rPr>
                <w:b w:val="false"/>
                <w:iCs/>
              </w:rPr>
              <w:t>C</w:t>
            </w:r>
          </w:p>
        </w:tc>
        <w:tc>
          <w:tcPr>
            <w:tcW w:w="52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jc w:val="left"/>
              <w:rPr>
                <w:b w:val="false"/>
              </w:rPr>
            </w:pPr>
            <w:r>
              <w:rPr>
                <w:b w:val="false"/>
              </w:rPr>
              <w:t>Luftkapazität im Oberboden</w:t>
            </w:r>
          </w:p>
        </w:tc>
      </w:tr>
      <w:tr>
        <w:trPr>
          <w:trHeight w:val="340" w:hRule="atLeast"/>
          <w:cantSplit w:val="false"/>
        </w:trPr>
        <w:tc>
          <w:tcPr>
            <w:tcW w:w="25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jc w:val="left"/>
              <w:rPr>
                <w:b w:val="false"/>
              </w:rPr>
            </w:pPr>
            <w:r>
              <w:rPr>
                <w:b w:val="false"/>
              </w:rPr>
              <w:t>Nährstoffversorgung</w:t>
            </w:r>
          </w:p>
        </w:tc>
        <w:tc>
          <w:tcPr>
            <w:tcW w:w="11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Cs/>
              </w:rPr>
            </w:pPr>
            <w:r>
              <w:rPr>
                <w:b w:val="false"/>
                <w:iCs/>
              </w:rPr>
              <w:t>D</w:t>
            </w:r>
          </w:p>
        </w:tc>
        <w:tc>
          <w:tcPr>
            <w:tcW w:w="52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jc w:val="left"/>
              <w:rPr>
                <w:b w:val="false"/>
              </w:rPr>
            </w:pPr>
            <w:r>
              <w:rPr>
                <w:b w:val="false"/>
              </w:rPr>
              <w:t>Vorrat austauschbarer basischer Kationen (Mb)</w:t>
            </w:r>
          </w:p>
        </w:tc>
      </w:tr>
      <w:tr>
        <w:trPr>
          <w:trHeight w:val="340" w:hRule="atLeast"/>
          <w:cantSplit w:val="false"/>
        </w:trPr>
        <w:tc>
          <w:tcPr>
            <w:tcW w:w="25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jc w:val="left"/>
              <w:rPr>
                <w:b w:val="false"/>
              </w:rPr>
            </w:pPr>
            <w:r>
              <w:rPr>
                <w:b w:val="false"/>
              </w:rPr>
              <w:t>Klima</w:t>
            </w:r>
          </w:p>
        </w:tc>
        <w:tc>
          <w:tcPr>
            <w:tcW w:w="11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Cs/>
              </w:rPr>
            </w:pPr>
            <w:r>
              <w:rPr>
                <w:b w:val="false"/>
                <w:iCs/>
              </w:rPr>
              <w:t>E</w:t>
            </w:r>
          </w:p>
        </w:tc>
        <w:tc>
          <w:tcPr>
            <w:tcW w:w="52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jc w:val="left"/>
              <w:rPr>
                <w:b w:val="false"/>
              </w:rPr>
            </w:pPr>
            <w:r>
              <w:rPr>
                <w:b w:val="false"/>
              </w:rPr>
              <w:t>Temperatur</w:t>
            </w:r>
          </w:p>
        </w:tc>
      </w:tr>
      <w:tr>
        <w:trPr>
          <w:trHeight w:val="340" w:hRule="atLeast"/>
          <w:cantSplit w:val="false"/>
        </w:trPr>
        <w:tc>
          <w:tcPr>
            <w:tcW w:w="25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jc w:val="left"/>
              <w:rPr/>
            </w:pPr>
            <w:r>
              <w:rPr/>
              <w:t>Gesamtbewertung</w:t>
            </w:r>
          </w:p>
        </w:tc>
        <w:tc>
          <w:tcPr>
            <w:tcW w:w="11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iCs/>
              </w:rPr>
            </w:pPr>
            <w:r>
              <w:rPr>
                <w:iCs/>
              </w:rPr>
              <w:t>F</w:t>
            </w:r>
          </w:p>
        </w:tc>
        <w:tc>
          <w:tcPr>
            <w:tcW w:w="52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jc w:val="left"/>
              <w:rPr>
                <w:b w:val="false"/>
              </w:rPr>
            </w:pPr>
            <w:r>
              <w:rPr>
                <w:b w:val="false"/>
              </w:rPr>
              <w:t>-</w:t>
            </w:r>
          </w:p>
        </w:tc>
      </w:tr>
      <w:tr>
        <w:trPr>
          <w:trHeight w:val="340" w:hRule="atLeast"/>
          <w:cantSplit w:val="false"/>
        </w:trPr>
        <w:tc>
          <w:tcPr>
            <w:tcW w:w="25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jc w:val="left"/>
              <w:rPr>
                <w:b w:val="false"/>
              </w:rPr>
            </w:pPr>
            <w:r>
              <w:rPr>
                <w:b w:val="false"/>
              </w:rPr>
              <w:t>Relief</w:t>
            </w:r>
          </w:p>
        </w:tc>
        <w:tc>
          <w:tcPr>
            <w:tcW w:w="11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b w:val="false"/>
                <w:iCs/>
              </w:rPr>
            </w:pPr>
            <w:r>
              <w:rPr>
                <w:b w:val="false"/>
                <w:iCs/>
              </w:rPr>
              <w:t>G</w:t>
            </w:r>
          </w:p>
        </w:tc>
        <w:tc>
          <w:tcPr>
            <w:tcW w:w="52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jc w:val="left"/>
              <w:rPr>
                <w:b w:val="false"/>
              </w:rPr>
            </w:pPr>
            <w:r>
              <w:rPr>
                <w:b w:val="false"/>
              </w:rPr>
              <w:t>Modifikation nach der Hangneigung</w:t>
            </w:r>
          </w:p>
        </w:tc>
      </w:tr>
    </w:tbl>
    <w:p>
      <w:pPr>
        <w:pStyle w:val="Normal"/>
        <w:jc w:val="both"/>
        <w:rPr>
          <w:rFonts w:cs="Arial"/>
          <w:szCs w:val="20"/>
        </w:rPr>
      </w:pPr>
      <w:r>
        <w:rPr>
          <w:rFonts w:cs="Arial"/>
          <w:szCs w:val="20"/>
        </w:rPr>
      </w:r>
    </w:p>
    <w:p>
      <w:pPr>
        <w:pStyle w:val="Aufzhlung"/>
        <w:spacing w:before="0" w:after="120"/>
        <w:ind w:left="454" w:right="0" w:hanging="284"/>
        <w:jc w:val="both"/>
        <w:rPr>
          <w:u w:val="single"/>
        </w:rPr>
      </w:pPr>
      <w:r>
        <w:rPr>
          <w:u w:val="single"/>
        </w:rPr>
        <w:t>A – Allgemeine Standortsbedingungen:</w:t>
      </w:r>
    </w:p>
    <w:p>
      <w:pPr>
        <w:pStyle w:val="Aufzhlung"/>
        <w:ind w:left="170" w:right="0" w:hanging="0"/>
        <w:jc w:val="both"/>
        <w:rPr/>
      </w:pPr>
      <w:r>
        <w:rPr/>
        <w:t>Die bodenphysikalischen Bedingungen für das Pflanzenwachstum werden anhand der Durch</w:t>
        <w:softHyphen/>
        <w:t>wurzelbarkeit und des Bodenaufbaus bestimmt. Falls die effektive Durchwurzelungstiefe bekannt ist, so ist diese heranzuziehen – ansonsten erfolgt die Bewertung dieses Kriteriums über die physiologische Gründigkeit:</w:t>
      </w:r>
    </w:p>
    <w:tbl>
      <w:tblPr>
        <w:jc w:val="left"/>
        <w:tblInd w:w="19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2266"/>
        <w:gridCol w:w="1132"/>
      </w:tblGrid>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rPr>
            </w:pPr>
            <w:r>
              <w:rPr/>
              <w:t xml:space="preserve">Physiologische Gründigkeit </w:t>
            </w:r>
            <w:r>
              <w:rPr>
                <w:b w:val="false"/>
                <w:i/>
              </w:rPr>
              <w:t>(Sx12)</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Bew. A1=</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rFonts w:ascii="Symbol" w:hAnsi="Symbol"/>
              </w:rPr>
              <w:t></w:t>
            </w:r>
            <w:r>
              <w:rPr/>
              <w:t>100 cm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1</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80 bis &lt;100 cm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2</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60 bis &lt;80 cm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3</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40 bis &lt;60 cm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4</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&lt;40 cm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5</w:t>
            </w:r>
          </w:p>
        </w:tc>
      </w:tr>
    </w:tbl>
    <w:p>
      <w:pPr>
        <w:pStyle w:val="Aufzhlung"/>
        <w:ind w:left="170" w:right="0" w:hanging="0"/>
        <w:jc w:val="both"/>
        <w:rPr/>
      </w:pPr>
      <w:r>
        <w:rPr/>
      </w:r>
    </w:p>
    <w:p>
      <w:pPr>
        <w:pStyle w:val="Aufzhlung"/>
        <w:ind w:left="170" w:right="0" w:hanging="0"/>
        <w:jc w:val="both"/>
        <w:rPr/>
      </w:pPr>
      <w:r>
        <w:rPr/>
        <w:t>Zur Beurteilung des Bodenaufbaus ist in einem ersten Schritt der Oberboden vom Unterboden abzugrenzen, da diese getrennt betrachtet werden. Analog zur Bewertung von 1.a3 Lebensraum für Bodenorganismen erfolgt die Abgrenzung des Oberbodens über die Horizontbezeichnung:</w:t>
      </w:r>
    </w:p>
    <w:p>
      <w:pPr>
        <w:pStyle w:val="Normal"/>
        <w:widowControl w:val="false"/>
        <w:numPr>
          <w:ilvl w:val="0"/>
          <w:numId w:val="4"/>
        </w:numPr>
        <w:tabs>
          <w:tab w:val="left" w:pos="709" w:leader="none"/>
          <w:tab w:val="left" w:pos="6392" w:leader="none"/>
        </w:tabs>
        <w:spacing w:lineRule="auto" w:line="240" w:before="60" w:after="60"/>
        <w:ind w:left="1780" w:right="0" w:hanging="360"/>
        <w:jc w:val="both"/>
        <w:rPr>
          <w:rFonts w:cs="Arial"/>
          <w:b/>
          <w:iCs/>
          <w:color w:val="000000"/>
          <w:szCs w:val="20"/>
        </w:rPr>
      </w:pPr>
      <w:r>
        <w:rPr>
          <w:rFonts w:cs="Arial"/>
          <w:color w:val="000000"/>
          <w:szCs w:val="20"/>
        </w:rPr>
        <w:t>bei Mooren (</w:t>
      </w:r>
      <w:r>
        <w:rPr>
          <w:rFonts w:cs="Arial"/>
          <w:iCs/>
          <w:color w:val="000000"/>
          <w:szCs w:val="20"/>
        </w:rPr>
        <w:t>S322 mit Code 2100-2120</w:t>
      </w:r>
      <w:r>
        <w:rPr>
          <w:rFonts w:cs="Arial"/>
          <w:color w:val="000000"/>
          <w:szCs w:val="20"/>
        </w:rPr>
        <w:t xml:space="preserve">): </w:t>
      </w:r>
      <w:r>
        <w:rPr>
          <w:rFonts w:cs="Arial"/>
          <w:b/>
          <w:color w:val="000000"/>
          <w:szCs w:val="20"/>
        </w:rPr>
        <w:t>H1, H2, …, H</w:t>
      </w:r>
      <w:r>
        <w:rPr>
          <w:rFonts w:cs="Arial"/>
          <w:b/>
          <w:iCs/>
          <w:color w:val="000000"/>
          <w:szCs w:val="20"/>
        </w:rPr>
        <w:t>n</w:t>
      </w:r>
      <w:r>
        <w:rPr>
          <w:rFonts w:cs="Arial"/>
          <w:iCs/>
          <w:color w:val="000000"/>
          <w:szCs w:val="20"/>
        </w:rPr>
        <w:t> </w:t>
      </w:r>
      <w:r>
        <w:rPr>
          <w:rFonts w:cs="Arial"/>
          <w:color w:val="000000"/>
          <w:szCs w:val="20"/>
        </w:rPr>
        <w:t xml:space="preserve">bzw. </w:t>
      </w:r>
      <w:r>
        <w:rPr>
          <w:rFonts w:cs="Arial"/>
          <w:b/>
          <w:color w:val="000000"/>
          <w:szCs w:val="20"/>
        </w:rPr>
        <w:t>T1, …, T</w:t>
      </w:r>
      <w:r>
        <w:rPr>
          <w:rFonts w:cs="Arial"/>
          <w:b/>
          <w:iCs/>
          <w:color w:val="000000"/>
          <w:szCs w:val="20"/>
        </w:rPr>
        <w:t>n</w:t>
      </w:r>
    </w:p>
    <w:p>
      <w:pPr>
        <w:pStyle w:val="Normal"/>
        <w:widowControl w:val="false"/>
        <w:numPr>
          <w:ilvl w:val="0"/>
          <w:numId w:val="4"/>
        </w:numPr>
        <w:tabs>
          <w:tab w:val="left" w:pos="709" w:leader="none"/>
          <w:tab w:val="left" w:pos="6392" w:leader="none"/>
        </w:tabs>
        <w:spacing w:lineRule="auto" w:line="240" w:before="60" w:after="60"/>
        <w:ind w:left="1780" w:right="0" w:hanging="360"/>
        <w:jc w:val="both"/>
        <w:rPr>
          <w:rFonts w:cs="Arial"/>
          <w:b/>
          <w:iCs/>
          <w:color w:val="000000"/>
          <w:szCs w:val="18"/>
        </w:rPr>
      </w:pPr>
      <w:r>
        <w:rPr>
          <w:rFonts w:cs="Arial"/>
          <w:color w:val="000000"/>
          <w:szCs w:val="18"/>
        </w:rPr>
        <w:t xml:space="preserve">bei Schüttungsböden (anthropogene Umlagerung, S322 mit Code 1700-1799): </w:t>
      </w:r>
      <w:r>
        <w:rPr>
          <w:rFonts w:cs="Arial"/>
          <w:b/>
          <w:color w:val="000000"/>
          <w:szCs w:val="18"/>
        </w:rPr>
        <w:t>M</w:t>
      </w:r>
      <w:r>
        <w:rPr>
          <w:rFonts w:cs="Arial"/>
          <w:b/>
          <w:iCs/>
          <w:color w:val="000000"/>
          <w:szCs w:val="18"/>
        </w:rPr>
        <w:t>xx</w:t>
      </w:r>
    </w:p>
    <w:p>
      <w:pPr>
        <w:pStyle w:val="Normal"/>
        <w:widowControl w:val="false"/>
        <w:numPr>
          <w:ilvl w:val="0"/>
          <w:numId w:val="4"/>
        </w:numPr>
        <w:tabs>
          <w:tab w:val="left" w:pos="709" w:leader="none"/>
          <w:tab w:val="left" w:pos="6392" w:leader="none"/>
        </w:tabs>
        <w:spacing w:lineRule="auto" w:line="240" w:before="60" w:after="60"/>
        <w:ind w:left="1780" w:right="0" w:hanging="360"/>
        <w:jc w:val="both"/>
        <w:rPr>
          <w:rFonts w:cs="Arial"/>
          <w:b/>
          <w:iCs/>
          <w:color w:val="000000"/>
          <w:szCs w:val="18"/>
        </w:rPr>
      </w:pPr>
      <w:r>
        <w:rPr>
          <w:rFonts w:cs="Arial"/>
          <w:color w:val="000000"/>
          <w:szCs w:val="18"/>
        </w:rPr>
        <w:t xml:space="preserve">bei terrestrischen Böden: </w:t>
      </w:r>
      <w:r>
        <w:rPr>
          <w:rFonts w:cs="Arial"/>
          <w:b/>
          <w:color w:val="000000"/>
          <w:szCs w:val="18"/>
        </w:rPr>
        <w:t>A</w:t>
      </w:r>
      <w:r>
        <w:rPr>
          <w:rFonts w:cs="Arial"/>
          <w:b/>
          <w:iCs/>
          <w:color w:val="000000"/>
          <w:szCs w:val="18"/>
        </w:rPr>
        <w:t>xx</w:t>
      </w:r>
    </w:p>
    <w:p>
      <w:pPr>
        <w:pStyle w:val="Aufzhlung"/>
        <w:ind w:left="170" w:right="0" w:hanging="0"/>
        <w:jc w:val="both"/>
        <w:rPr/>
      </w:pPr>
      <w:r>
        <w:rPr/>
        <w:t>Für den Unterboden werden nur jene verbleibenden Horizonte berücksichtigt, die oberhalb der potenziellen Durchwurzelungstiefe liegen, d.h. bis zur in Sx12</w:t>
      </w:r>
      <w:r>
        <w:rPr>
          <w:i/>
        </w:rPr>
        <w:t xml:space="preserve"> </w:t>
      </w:r>
      <w:r>
        <w:rPr/>
        <w:t>angegebenen Tiefe.</w:t>
      </w:r>
    </w:p>
    <w:p>
      <w:pPr>
        <w:pStyle w:val="Aufzhlung"/>
        <w:ind w:left="170" w:right="0" w:hanging="0"/>
        <w:jc w:val="both"/>
        <w:rPr/>
      </w:pPr>
      <w:r>
        <w:rPr/>
        <w:t xml:space="preserve">Zur Bestimmung der jeweiligen Lagerungsdichte sind jene Horizonte auszuwählen, die innerhalb des Oberbodens bzw. Unterbodens die jeweils höchste Dichte aufweisen und damit potenziell einen limitierenden Faktor für das Pflanzenwachstum darstellen. </w:t>
      </w:r>
    </w:p>
    <w:p>
      <w:pPr>
        <w:pStyle w:val="Aufzhlung"/>
        <w:ind w:left="170" w:right="0" w:hanging="0"/>
        <w:jc w:val="both"/>
        <w:rPr/>
      </w:pPr>
      <w:r>
        <w:rPr/>
        <w:t>Die Bewertung des Kriteriums „Aufbau des Bodens“ (A2) ergibt sich aus der schlechtesten Einzelbewertung von Struktur bzw. Lagerungsdichte und wird folgendermaßen durchgeführt:</w:t>
      </w:r>
    </w:p>
    <w:p>
      <w:pPr>
        <w:pStyle w:val="Aufzhlung"/>
        <w:ind w:left="170" w:right="0" w:hanging="0"/>
        <w:jc w:val="both"/>
        <w:rPr/>
      </w:pPr>
      <w:r>
        <w:rPr/>
      </w:r>
    </w:p>
    <w:p>
      <w:pPr>
        <w:pStyle w:val="Aufzhlung"/>
        <w:ind w:left="170" w:right="0" w:hanging="0"/>
        <w:jc w:val="both"/>
        <w:rPr/>
      </w:pPr>
      <w:r>
        <w:rPr/>
      </w:r>
    </w:p>
    <w:tbl>
      <w:tblPr>
        <w:jc w:val="left"/>
        <w:tblInd w:w="19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2835"/>
        <w:gridCol w:w="2266"/>
        <w:gridCol w:w="2266"/>
        <w:gridCol w:w="1138"/>
      </w:tblGrid>
      <w:tr>
        <w:trPr>
          <w:trHeight w:val="290" w:hRule="atLeast"/>
          <w:cantSplit w:val="false"/>
        </w:trPr>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rPr>
            </w:pPr>
            <w:r>
              <w:rPr/>
              <w:t xml:space="preserve">1) Struktur des Oberbodens </w:t>
            </w:r>
            <w:r>
              <w:rPr>
                <w:b w:val="false"/>
                <w:i/>
              </w:rPr>
              <w:t>(P128, P174)</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berschrift"/>
              <w:spacing w:before="120" w:after="60"/>
              <w:rPr>
                <w:b w:val="false"/>
                <w:i/>
              </w:rPr>
            </w:pPr>
            <w:r>
              <w:rPr/>
              <w:t>2) Lagerungsdichte</w:t>
              <w:br/>
              <w:t xml:space="preserve">Oberboden </w:t>
            </w:r>
            <w:r>
              <w:rPr>
                <w:b w:val="false"/>
                <w:i/>
              </w:rPr>
              <w:t>(Px03)</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berschrift"/>
              <w:spacing w:before="120" w:after="60"/>
              <w:rPr>
                <w:b w:val="false"/>
                <w:i/>
              </w:rPr>
            </w:pPr>
            <w:r>
              <w:rPr/>
              <w:t>3) Lagerungsdichte</w:t>
              <w:br/>
              <w:t xml:space="preserve">Unterboden </w:t>
            </w:r>
            <w:r>
              <w:rPr>
                <w:b w:val="false"/>
                <w:i/>
              </w:rPr>
              <w:t>(Px03)</w:t>
            </w:r>
          </w:p>
        </w:tc>
        <w:tc>
          <w:tcPr>
            <w:tcW w:w="11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Bew. A2=</w:t>
            </w:r>
          </w:p>
        </w:tc>
      </w:tr>
      <w:tr>
        <w:trPr>
          <w:trHeight w:val="290" w:hRule="atLeast"/>
          <w:cantSplit w:val="false"/>
        </w:trPr>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rFonts w:ascii="Symbol" w:hAnsi="Symbol"/>
              </w:rPr>
              <w:t></w:t>
            </w:r>
            <w:r>
              <w:rPr/>
              <w:t>50 % Krümel</w:t>
            </w:r>
          </w:p>
          <w:p>
            <w:pPr>
              <w:pStyle w:val="TabellenInhalt"/>
              <w:suppressLineNumbers/>
              <w:spacing w:lineRule="auto" w:line="240" w:before="60" w:after="60"/>
              <w:jc w:val="center"/>
              <w:rPr/>
            </w:pPr>
            <w:r>
              <w:rPr/>
              <w:t>(</w:t>
            </w:r>
            <w:r>
              <w:rPr>
                <w:i/>
              </w:rPr>
              <w:t>P128 = 470, P174 &gt;= 50</w:t>
            </w:r>
            <w:r>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11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1</w:t>
            </w:r>
          </w:p>
        </w:tc>
      </w:tr>
      <w:tr>
        <w:trPr>
          <w:trHeight w:val="290" w:hRule="atLeast"/>
          <w:cantSplit w:val="false"/>
        </w:trPr>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rFonts w:ascii="Symbol" w:hAnsi="Symbol"/>
              </w:rPr>
              <w:t></w:t>
            </w:r>
            <w:r>
              <w:rPr/>
              <w:t>25-50 % Krümel</w:t>
            </w:r>
          </w:p>
          <w:p>
            <w:pPr>
              <w:pStyle w:val="TabellenInhalt"/>
              <w:suppressLineNumbers/>
              <w:spacing w:lineRule="auto" w:line="240" w:before="60" w:after="60"/>
              <w:jc w:val="center"/>
              <w:rPr/>
            </w:pPr>
            <w:r>
              <w:rPr/>
              <w:t>(</w:t>
            </w:r>
            <w:r>
              <w:rPr>
                <w:i/>
              </w:rPr>
              <w:t xml:space="preserve">P128 = 470, </w:t>
              <w:br/>
              <w:t>P174 &gt;= 25 &amp; &lt;50</w:t>
            </w:r>
            <w:r>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11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2</w:t>
            </w:r>
          </w:p>
        </w:tc>
      </w:tr>
      <w:tr>
        <w:trPr>
          <w:trHeight w:val="290" w:hRule="atLeast"/>
          <w:cantSplit w:val="false"/>
        </w:trPr>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rFonts w:ascii="Symbol" w:hAnsi="Symbol"/>
              </w:rPr>
              <w:t></w:t>
            </w:r>
            <w:r>
              <w:rPr>
                <w:lang w:val="en-GB"/>
              </w:rPr>
              <w:t>50 % subp, brok, einz</w:t>
            </w:r>
          </w:p>
          <w:p>
            <w:pPr>
              <w:pStyle w:val="TabellenInhalt"/>
              <w:suppressLineNumbers/>
              <w:spacing w:lineRule="auto" w:line="240" w:before="60" w:after="60"/>
              <w:jc w:val="center"/>
              <w:rPr>
                <w:lang w:val="en-GB"/>
              </w:rPr>
            </w:pPr>
            <w:r>
              <w:rPr>
                <w:lang w:val="en-GB"/>
              </w:rPr>
              <w:t>(</w:t>
            </w:r>
            <w:r>
              <w:rPr>
                <w:i/>
                <w:lang w:val="en-GB"/>
              </w:rPr>
              <w:t xml:space="preserve">P128 = 450, 480, 299, </w:t>
              <w:br/>
              <w:t>P174 &gt;= 50</w:t>
            </w:r>
            <w:r>
              <w:rPr>
                <w:lang w:val="en-GB"/>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11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3</w:t>
            </w:r>
          </w:p>
        </w:tc>
      </w:tr>
      <w:tr>
        <w:trPr>
          <w:trHeight w:val="290" w:hRule="atLeast"/>
          <w:cantSplit w:val="false"/>
        </w:trPr>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GB"/>
              </w:rPr>
            </w:pPr>
            <w:r>
              <w:rPr>
                <w:rFonts w:ascii="Symbol" w:hAnsi="Symbol"/>
              </w:rPr>
              <w:t></w:t>
            </w:r>
            <w:r>
              <w:rPr>
                <w:lang w:val="en-GB"/>
              </w:rPr>
              <w:t>50 % subp, brok, einz</w:t>
            </w:r>
          </w:p>
          <w:p>
            <w:pPr>
              <w:pStyle w:val="TabellenInhalt"/>
              <w:suppressLineNumbers/>
              <w:spacing w:lineRule="auto" w:line="240" w:before="60" w:after="60"/>
              <w:jc w:val="center"/>
              <w:rPr>
                <w:lang w:val="en-GB"/>
              </w:rPr>
            </w:pPr>
            <w:r>
              <w:rPr>
                <w:lang w:val="en-GB"/>
              </w:rPr>
              <w:t>(</w:t>
            </w:r>
            <w:r>
              <w:rPr>
                <w:i/>
                <w:lang w:val="en-GB"/>
              </w:rPr>
              <w:t xml:space="preserve">P128 = 450, 480, 299, </w:t>
              <w:br/>
              <w:t>P174 &gt;= 50</w:t>
            </w:r>
            <w:r>
              <w:rPr>
                <w:lang w:val="en-GB"/>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US"/>
              </w:rPr>
            </w:pPr>
            <w:r>
              <w:rPr>
                <w:lang w:val="en-US"/>
              </w:rPr>
              <w:t>Ld3</w:t>
            </w:r>
          </w:p>
          <w:p>
            <w:pPr>
              <w:pStyle w:val="TabellenInhalt"/>
              <w:suppressLineNumbers/>
              <w:spacing w:lineRule="auto" w:line="240" w:before="60" w:after="60"/>
              <w:jc w:val="center"/>
              <w:rPr>
                <w:lang w:val="en-US"/>
              </w:rPr>
            </w:pPr>
            <w:r>
              <w:rPr>
                <w:lang w:val="en-US"/>
              </w:rPr>
              <w:t>(</w:t>
            </w:r>
            <w:r>
              <w:rPr>
                <w:i/>
                <w:lang w:val="en-US"/>
              </w:rPr>
              <w:t>Px03a: 1,4 bis 1,7 g/cm³</w:t>
            </w:r>
            <w:r>
              <w:rPr>
                <w:lang w:val="en-US"/>
              </w:rPr>
              <w:t>)</w:t>
            </w:r>
          </w:p>
        </w:tc>
        <w:tc>
          <w:tcPr>
            <w:tcW w:w="11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4</w:t>
            </w:r>
          </w:p>
        </w:tc>
      </w:tr>
      <w:tr>
        <w:trPr>
          <w:trHeight w:val="290" w:hRule="atLeast"/>
          <w:cantSplit w:val="false"/>
        </w:trPr>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alle anderen</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US"/>
              </w:rPr>
            </w:pPr>
            <w:r>
              <w:rPr>
                <w:lang w:val="en-US"/>
              </w:rPr>
              <w:t>Ld3, Ld4, Ld5</w:t>
            </w:r>
          </w:p>
          <w:p>
            <w:pPr>
              <w:pStyle w:val="TabellenInhalt"/>
              <w:suppressLineNumbers/>
              <w:spacing w:lineRule="auto" w:line="240" w:before="60" w:after="60"/>
              <w:jc w:val="center"/>
              <w:rPr>
                <w:lang w:val="en-US"/>
              </w:rPr>
            </w:pPr>
            <w:r>
              <w:rPr>
                <w:lang w:val="en-US"/>
              </w:rPr>
              <w:t>(</w:t>
            </w:r>
            <w:r>
              <w:rPr>
                <w:i/>
                <w:lang w:val="en-US"/>
              </w:rPr>
              <w:t xml:space="preserve">Px03a: </w:t>
            </w:r>
            <w:r>
              <w:rPr>
                <w:rFonts w:ascii="Symbol" w:hAnsi="Symbol"/>
                <w:i/>
              </w:rPr>
              <w:t></w:t>
            </w:r>
            <w:r>
              <w:rPr>
                <w:i/>
                <w:lang w:val="en-US"/>
              </w:rPr>
              <w:t>1,4 g/cm³</w:t>
            </w:r>
            <w:r>
              <w:rPr>
                <w:lang w:val="en-US"/>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lang w:val="en-US"/>
              </w:rPr>
            </w:pPr>
            <w:r>
              <w:rPr>
                <w:lang w:val="en-US"/>
              </w:rPr>
              <w:t>Ld4, Ld5</w:t>
            </w:r>
          </w:p>
          <w:p>
            <w:pPr>
              <w:pStyle w:val="TabellenInhalt"/>
              <w:suppressLineNumbers/>
              <w:spacing w:lineRule="auto" w:line="240" w:before="60" w:after="60"/>
              <w:jc w:val="center"/>
              <w:rPr>
                <w:lang w:val="en-US"/>
              </w:rPr>
            </w:pPr>
            <w:r>
              <w:rPr>
                <w:lang w:val="en-US"/>
              </w:rPr>
              <w:t>(</w:t>
            </w:r>
            <w:r>
              <w:rPr>
                <w:i/>
                <w:lang w:val="en-US"/>
              </w:rPr>
              <w:t>Px03a: &gt;1,7 g/cm³</w:t>
            </w:r>
            <w:r>
              <w:rPr>
                <w:lang w:val="en-US"/>
              </w:rPr>
              <w:t>)</w:t>
            </w:r>
          </w:p>
        </w:tc>
        <w:tc>
          <w:tcPr>
            <w:tcW w:w="113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Inhalt"/>
              <w:suppressLineNumbers/>
              <w:spacing w:lineRule="auto" w:line="240" w:before="60" w:after="60"/>
              <w:jc w:val="center"/>
              <w:rPr>
                <w:b/>
              </w:rPr>
            </w:pPr>
            <w:r>
              <w:rPr>
                <w:b/>
              </w:rPr>
              <w:t>5</w:t>
            </w:r>
          </w:p>
        </w:tc>
      </w:tr>
    </w:tbl>
    <w:p>
      <w:pPr>
        <w:pStyle w:val="Normal"/>
        <w:rPr>
          <w:rFonts w:cs="Arial"/>
          <w:b/>
          <w:bCs/>
          <w:color w:val="000000"/>
          <w:sz w:val="18"/>
          <w:szCs w:val="18"/>
        </w:rPr>
      </w:pPr>
      <w:r>
        <w:rPr>
          <w:rFonts w:cs="Arial"/>
          <w:b/>
          <w:bCs/>
          <w:color w:val="000000"/>
          <w:sz w:val="18"/>
          <w:szCs w:val="18"/>
        </w:rPr>
      </w:r>
    </w:p>
    <w:p>
      <w:pPr>
        <w:pStyle w:val="Aufzhlung"/>
        <w:jc w:val="both"/>
        <w:rPr>
          <w:u w:val="single"/>
        </w:rPr>
      </w:pPr>
      <w:r>
        <w:rPr>
          <w:u w:val="single"/>
        </w:rPr>
        <w:t>B – Wasserversorgung:</w:t>
      </w:r>
    </w:p>
    <w:p>
      <w:pPr>
        <w:pStyle w:val="Normal"/>
        <w:jc w:val="both"/>
        <w:rPr>
          <w:rFonts w:cs="Arial"/>
          <w:szCs w:val="20"/>
        </w:rPr>
      </w:pPr>
      <w:r>
        <w:rPr>
          <w:rFonts w:cs="Arial"/>
          <w:szCs w:val="20"/>
        </w:rPr>
        <w:t>Zur Bewertung der Wasserverhältnisse wird in erster Linie die potenzielle Menge pflanzenverfügbaren Wassers repräsentiert durch die nutzbare Feldkapazität im Wurzelraum (nFK</w:t>
      </w:r>
      <w:r>
        <w:rPr>
          <w:rFonts w:cs="Arial"/>
          <w:szCs w:val="20"/>
          <w:vertAlign w:val="subscript"/>
        </w:rPr>
        <w:t>We</w:t>
      </w:r>
      <w:r>
        <w:rPr>
          <w:rFonts w:cs="Arial"/>
          <w:szCs w:val="20"/>
        </w:rPr>
        <w:t xml:space="preserve">) betrachtet. </w:t>
      </w:r>
    </w:p>
    <w:p>
      <w:pPr>
        <w:pStyle w:val="Normal"/>
        <w:rPr>
          <w:i/>
        </w:rPr>
      </w:pPr>
      <w:r>
        <w:rPr>
          <w:i/>
        </w:rPr>
      </w:r>
    </w:p>
    <w:tbl>
      <w:tblPr>
        <w:jc w:val="left"/>
        <w:tblInd w:w="19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2266"/>
        <w:gridCol w:w="1132"/>
      </w:tblGrid>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rPr>
            </w:pPr>
            <w:r>
              <w:rPr/>
              <w:t>nFK</w:t>
            </w:r>
            <w:r>
              <w:rPr>
                <w:vertAlign w:val="subscript"/>
              </w:rPr>
              <w:t xml:space="preserve">We </w:t>
            </w:r>
            <w:r>
              <w:rPr>
                <w:b w:val="false"/>
                <w:i/>
              </w:rPr>
              <w:t>(Sx04a)</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Bew. B1=</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&gt;220 l/m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1</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&gt;140 bis 200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2</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&gt;90 bis 140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3</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&gt;60 bis 90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4</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rFonts w:ascii="Symbol" w:hAnsi="Symbol"/>
              </w:rPr>
              <w:t></w:t>
            </w:r>
            <w:r>
              <w:rPr/>
              <w:t>60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5</w:t>
            </w:r>
          </w:p>
        </w:tc>
      </w:tr>
    </w:tbl>
    <w:p>
      <w:pPr>
        <w:pStyle w:val="Normal"/>
        <w:jc w:val="both"/>
        <w:rPr>
          <w:rFonts w:cs="Arial"/>
          <w:szCs w:val="20"/>
        </w:rPr>
      </w:pPr>
      <w:r>
        <w:rPr>
          <w:rFonts w:cs="Arial"/>
          <w:szCs w:val="20"/>
        </w:rPr>
      </w:r>
    </w:p>
    <w:p>
      <w:pPr>
        <w:pStyle w:val="Normal"/>
        <w:jc w:val="both"/>
        <w:rPr>
          <w:rFonts w:cs="Arial"/>
          <w:szCs w:val="20"/>
        </w:rPr>
      </w:pPr>
      <w:r>
        <w:rPr>
          <w:rFonts w:cs="Arial"/>
          <w:szCs w:val="20"/>
        </w:rPr>
        <w:t>Weiters werden Böden ausgeschieden, die aufgrund ihrer Grundwassernähe potenzielle Feuchtstandorte und für die landwirtschaftliche Nutzung nur eingeschränkt geeignet sind (vgl. Bewertung 1a.2.2) bzw. solche, die aufgrund ihrer Grundwasserferne nicht durch kapillaren Aufstieg mit Wasser versorgt werden können. Diese Betrachtung stellt eine Vereinfachung dar, da die Aufstiegshöhe stark von der Beschaffenheit des Untergrundes abhängig ist und z.B. bei sehr skelett</w:t>
        <w:softHyphen/>
        <w:t>reichem Unterboden generell kein kapillarer Aufstieg stattfindet. Das Kriterium B2 ist nur in Talbereichen relevant und kann in Hanglagen entfallen.</w:t>
      </w:r>
    </w:p>
    <w:p>
      <w:pPr>
        <w:pStyle w:val="Normal"/>
        <w:rPr>
          <w:i/>
        </w:rPr>
      </w:pPr>
      <w:r>
        <w:rPr>
          <w:i/>
        </w:rPr>
      </w:r>
    </w:p>
    <w:tbl>
      <w:tblPr>
        <w:jc w:val="left"/>
        <w:tblInd w:w="19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2266"/>
        <w:gridCol w:w="1132"/>
      </w:tblGrid>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en-US"/>
              </w:rPr>
            </w:pPr>
            <w:r>
              <w:rPr>
                <w:lang w:val="en-US"/>
              </w:rPr>
              <w:t>GW-Flurabstand</w:t>
            </w:r>
            <w:r>
              <w:rPr>
                <w:vertAlign w:val="subscript"/>
                <w:lang w:val="en-US"/>
              </w:rPr>
              <w:t xml:space="preserve"> </w:t>
            </w:r>
            <w:r>
              <w:rPr>
                <w:b w:val="false"/>
                <w:i/>
                <w:lang w:val="en-US"/>
              </w:rPr>
              <w:t>(S153)</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Bew. B2=</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rFonts w:cs="Arial"/>
                <w:bCs/>
                <w:color w:val="000000"/>
                <w:szCs w:val="20"/>
              </w:rPr>
            </w:pPr>
            <w:r>
              <w:rPr>
                <w:rFonts w:cs="Arial" w:ascii="Symbol" w:hAnsi="Symbol"/>
                <w:bCs/>
                <w:color w:val="000000"/>
                <w:szCs w:val="20"/>
              </w:rPr>
              <w:t></w:t>
            </w:r>
            <w:r>
              <w:rPr>
                <w:rFonts w:cs="Arial"/>
                <w:bCs/>
                <w:color w:val="000000"/>
                <w:szCs w:val="20"/>
              </w:rPr>
              <w:t>0,5 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5</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&gt;0,5 bis 1 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3</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&gt;1 bis 2 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1</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&gt;2 bis 3 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2</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&gt;3 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3</w:t>
            </w:r>
          </w:p>
        </w:tc>
      </w:tr>
    </w:tbl>
    <w:p>
      <w:pPr>
        <w:pStyle w:val="Normal"/>
        <w:jc w:val="both"/>
        <w:rPr>
          <w:rFonts w:cs="Arial"/>
          <w:szCs w:val="20"/>
        </w:rPr>
      </w:pPr>
      <w:r>
        <w:rPr>
          <w:rFonts w:cs="Arial"/>
          <w:szCs w:val="20"/>
        </w:rPr>
      </w:r>
    </w:p>
    <w:p>
      <w:pPr>
        <w:pStyle w:val="Normal"/>
        <w:rPr>
          <w:i/>
        </w:rPr>
      </w:pPr>
      <w:r>
        <w:rPr>
          <w:i/>
        </w:rPr>
      </w:r>
    </w:p>
    <w:p>
      <w:pPr>
        <w:pStyle w:val="Aufzhlung"/>
        <w:jc w:val="both"/>
        <w:rPr>
          <w:u w:val="single"/>
        </w:rPr>
      </w:pPr>
      <w:r>
        <w:rPr>
          <w:u w:val="single"/>
        </w:rPr>
        <w:t>C – Luftversorgung</w:t>
      </w:r>
    </w:p>
    <w:p>
      <w:pPr>
        <w:pStyle w:val="Normal"/>
        <w:jc w:val="both"/>
        <w:rPr>
          <w:rFonts w:cs="Arial"/>
          <w:szCs w:val="20"/>
        </w:rPr>
      </w:pPr>
      <w:r>
        <w:rPr>
          <w:rFonts w:cs="Arial"/>
          <w:szCs w:val="20"/>
        </w:rPr>
        <w:t>Die Luftkapazität im Wurzelraum (LK</w:t>
      </w:r>
      <w:r>
        <w:rPr>
          <w:rFonts w:cs="Arial"/>
          <w:szCs w:val="20"/>
          <w:vertAlign w:val="subscript"/>
        </w:rPr>
        <w:t>We</w:t>
      </w:r>
      <w:r>
        <w:rPr>
          <w:rFonts w:cs="Arial"/>
          <w:szCs w:val="20"/>
        </w:rPr>
        <w:t>) lässt Rückschlüsse auf den Grad der Sauerstoffversorgung von Pflanzen</w:t>
        <w:softHyphen/>
        <w:t>wurzeln und Boden</w:t>
        <w:softHyphen/>
        <w:t>organismen zu. Bei fehlenden Grobporen und daraus resultierendem Mangel an Bodenluft ist das Pflanzenwachstum beeinträchtigt.</w:t>
      </w:r>
    </w:p>
    <w:p>
      <w:pPr>
        <w:pStyle w:val="Normal"/>
        <w:rPr>
          <w:i/>
        </w:rPr>
      </w:pPr>
      <w:r>
        <w:rPr>
          <w:i/>
        </w:rPr>
      </w:r>
    </w:p>
    <w:tbl>
      <w:tblPr>
        <w:jc w:val="left"/>
        <w:tblInd w:w="19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2266"/>
        <w:gridCol w:w="1132"/>
      </w:tblGrid>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en-US"/>
              </w:rPr>
            </w:pPr>
            <w:r>
              <w:rPr>
                <w:lang w:val="en-US"/>
              </w:rPr>
              <w:t>LK</w:t>
            </w:r>
            <w:r>
              <w:rPr>
                <w:vertAlign w:val="subscript"/>
                <w:lang w:val="en-US"/>
              </w:rPr>
              <w:t xml:space="preserve">We </w:t>
            </w:r>
            <w:r>
              <w:rPr>
                <w:b w:val="false"/>
                <w:i/>
                <w:lang w:val="en-US"/>
              </w:rPr>
              <w:t>(Sx06a)</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Bew. C=</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rFonts w:cs="Arial"/>
                <w:bCs/>
                <w:color w:val="000000"/>
                <w:szCs w:val="20"/>
              </w:rPr>
            </w:pPr>
            <w:r>
              <w:rPr>
                <w:rFonts w:cs="Arial"/>
                <w:bCs/>
                <w:color w:val="000000"/>
                <w:szCs w:val="20"/>
              </w:rPr>
              <w:t>&gt;120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1</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&gt;100 bis 120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2</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&gt;70 bis 100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3</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t>&gt;40 bis 70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4</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pPr>
            <w:r>
              <w:rPr>
                <w:rFonts w:cs="Arial" w:ascii="Symbol" w:hAnsi="Symbol"/>
                <w:bCs/>
                <w:color w:val="000000"/>
                <w:szCs w:val="18"/>
              </w:rPr>
              <w:t></w:t>
            </w:r>
            <w:r>
              <w:rPr/>
              <w:t>40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5</w:t>
            </w:r>
          </w:p>
        </w:tc>
      </w:tr>
    </w:tbl>
    <w:p>
      <w:pPr>
        <w:pStyle w:val="Normal"/>
        <w:jc w:val="both"/>
        <w:rPr>
          <w:rFonts w:cs="Arial"/>
          <w:szCs w:val="20"/>
        </w:rPr>
      </w:pPr>
      <w:r>
        <w:rPr>
          <w:rFonts w:cs="Arial"/>
          <w:szCs w:val="20"/>
        </w:rPr>
      </w:r>
    </w:p>
    <w:p>
      <w:pPr>
        <w:pStyle w:val="Aufzhlung"/>
        <w:jc w:val="both"/>
        <w:rPr>
          <w:u w:val="single"/>
        </w:rPr>
      </w:pPr>
      <w:r>
        <w:rPr>
          <w:u w:val="single"/>
        </w:rPr>
        <w:t>D – Nährstoffversorgung</w:t>
      </w:r>
    </w:p>
    <w:p>
      <w:pPr>
        <w:pStyle w:val="Normal"/>
        <w:jc w:val="both"/>
        <w:rPr/>
      </w:pPr>
      <w:r>
        <w:rPr>
          <w:rFonts w:cs="Arial"/>
          <w:szCs w:val="20"/>
        </w:rPr>
        <w:t>Das standortspezifische Nährstoffpotenzial wird aus dem so genannten S-Wert, d.h. dem Vorrat austauschbar gebundener, basischer Kationen (z.B. Ca, Mg, K, Na</w:t>
      </w:r>
      <w:r>
        <w:rPr/>
        <w:t>) abgeleitet. Dieser ergibt sich aus der potentiellen Kationenaustauschkapazität (KAK</w:t>
      </w:r>
      <w:r>
        <w:rPr>
          <w:vertAlign w:val="subscript"/>
        </w:rPr>
        <w:t>pot</w:t>
      </w:r>
      <w:r>
        <w:rPr/>
        <w:t>), einem pH-abhängigen Umrechnungsfaktor und der Gesamtmenge an Feinboden im Wurzelraum.</w:t>
      </w:r>
    </w:p>
    <w:p>
      <w:pPr>
        <w:pStyle w:val="Normal"/>
        <w:rPr>
          <w:i/>
        </w:rPr>
      </w:pPr>
      <w:r>
        <w:rPr>
          <w:i/>
        </w:rPr>
      </w:r>
    </w:p>
    <w:tbl>
      <w:tblPr>
        <w:jc w:val="left"/>
        <w:tblInd w:w="19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5" w:type="dxa"/>
          <w:bottom w:w="0" w:type="dxa"/>
          <w:right w:w="70" w:type="dxa"/>
        </w:tblCellMar>
      </w:tblPr>
      <w:tblGrid>
        <w:gridCol w:w="2266"/>
        <w:gridCol w:w="1132"/>
      </w:tblGrid>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b w:val="false"/>
                <w:i/>
                <w:lang w:val="de-AT"/>
              </w:rPr>
            </w:pPr>
            <w:r>
              <w:rPr>
                <w:lang w:val="de-AT"/>
              </w:rPr>
              <w:t>S-Wert = Mb</w:t>
            </w:r>
            <w:r>
              <w:rPr>
                <w:vertAlign w:val="subscript"/>
                <w:lang w:val="de-AT"/>
              </w:rPr>
              <w:t>We</w:t>
            </w:r>
            <w:r>
              <w:rPr>
                <w:lang w:val="de-AT"/>
              </w:rPr>
              <w:t xml:space="preserve">-Vorrat </w:t>
            </w:r>
            <w:r>
              <w:rPr>
                <w:b w:val="false"/>
                <w:i/>
                <w:lang w:val="de-AT"/>
              </w:rPr>
              <w:t>(Sx15)</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vAlign w:val="center"/>
          </w:tcPr>
          <w:p>
            <w:pPr>
              <w:pStyle w:val="Tabellenberschrift"/>
              <w:spacing w:before="120" w:after="60"/>
              <w:rPr/>
            </w:pPr>
            <w:r>
              <w:rPr/>
              <w:t>Bew. D=</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rFonts w:cs="Arial"/>
                <w:bCs/>
                <w:color w:val="000000"/>
                <w:szCs w:val="20"/>
              </w:rPr>
            </w:pPr>
            <w:r>
              <w:rPr>
                <w:rFonts w:cs="Arial"/>
                <w:bCs/>
                <w:color w:val="000000"/>
                <w:szCs w:val="20"/>
              </w:rPr>
              <w:t>&gt;600 cmol</w:t>
            </w:r>
            <w:r>
              <w:rPr>
                <w:rFonts w:cs="Arial"/>
                <w:bCs/>
                <w:color w:val="000000"/>
                <w:szCs w:val="20"/>
                <w:vertAlign w:val="subscript"/>
              </w:rPr>
              <w:t>c</w:t>
            </w:r>
            <w:r>
              <w:rPr>
                <w:rFonts w:cs="Arial"/>
                <w:bCs/>
                <w:color w:val="000000"/>
                <w:szCs w:val="20"/>
              </w:rPr>
              <w:t>/m²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1</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rFonts w:cs="Arial"/>
                <w:bCs/>
                <w:color w:val="000000"/>
                <w:szCs w:val="20"/>
              </w:rPr>
            </w:pPr>
            <w:r>
              <w:rPr>
                <w:rFonts w:cs="Arial"/>
                <w:bCs/>
                <w:color w:val="000000"/>
                <w:szCs w:val="20"/>
              </w:rPr>
              <w:t>&gt;450 bis 600 cmol</w:t>
            </w:r>
            <w:r>
              <w:rPr>
                <w:rFonts w:cs="Arial"/>
                <w:bCs/>
                <w:color w:val="000000"/>
                <w:szCs w:val="20"/>
                <w:vertAlign w:val="subscript"/>
              </w:rPr>
              <w:t>c</w:t>
            </w:r>
            <w:r>
              <w:rPr>
                <w:rFonts w:cs="Arial"/>
                <w:bCs/>
                <w:color w:val="000000"/>
                <w:szCs w:val="20"/>
              </w:rPr>
              <w:t>/m²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2</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rFonts w:cs="Arial"/>
                <w:bCs/>
                <w:color w:val="000000"/>
                <w:szCs w:val="20"/>
              </w:rPr>
            </w:pPr>
            <w:r>
              <w:rPr>
                <w:rFonts w:cs="Arial"/>
                <w:bCs/>
                <w:color w:val="000000"/>
                <w:szCs w:val="20"/>
              </w:rPr>
              <w:t>&gt;300 bis 450 cmol</w:t>
            </w:r>
            <w:r>
              <w:rPr>
                <w:rFonts w:cs="Arial"/>
                <w:bCs/>
                <w:color w:val="000000"/>
                <w:szCs w:val="20"/>
                <w:vertAlign w:val="subscript"/>
              </w:rPr>
              <w:t>c</w:t>
            </w:r>
            <w:r>
              <w:rPr>
                <w:rFonts w:cs="Arial"/>
                <w:bCs/>
                <w:color w:val="000000"/>
                <w:szCs w:val="20"/>
              </w:rPr>
              <w:t>/m²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3</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rFonts w:cs="Arial"/>
                <w:bCs/>
                <w:color w:val="000000"/>
                <w:szCs w:val="20"/>
              </w:rPr>
            </w:pPr>
            <w:r>
              <w:rPr>
                <w:rFonts w:cs="Arial"/>
                <w:bCs/>
                <w:color w:val="000000"/>
                <w:szCs w:val="20"/>
              </w:rPr>
              <w:t>&gt;150 bis 300 cmol</w:t>
            </w:r>
            <w:r>
              <w:rPr>
                <w:rFonts w:cs="Arial"/>
                <w:bCs/>
                <w:color w:val="000000"/>
                <w:szCs w:val="20"/>
                <w:vertAlign w:val="subscript"/>
              </w:rPr>
              <w:t>c</w:t>
            </w:r>
            <w:r>
              <w:rPr>
                <w:rFonts w:cs="Arial"/>
                <w:bCs/>
                <w:color w:val="000000"/>
                <w:szCs w:val="20"/>
              </w:rPr>
              <w:t>/m²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4</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rFonts w:cs="Arial"/>
                <w:bCs/>
                <w:color w:val="000000"/>
                <w:szCs w:val="20"/>
              </w:rPr>
            </w:pPr>
            <w:r>
              <w:rPr>
                <w:rFonts w:cs="Arial" w:ascii="Symbol" w:hAnsi="Symbol"/>
                <w:bCs/>
                <w:color w:val="000000"/>
                <w:szCs w:val="20"/>
              </w:rPr>
              <w:t></w:t>
            </w:r>
            <w:r>
              <w:rPr>
                <w:rFonts w:cs="Arial"/>
                <w:bCs/>
                <w:color w:val="000000"/>
                <w:szCs w:val="20"/>
              </w:rPr>
              <w:t>150 cmol</w:t>
            </w:r>
            <w:r>
              <w:rPr>
                <w:rFonts w:cs="Arial"/>
                <w:bCs/>
                <w:color w:val="000000"/>
                <w:szCs w:val="20"/>
                <w:vertAlign w:val="subscript"/>
              </w:rPr>
              <w:t>c</w:t>
            </w:r>
            <w:r>
              <w:rPr>
                <w:rFonts w:cs="Arial"/>
                <w:bCs/>
                <w:color w:val="000000"/>
                <w:szCs w:val="20"/>
              </w:rPr>
              <w:t>/m²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5" w:type="dxa"/>
            </w:tcMar>
          </w:tcPr>
          <w:p>
            <w:pPr>
              <w:pStyle w:val="TabellenInhalt"/>
              <w:suppressLineNumbers/>
              <w:spacing w:lineRule="auto" w:line="240" w:before="60" w:after="60"/>
              <w:jc w:val="center"/>
              <w:rPr>
                <w:b/>
              </w:rPr>
            </w:pPr>
            <w:r>
              <w:rPr>
                <w:b/>
              </w:rPr>
              <w:t>5</w:t>
            </w:r>
          </w:p>
        </w:tc>
      </w:tr>
    </w:tbl>
    <w:p>
      <w:pPr>
        <w:pStyle w:val="Normal"/>
        <w:jc w:val="both"/>
        <w:rPr>
          <w:rFonts w:cs="Arial"/>
          <w:szCs w:val="20"/>
        </w:rPr>
      </w:pPr>
      <w:r>
        <w:rPr>
          <w:rFonts w:cs="Arial"/>
          <w:szCs w:val="20"/>
        </w:rPr>
      </w:r>
    </w:p>
    <w:p>
      <w:pPr>
        <w:pStyle w:val="Aufzhlung"/>
        <w:jc w:val="both"/>
        <w:rPr>
          <w:u w:val="single"/>
        </w:rPr>
      </w:pPr>
      <w:r>
        <w:rPr>
          <w:u w:val="single"/>
        </w:rPr>
        <w:t>E – Klima</w:t>
      </w:r>
    </w:p>
    <w:p>
      <w:pPr>
        <w:pStyle w:val="Normal"/>
        <w:jc w:val="both"/>
        <w:rPr>
          <w:rFonts w:cs="Arial"/>
          <w:color w:val="000000"/>
          <w:szCs w:val="20"/>
        </w:rPr>
      </w:pPr>
      <w:r>
        <w:rPr>
          <w:rFonts w:cs="Arial"/>
          <w:color w:val="000000"/>
          <w:szCs w:val="20"/>
        </w:rPr>
        <w:t xml:space="preserve">Bei abnehmender Temperatur (z.B. durch zunehmende Höhe) nimmt die biologische Aktivität in Böden und damit die potenzielle Ertragsfähigkeit ab (vgl. Müller 2004: 293, VKR 6.7.1.2). </w:t>
      </w:r>
    </w:p>
    <w:p>
      <w:pPr>
        <w:pStyle w:val="Normal"/>
        <w:jc w:val="both"/>
        <w:rPr>
          <w:rFonts w:cs="Arial"/>
          <w:color w:val="000000"/>
          <w:szCs w:val="20"/>
        </w:rPr>
      </w:pPr>
      <w:r>
        <w:rPr>
          <w:rFonts w:cs="Arial"/>
          <w:color w:val="000000"/>
          <w:szCs w:val="20"/>
        </w:rPr>
        <w:t>Die in nachfolgender Tabelle gelisteten Kriterien werden nicht kombiniert, sondern alternativ herangezogen: Falls bekannt, ist die Mitteltemperatur während der Vegetationsperiode („mittlere Sommertemperatur“) zu verwenden, ansonsten die mittlere Jahrestemperatur. Sind beide Werte nicht verfügbar, so kann die Bewertung näherungsweise auch über die klimatische Höhenstufe (S181) erfolgen.</w:t>
      </w:r>
    </w:p>
    <w:p>
      <w:pPr>
        <w:pStyle w:val="Normal"/>
        <w:rPr>
          <w:i/>
          <w:color w:val="FF0000"/>
        </w:rPr>
      </w:pPr>
      <w:r>
        <w:rPr>
          <w:i/>
          <w:color w:val="FF000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549"/>
        <w:gridCol w:w="2267"/>
        <w:gridCol w:w="2690"/>
        <w:gridCol w:w="1420"/>
      </w:tblGrid>
      <w:tr>
        <w:trPr>
          <w:trHeight w:val="340" w:hRule="atLeast"/>
          <w:cantSplit w:val="false"/>
        </w:trPr>
        <w:tc>
          <w:tcPr>
            <w:tcW w:w="25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rFonts w:cs="Arial"/>
                <w:b w:val="false"/>
                <w:szCs w:val="20"/>
              </w:rPr>
            </w:pPr>
            <w:r>
              <w:rPr>
                <w:rFonts w:cs="Arial"/>
                <w:szCs w:val="20"/>
              </w:rPr>
              <w:t>mittlere Temperatur der Vegetationsperiode</w:t>
            </w:r>
            <w:r>
              <w:rPr>
                <w:rFonts w:cs="Arial"/>
                <w:b w:val="false"/>
                <w:szCs w:val="20"/>
              </w:rPr>
              <w:t xml:space="preserve"> [°C]</w:t>
            </w:r>
          </w:p>
        </w:tc>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rFonts w:cs="Arial"/>
                <w:b w:val="false"/>
                <w:szCs w:val="20"/>
              </w:rPr>
            </w:pPr>
            <w:r>
              <w:rPr>
                <w:rFonts w:cs="Arial"/>
                <w:szCs w:val="20"/>
              </w:rPr>
              <w:t>mittlere Jahres-temperatur</w:t>
            </w:r>
            <w:r>
              <w:rPr>
                <w:rFonts w:cs="Arial"/>
                <w:b w:val="false"/>
                <w:szCs w:val="20"/>
              </w:rPr>
              <w:t xml:space="preserve"> [°C]</w:t>
            </w:r>
          </w:p>
        </w:tc>
        <w:tc>
          <w:tcPr>
            <w:tcW w:w="26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berschrift"/>
              <w:spacing w:before="120" w:after="60"/>
              <w:rPr>
                <w:rFonts w:cs="Arial"/>
                <w:b w:val="false"/>
                <w:bCs w:val="false"/>
                <w:i/>
                <w:color w:val="000000"/>
                <w:szCs w:val="20"/>
              </w:rPr>
            </w:pPr>
            <w:r>
              <w:rPr>
                <w:rFonts w:cs="Arial"/>
                <w:bCs w:val="false"/>
                <w:color w:val="000000"/>
                <w:szCs w:val="20"/>
              </w:rPr>
              <w:t>klimatische Höhenstufe</w:t>
            </w:r>
            <w:r>
              <w:rPr>
                <w:rFonts w:cs="Arial"/>
                <w:b w:val="false"/>
                <w:bCs w:val="false"/>
                <w:color w:val="000000"/>
                <w:szCs w:val="20"/>
              </w:rPr>
              <w:t xml:space="preserve"> </w:t>
            </w:r>
            <w:r>
              <w:rPr>
                <w:rFonts w:cs="Arial"/>
                <w:b w:val="false"/>
                <w:bCs w:val="false"/>
                <w:i/>
                <w:color w:val="000000"/>
                <w:szCs w:val="20"/>
              </w:rPr>
              <w:t>(S181)</w:t>
            </w:r>
          </w:p>
        </w:tc>
        <w:tc>
          <w:tcPr>
            <w:tcW w:w="14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berschrift"/>
              <w:spacing w:before="120" w:after="60"/>
              <w:rPr>
                <w:szCs w:val="20"/>
              </w:rPr>
            </w:pPr>
            <w:r>
              <w:rPr>
                <w:szCs w:val="20"/>
              </w:rPr>
              <w:t>Bew. E=</w:t>
            </w:r>
          </w:p>
        </w:tc>
      </w:tr>
      <w:tr>
        <w:trPr>
          <w:trHeight w:val="340" w:hRule="atLeast"/>
          <w:cantSplit w:val="false"/>
        </w:trPr>
        <w:tc>
          <w:tcPr>
            <w:tcW w:w="25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bCs/>
                <w:szCs w:val="20"/>
              </w:rPr>
            </w:pPr>
            <w:r>
              <w:rPr>
                <w:rFonts w:cs="Arial" w:ascii="Symbol" w:hAnsi="Symbol"/>
                <w:bCs/>
                <w:szCs w:val="20"/>
              </w:rPr>
              <w:t></w:t>
            </w:r>
            <w:r>
              <w:rPr>
                <w:rFonts w:cs="Arial"/>
                <w:bCs/>
                <w:szCs w:val="20"/>
              </w:rPr>
              <w:t>18</w:t>
            </w:r>
          </w:p>
        </w:tc>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bCs/>
                <w:szCs w:val="20"/>
              </w:rPr>
            </w:pPr>
            <w:r>
              <w:rPr>
                <w:rFonts w:cs="Arial" w:ascii="Symbol" w:hAnsi="Symbol"/>
                <w:bCs/>
                <w:szCs w:val="20"/>
              </w:rPr>
              <w:t></w:t>
            </w:r>
            <w:r>
              <w:rPr>
                <w:rFonts w:cs="Arial"/>
                <w:bCs/>
                <w:szCs w:val="20"/>
              </w:rPr>
              <w:t>9,5</w:t>
            </w:r>
          </w:p>
        </w:tc>
        <w:tc>
          <w:tcPr>
            <w:tcW w:w="26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 xml:space="preserve">Tieflage (10): </w:t>
              <w:br/>
              <w:t>submontan (12)</w:t>
            </w:r>
          </w:p>
        </w:tc>
        <w:tc>
          <w:tcPr>
            <w:tcW w:w="14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1</w:t>
            </w:r>
          </w:p>
        </w:tc>
      </w:tr>
      <w:tr>
        <w:trPr>
          <w:trHeight w:val="340" w:hRule="atLeast"/>
          <w:cantSplit w:val="false"/>
        </w:trPr>
        <w:tc>
          <w:tcPr>
            <w:tcW w:w="25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bCs/>
                <w:szCs w:val="20"/>
              </w:rPr>
            </w:pPr>
            <w:r>
              <w:rPr>
                <w:rFonts w:cs="Arial"/>
                <w:bCs/>
                <w:szCs w:val="20"/>
              </w:rPr>
              <w:t>15 bis &lt;18</w:t>
            </w:r>
          </w:p>
        </w:tc>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bCs/>
                <w:szCs w:val="20"/>
              </w:rPr>
            </w:pPr>
            <w:r>
              <w:rPr>
                <w:rFonts w:cs="Arial"/>
                <w:bCs/>
                <w:szCs w:val="20"/>
              </w:rPr>
              <w:t>8 bis &lt;9,5</w:t>
            </w:r>
          </w:p>
        </w:tc>
        <w:tc>
          <w:tcPr>
            <w:tcW w:w="26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 xml:space="preserve">Mittellage (20): </w:t>
              <w:br/>
              <w:t>tiefmontan (21)</w:t>
            </w:r>
          </w:p>
        </w:tc>
        <w:tc>
          <w:tcPr>
            <w:tcW w:w="14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2</w:t>
            </w:r>
          </w:p>
        </w:tc>
      </w:tr>
      <w:tr>
        <w:trPr>
          <w:trHeight w:val="340" w:hRule="atLeast"/>
          <w:cantSplit w:val="false"/>
        </w:trPr>
        <w:tc>
          <w:tcPr>
            <w:tcW w:w="25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bCs/>
                <w:szCs w:val="20"/>
              </w:rPr>
            </w:pPr>
            <w:r>
              <w:rPr>
                <w:rFonts w:cs="Arial"/>
                <w:bCs/>
                <w:szCs w:val="20"/>
              </w:rPr>
              <w:t>12 bis &lt;15</w:t>
            </w:r>
          </w:p>
        </w:tc>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bCs/>
                <w:szCs w:val="20"/>
              </w:rPr>
            </w:pPr>
            <w:r>
              <w:rPr>
                <w:rFonts w:cs="Arial"/>
                <w:bCs/>
                <w:szCs w:val="20"/>
              </w:rPr>
              <w:t>6,5 bis &lt;8</w:t>
            </w:r>
          </w:p>
        </w:tc>
        <w:tc>
          <w:tcPr>
            <w:tcW w:w="26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Mittel- / Hochlage: mittelmontan (22)</w:t>
            </w:r>
          </w:p>
        </w:tc>
        <w:tc>
          <w:tcPr>
            <w:tcW w:w="14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3</w:t>
            </w:r>
          </w:p>
        </w:tc>
      </w:tr>
      <w:tr>
        <w:trPr>
          <w:trHeight w:val="340" w:hRule="atLeast"/>
          <w:cantSplit w:val="false"/>
        </w:trPr>
        <w:tc>
          <w:tcPr>
            <w:tcW w:w="25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bCs/>
                <w:szCs w:val="20"/>
              </w:rPr>
            </w:pPr>
            <w:r>
              <w:rPr>
                <w:rFonts w:cs="Arial"/>
                <w:bCs/>
                <w:szCs w:val="20"/>
              </w:rPr>
              <w:t>9 bis &lt;12</w:t>
            </w:r>
          </w:p>
        </w:tc>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bCs/>
                <w:szCs w:val="20"/>
              </w:rPr>
            </w:pPr>
            <w:r>
              <w:rPr>
                <w:rFonts w:cs="Arial"/>
                <w:bCs/>
                <w:szCs w:val="20"/>
              </w:rPr>
              <w:t>5 bis &lt;6,5</w:t>
            </w:r>
          </w:p>
        </w:tc>
        <w:tc>
          <w:tcPr>
            <w:tcW w:w="26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 xml:space="preserve">Mittel- / Hochlage: hochmontan (23) oder </w:t>
              <w:br/>
              <w:t>tief-subalpin (31)</w:t>
            </w:r>
          </w:p>
        </w:tc>
        <w:tc>
          <w:tcPr>
            <w:tcW w:w="14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254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bCs/>
                <w:szCs w:val="20"/>
              </w:rPr>
            </w:pPr>
            <w:r>
              <w:rPr>
                <w:rFonts w:cs="Arial"/>
                <w:bCs/>
                <w:szCs w:val="20"/>
              </w:rPr>
              <w:t>&lt;9</w:t>
            </w:r>
          </w:p>
        </w:tc>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bCs/>
                <w:szCs w:val="20"/>
              </w:rPr>
            </w:pPr>
            <w:r>
              <w:rPr>
                <w:rFonts w:cs="Arial"/>
                <w:bCs/>
                <w:szCs w:val="20"/>
              </w:rPr>
              <w:t>&lt;5</w:t>
            </w:r>
          </w:p>
        </w:tc>
        <w:tc>
          <w:tcPr>
            <w:tcW w:w="26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 xml:space="preserve">Hochlage (30): </w:t>
              <w:br/>
              <w:t>hoch-subalpin (32) oder alpin (33)</w:t>
            </w:r>
          </w:p>
        </w:tc>
        <w:tc>
          <w:tcPr>
            <w:tcW w:w="14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5</w:t>
            </w:r>
          </w:p>
        </w:tc>
      </w:tr>
    </w:tbl>
    <w:p>
      <w:pPr>
        <w:pStyle w:val="Normal"/>
        <w:rPr>
          <w:i/>
          <w:color w:val="FF0000"/>
        </w:rPr>
      </w:pPr>
      <w:r>
        <w:rPr>
          <w:i/>
          <w:color w:val="FF0000"/>
        </w:rPr>
      </w:r>
    </w:p>
    <w:p>
      <w:pPr>
        <w:pStyle w:val="Aufzhlung"/>
        <w:jc w:val="both"/>
        <w:rPr>
          <w:u w:val="single"/>
        </w:rPr>
      </w:pPr>
      <w:r>
        <w:rPr>
          <w:u w:val="single"/>
        </w:rPr>
        <w:t>F – Gesamtbewertung A bis E</w:t>
      </w:r>
    </w:p>
    <w:p>
      <w:pPr>
        <w:pStyle w:val="Normal"/>
        <w:rPr>
          <w:rFonts w:cs="Arial"/>
          <w:b/>
          <w:bCs/>
          <w:color w:val="000000"/>
          <w:sz w:val="18"/>
          <w:szCs w:val="18"/>
        </w:rPr>
      </w:pPr>
      <w:r>
        <w:rPr>
          <w:rFonts w:cs="Arial"/>
          <w:b/>
          <w:bCs/>
          <w:color w:val="000000"/>
          <w:sz w:val="18"/>
          <w:szCs w:val="18"/>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3965"/>
        <w:gridCol w:w="2976"/>
        <w:gridCol w:w="1989"/>
      </w:tblGrid>
      <w:tr>
        <w:trPr>
          <w:trHeight w:val="290" w:hRule="atLeast"/>
          <w:cantSplit w:val="false"/>
        </w:trPr>
        <w:tc>
          <w:tcPr>
            <w:tcW w:w="39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b/>
                <w:color w:val="000000"/>
                <w:szCs w:val="20"/>
              </w:rPr>
            </w:pPr>
            <w:bookmarkStart w:id="8" w:name="_Hlk248720514"/>
            <w:bookmarkEnd w:id="8"/>
            <w:r>
              <w:rPr>
                <w:rFonts w:cs="Arial"/>
                <w:b/>
                <w:color w:val="000000"/>
                <w:szCs w:val="20"/>
              </w:rPr>
              <w:t>Kriterien A bis E</w:t>
            </w:r>
          </w:p>
        </w:tc>
        <w:tc>
          <w:tcPr>
            <w:tcW w:w="29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Bezeichnung</w:t>
            </w:r>
          </w:p>
        </w:tc>
        <w:tc>
          <w:tcPr>
            <w:tcW w:w="1989"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88" w:type="dxa"/>
            </w:tcMar>
            <w:vAlign w:val="center"/>
          </w:tcPr>
          <w:p>
            <w:pPr>
              <w:pStyle w:val="Normal"/>
              <w:tabs>
                <w:tab w:val="left" w:pos="1418" w:leader="none"/>
              </w:tabs>
              <w:spacing w:before="60" w:after="60"/>
              <w:jc w:val="center"/>
              <w:rPr>
                <w:rFonts w:cs="Arial"/>
                <w:b/>
                <w:color w:val="000000"/>
                <w:szCs w:val="20"/>
              </w:rPr>
            </w:pPr>
            <w:r>
              <w:rPr>
                <w:rFonts w:cs="Arial"/>
                <w:b/>
                <w:color w:val="000000"/>
                <w:szCs w:val="20"/>
              </w:rPr>
              <w:t>Bewertung Leben_Kult</w:t>
            </w:r>
          </w:p>
        </w:tc>
      </w:tr>
      <w:tr>
        <w:trPr>
          <w:trHeight w:val="290" w:hRule="atLeast"/>
          <w:cantSplit w:val="false"/>
        </w:trPr>
        <w:tc>
          <w:tcPr>
            <w:tcW w:w="39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bookmarkStart w:id="9" w:name="_Hlk2487205141"/>
            <w:bookmarkEnd w:id="9"/>
            <w:r>
              <w:rPr>
                <w:rFonts w:cs="Arial"/>
                <w:color w:val="000000"/>
                <w:szCs w:val="20"/>
              </w:rPr>
              <w:t>mind. 2 Bewertungen = 1, max. 1x 3</w:t>
            </w:r>
          </w:p>
        </w:tc>
        <w:tc>
          <w:tcPr>
            <w:tcW w:w="29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extrem produktiv</w:t>
            </w:r>
          </w:p>
        </w:tc>
        <w:tc>
          <w:tcPr>
            <w:tcW w:w="1989"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1</w:t>
            </w:r>
          </w:p>
        </w:tc>
      </w:tr>
      <w:tr>
        <w:trPr>
          <w:trHeight w:val="290" w:hRule="atLeast"/>
          <w:cantSplit w:val="false"/>
        </w:trPr>
        <w:tc>
          <w:tcPr>
            <w:tcW w:w="39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 xml:space="preserve">mind. 2 Bewertungen </w:t>
            </w:r>
            <w:r>
              <w:rPr>
                <w:rFonts w:cs="Arial" w:ascii="Symbol" w:hAnsi="Symbol"/>
                <w:color w:val="000000"/>
                <w:szCs w:val="20"/>
              </w:rPr>
              <w:t></w:t>
            </w:r>
            <w:r>
              <w:rPr>
                <w:rFonts w:cs="Arial"/>
                <w:color w:val="000000"/>
                <w:szCs w:val="20"/>
              </w:rPr>
              <w:t>2, max. 1x 3</w:t>
            </w:r>
          </w:p>
        </w:tc>
        <w:tc>
          <w:tcPr>
            <w:tcW w:w="29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sehr produktiv</w:t>
            </w:r>
          </w:p>
        </w:tc>
        <w:tc>
          <w:tcPr>
            <w:tcW w:w="1989"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2</w:t>
            </w:r>
          </w:p>
        </w:tc>
      </w:tr>
      <w:tr>
        <w:trPr>
          <w:trHeight w:val="290" w:hRule="atLeast"/>
          <w:cantSplit w:val="false"/>
        </w:trPr>
        <w:tc>
          <w:tcPr>
            <w:tcW w:w="39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 xml:space="preserve">mind. 2 Bewertungen </w:t>
            </w:r>
            <w:r>
              <w:rPr>
                <w:rFonts w:cs="Arial" w:ascii="Symbol" w:hAnsi="Symbol"/>
                <w:color w:val="000000"/>
                <w:szCs w:val="20"/>
              </w:rPr>
              <w:t></w:t>
            </w:r>
            <w:r>
              <w:rPr>
                <w:rFonts w:cs="Arial"/>
                <w:color w:val="000000"/>
                <w:szCs w:val="20"/>
              </w:rPr>
              <w:t>3, max. 1x 4</w:t>
            </w:r>
          </w:p>
        </w:tc>
        <w:tc>
          <w:tcPr>
            <w:tcW w:w="29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mittelmäßig produktiv</w:t>
            </w:r>
          </w:p>
        </w:tc>
        <w:tc>
          <w:tcPr>
            <w:tcW w:w="1989"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3</w:t>
            </w:r>
          </w:p>
        </w:tc>
      </w:tr>
      <w:tr>
        <w:trPr>
          <w:trHeight w:val="290" w:hRule="atLeast"/>
          <w:cantSplit w:val="false"/>
        </w:trPr>
        <w:tc>
          <w:tcPr>
            <w:tcW w:w="39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 xml:space="preserve">mind. 2 Bewertungen </w:t>
            </w:r>
            <w:r>
              <w:rPr>
                <w:rFonts w:cs="Arial" w:ascii="Symbol" w:hAnsi="Symbol"/>
                <w:color w:val="000000"/>
                <w:szCs w:val="20"/>
              </w:rPr>
              <w:t></w:t>
            </w:r>
            <w:r>
              <w:rPr>
                <w:rFonts w:cs="Arial"/>
                <w:color w:val="000000"/>
                <w:szCs w:val="20"/>
              </w:rPr>
              <w:t>4</w:t>
            </w:r>
          </w:p>
        </w:tc>
        <w:tc>
          <w:tcPr>
            <w:tcW w:w="29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wenig produktiv</w:t>
            </w:r>
          </w:p>
        </w:tc>
        <w:tc>
          <w:tcPr>
            <w:tcW w:w="1989"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4</w:t>
            </w:r>
          </w:p>
        </w:tc>
      </w:tr>
      <w:tr>
        <w:trPr>
          <w:trHeight w:val="290" w:hRule="atLeast"/>
          <w:cantSplit w:val="false"/>
        </w:trPr>
        <w:tc>
          <w:tcPr>
            <w:tcW w:w="39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max. 1 Bewertung = 4, sonst alle 5</w:t>
            </w:r>
          </w:p>
        </w:tc>
        <w:tc>
          <w:tcPr>
            <w:tcW w:w="29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sehr wenig produktiv</w:t>
            </w:r>
          </w:p>
        </w:tc>
        <w:tc>
          <w:tcPr>
            <w:tcW w:w="1989"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5</w:t>
            </w:r>
          </w:p>
        </w:tc>
      </w:tr>
    </w:tbl>
    <w:p>
      <w:pPr>
        <w:pStyle w:val="Normal"/>
        <w:tabs>
          <w:tab w:val="left" w:pos="2836" w:leader="none"/>
        </w:tabs>
        <w:jc w:val="both"/>
        <w:rPr>
          <w:rFonts w:cs="Arial"/>
          <w:i/>
          <w:color w:val="000000"/>
          <w:sz w:val="18"/>
          <w:szCs w:val="18"/>
        </w:rPr>
      </w:pPr>
      <w:r>
        <w:rPr>
          <w:rFonts w:cs="Arial"/>
          <w:i/>
          <w:color w:val="000000"/>
          <w:sz w:val="18"/>
          <w:szCs w:val="18"/>
        </w:rPr>
        <w:t>Anm.: Die Teilkriterien A1 und A2 bzw. B1 und B2 gehen – sofern relevant – als eigene Kriterien in die Gesamtbewertung ein!</w:t>
      </w:r>
    </w:p>
    <w:p>
      <w:pPr>
        <w:pStyle w:val="Normal"/>
        <w:tabs>
          <w:tab w:val="left" w:pos="2836" w:leader="none"/>
        </w:tabs>
        <w:jc w:val="both"/>
        <w:rPr>
          <w:rFonts w:cs="Arial"/>
          <w:color w:val="000000"/>
          <w:sz w:val="18"/>
          <w:szCs w:val="18"/>
        </w:rPr>
      </w:pPr>
      <w:r>
        <w:rPr>
          <w:rFonts w:cs="Arial"/>
          <w:color w:val="000000"/>
          <w:sz w:val="18"/>
          <w:szCs w:val="18"/>
        </w:rPr>
      </w:r>
    </w:p>
    <w:p>
      <w:pPr>
        <w:pStyle w:val="Aufzhlung"/>
        <w:jc w:val="both"/>
        <w:rPr>
          <w:u w:val="single"/>
        </w:rPr>
      </w:pPr>
      <w:r>
        <w:rPr>
          <w:u w:val="single"/>
        </w:rPr>
        <w:t>G – Modifikation nach der Hangneigung</w:t>
      </w:r>
    </w:p>
    <w:p>
      <w:pPr>
        <w:pStyle w:val="Normal"/>
        <w:jc w:val="both"/>
        <w:rPr>
          <w:rFonts w:cs="Arial"/>
          <w:bCs/>
          <w:color w:val="000000"/>
          <w:szCs w:val="18"/>
        </w:rPr>
      </w:pPr>
      <w:r>
        <w:rPr>
          <w:rFonts w:cs="Arial"/>
          <w:bCs/>
          <w:color w:val="000000"/>
          <w:szCs w:val="18"/>
        </w:rPr>
        <w:t xml:space="preserve">Durch die erschwerte Bearbeitbarkeit von Hanglagen werden Abschläge in der Bewertung ab einer bestimmten Hangneigung vergeben. </w:t>
      </w:r>
    </w:p>
    <w:p>
      <w:pPr>
        <w:pStyle w:val="Normal"/>
        <w:tabs>
          <w:tab w:val="left" w:pos="2836" w:leader="none"/>
        </w:tabs>
        <w:jc w:val="both"/>
        <w:rPr>
          <w:rFonts w:cs="Arial"/>
          <w:color w:val="000000"/>
          <w:sz w:val="18"/>
          <w:szCs w:val="18"/>
        </w:rPr>
      </w:pPr>
      <w:r>
        <w:rPr>
          <w:rFonts w:cs="Arial"/>
          <w:color w:val="000000"/>
          <w:sz w:val="18"/>
          <w:szCs w:val="18"/>
        </w:rPr>
      </w:r>
    </w:p>
    <w:tbl>
      <w:tblPr>
        <w:jc w:val="left"/>
        <w:tblInd w:w="2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6523"/>
        <w:gridCol w:w="1709"/>
      </w:tblGrid>
      <w:tr>
        <w:trPr>
          <w:trHeight w:val="340" w:hRule="atLeast"/>
          <w:cantSplit w:val="false"/>
        </w:trPr>
        <w:tc>
          <w:tcPr>
            <w:tcW w:w="65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rPr>
                <w:rFonts w:cs="Arial"/>
                <w:i/>
                <w:szCs w:val="20"/>
              </w:rPr>
            </w:pPr>
            <w:r>
              <w:rPr>
                <w:rFonts w:cs="Arial"/>
                <w:b/>
                <w:szCs w:val="20"/>
              </w:rPr>
              <w:t xml:space="preserve">Hangneigung </w:t>
            </w:r>
            <w:r>
              <w:rPr>
                <w:rFonts w:cs="Arial"/>
                <w:i/>
                <w:szCs w:val="20"/>
              </w:rPr>
              <w:t>(S135)</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Korrektur</w:t>
            </w:r>
          </w:p>
        </w:tc>
      </w:tr>
      <w:tr>
        <w:trPr>
          <w:trHeight w:val="290" w:hRule="atLeast"/>
          <w:cantSplit w:val="false"/>
        </w:trPr>
        <w:tc>
          <w:tcPr>
            <w:tcW w:w="65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rPr>
                <w:rFonts w:cs="Arial"/>
                <w:szCs w:val="20"/>
              </w:rPr>
            </w:pPr>
            <w:r>
              <w:rPr>
                <w:rFonts w:cs="Arial"/>
                <w:szCs w:val="20"/>
              </w:rPr>
              <w:t>bis 10° = eben bis leicht hängig / mäßig geneigt (11-13, 21-23)</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0</w:t>
            </w:r>
          </w:p>
        </w:tc>
      </w:tr>
      <w:tr>
        <w:trPr>
          <w:trHeight w:val="290" w:hRule="atLeast"/>
          <w:cantSplit w:val="false"/>
        </w:trPr>
        <w:tc>
          <w:tcPr>
            <w:tcW w:w="65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rPr>
                <w:rFonts w:cs="Arial"/>
                <w:szCs w:val="20"/>
              </w:rPr>
            </w:pPr>
            <w:r>
              <w:rPr>
                <w:rFonts w:cs="Arial"/>
                <w:szCs w:val="20"/>
              </w:rPr>
              <w:t>&gt;10 bis 20° = hängig / stark geneigt (14, 24)</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+1,0</w:t>
            </w:r>
          </w:p>
        </w:tc>
      </w:tr>
      <w:tr>
        <w:trPr>
          <w:trHeight w:val="290" w:hRule="atLeast"/>
          <w:cantSplit w:val="false"/>
        </w:trPr>
        <w:tc>
          <w:tcPr>
            <w:tcW w:w="65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rPr>
                <w:rFonts w:cs="Arial"/>
                <w:szCs w:val="20"/>
              </w:rPr>
            </w:pPr>
            <w:r>
              <w:rPr>
                <w:rFonts w:cs="Arial"/>
                <w:szCs w:val="20"/>
              </w:rPr>
              <w:t>&gt;20 bis 30° = stark hängig / steil (15, 25)</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+2,0</w:t>
            </w:r>
          </w:p>
        </w:tc>
      </w:tr>
      <w:tr>
        <w:trPr>
          <w:trHeight w:val="350" w:hRule="atLeast"/>
          <w:cantSplit w:val="false"/>
        </w:trPr>
        <w:tc>
          <w:tcPr>
            <w:tcW w:w="652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rPr>
                <w:rFonts w:cs="Arial"/>
                <w:szCs w:val="20"/>
              </w:rPr>
            </w:pPr>
            <w:r>
              <w:rPr>
                <w:rFonts w:cs="Arial"/>
                <w:szCs w:val="20"/>
              </w:rPr>
              <w:t xml:space="preserve">&gt;30° = (sehr) schroff / (sehr) steilhängig (16, 17, 26, 27) </w:t>
            </w:r>
          </w:p>
        </w:tc>
        <w:tc>
          <w:tcPr>
            <w:tcW w:w="170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 xml:space="preserve">Leben_Kult = 5 </w:t>
            </w:r>
          </w:p>
        </w:tc>
      </w:tr>
    </w:tbl>
    <w:p>
      <w:pPr>
        <w:pStyle w:val="Normal"/>
        <w:rPr/>
      </w:pPr>
      <w:r>
        <w:rPr/>
      </w:r>
    </w:p>
    <w:p>
      <w:pPr>
        <w:pStyle w:val="Normal"/>
        <w:rPr>
          <w:rFonts w:cs="Arial"/>
          <w:bCs/>
          <w:color w:val="000000"/>
          <w:szCs w:val="18"/>
        </w:rPr>
      </w:pPr>
      <w:r>
        <w:rPr>
          <w:rFonts w:cs="Arial"/>
          <w:bCs/>
          <w:color w:val="000000"/>
          <w:szCs w:val="18"/>
        </w:rPr>
        <w:t>Bei an sich gut, aufgrund von Hangneigung und Höhenlage jedoch schlechter bewerteten Böden sollte das Potenzial der „Nutzung als Almwiese“ im Kommentar vermerkt werden.</w:t>
      </w:r>
    </w:p>
    <w:p>
      <w:pPr>
        <w:pStyle w:val="Normal"/>
        <w:rPr>
          <w:rFonts w:cs="Arial"/>
          <w:bCs/>
          <w:color w:val="000000"/>
          <w:szCs w:val="18"/>
        </w:rPr>
      </w:pPr>
      <w:r>
        <w:rPr>
          <w:rFonts w:cs="Arial"/>
          <w:bCs/>
          <w:color w:val="000000"/>
          <w:szCs w:val="18"/>
        </w:rPr>
      </w:r>
    </w:p>
    <w:p>
      <w:pPr>
        <w:pStyle w:val="Normal"/>
        <w:jc w:val="both"/>
        <w:rPr>
          <w:rFonts w:cs="Arial"/>
          <w:szCs w:val="20"/>
        </w:rPr>
      </w:pPr>
      <w:r>
        <w:rPr>
          <w:rFonts w:cs="Arial"/>
          <w:szCs w:val="20"/>
        </w:rPr>
        <w:t>Aufgrund der geringen Bedeutung des Ackerbaus im Untersuchungsgebiet erfolgt die Bewertung im Hinblick auf das Potenzial zur Nutzung als Grünland (Wiese, Weide). Bei einer angestrebten Nutzung als Acker, insbesondere für den Anbau von Futtermais ist die Erosionsgefährdung der bewerteten Fläche zu berücksichtigen.</w:t>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BerschriftRahmen"/>
        <w:rPr/>
      </w:pPr>
      <w:r>
        <w:rPr/>
        <w:t>Funktionen im Naturhaushalt</w:t>
      </w:r>
    </w:p>
    <w:p>
      <w:pPr>
        <w:pStyle w:val="Heading3"/>
        <w:rPr/>
      </w:pPr>
      <w:r>
        <w:rPr/>
        <w:t>1c.1) Retentionsvermögen für Niederschläge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Hangneigung (S135)</w:t>
      </w:r>
    </w:p>
    <w:p>
      <w:pPr>
        <w:pStyle w:val="Normal"/>
        <w:ind w:left="142" w:right="0" w:hanging="0"/>
        <w:rPr>
          <w:rFonts w:cs="Arial"/>
          <w:i/>
          <w:szCs w:val="20"/>
        </w:rPr>
      </w:pPr>
      <w:r>
        <w:rPr>
          <w:rFonts w:cs="Arial"/>
          <w:i/>
          <w:szCs w:val="20"/>
        </w:rPr>
        <w:t>Grundwasserflurabstand (S153)</w:t>
      </w:r>
    </w:p>
    <w:p>
      <w:pPr>
        <w:pStyle w:val="Normal"/>
        <w:ind w:left="142" w:right="0" w:hanging="0"/>
        <w:rPr>
          <w:rFonts w:cs="Arial"/>
          <w:i/>
          <w:szCs w:val="20"/>
        </w:rPr>
      </w:pPr>
      <w:r>
        <w:rPr>
          <w:rFonts w:cs="Arial"/>
          <w:i/>
          <w:szCs w:val="20"/>
        </w:rPr>
        <w:t>Bodentyp (</w:t>
      </w:r>
      <w:r>
        <w:rPr>
          <w:rFonts w:cs="Arial"/>
          <w:i/>
          <w:color w:val="000000"/>
          <w:szCs w:val="20"/>
        </w:rPr>
        <w:t>S322</w:t>
      </w:r>
      <w:r>
        <w:rPr>
          <w:rFonts w:cs="Arial"/>
          <w:i/>
          <w:szCs w:val="20"/>
        </w:rPr>
        <w:t>)</w:t>
      </w:r>
    </w:p>
    <w:p>
      <w:pPr>
        <w:pStyle w:val="Normal"/>
        <w:ind w:left="142" w:right="0" w:hanging="0"/>
        <w:rPr>
          <w:rFonts w:cs="Arial"/>
          <w:i/>
          <w:szCs w:val="20"/>
        </w:rPr>
      </w:pPr>
      <w:r>
        <w:rPr>
          <w:rFonts w:cs="Arial"/>
          <w:i/>
          <w:szCs w:val="20"/>
        </w:rPr>
        <w:t>Wasserspeichervermögen (Px10)</w:t>
      </w:r>
    </w:p>
    <w:p>
      <w:pPr>
        <w:pStyle w:val="Normal"/>
        <w:ind w:left="142" w:right="0" w:hanging="0"/>
        <w:rPr>
          <w:rFonts w:cs="Arial"/>
          <w:i/>
          <w:szCs w:val="20"/>
        </w:rPr>
      </w:pPr>
      <w:r>
        <w:rPr>
          <w:rFonts w:cs="Arial"/>
          <w:i/>
          <w:szCs w:val="20"/>
        </w:rPr>
        <w:t xml:space="preserve">gesättigte Wasserleitfähigkeit (Px12) </w:t>
      </w:r>
    </w:p>
    <w:p>
      <w:pPr>
        <w:pStyle w:val="Normal"/>
        <w:ind w:left="142" w:right="0" w:firstLine="566"/>
        <w:rPr>
          <w:rFonts w:cs="Arial"/>
          <w:i/>
          <w:szCs w:val="20"/>
        </w:rPr>
      </w:pPr>
      <w:r>
        <w:rPr>
          <w:rFonts w:cs="Arial"/>
          <w:i/>
          <w:szCs w:val="20"/>
        </w:rPr>
        <w:t>daraus abgeleitet: minimaler kf-Wert (kf</w:t>
      </w:r>
      <w:r>
        <w:rPr>
          <w:rFonts w:cs="Arial"/>
          <w:i/>
          <w:szCs w:val="20"/>
          <w:vertAlign w:val="subscript"/>
        </w:rPr>
        <w:t>min</w:t>
      </w:r>
      <w:r>
        <w:rPr>
          <w:rFonts w:cs="Arial"/>
          <w:i/>
          <w:szCs w:val="20"/>
        </w:rPr>
        <w:t xml:space="preserve"> = Sx10)</w:t>
      </w:r>
    </w:p>
    <w:p>
      <w:pPr>
        <w:pStyle w:val="Normal"/>
        <w:rPr>
          <w:rFonts w:cs="Arial"/>
          <w:b/>
          <w:i/>
          <w:sz w:val="22"/>
          <w:szCs w:val="22"/>
        </w:rPr>
      </w:pPr>
      <w:r>
        <w:rPr>
          <w:rFonts w:cs="Arial"/>
          <w:b/>
          <w:i/>
          <w:sz w:val="22"/>
          <w:szCs w:val="22"/>
        </w:rPr>
      </w:r>
    </w:p>
    <w:p>
      <w:pPr>
        <w:pStyle w:val="Normal"/>
        <w:rPr>
          <w:rFonts w:cs="Arial"/>
          <w:i/>
          <w:szCs w:val="20"/>
        </w:rPr>
      </w:pPr>
      <w:r>
        <w:rPr>
          <w:rFonts w:cs="Arial"/>
          <w:b/>
          <w:i/>
          <w:szCs w:val="20"/>
        </w:rPr>
        <w:t>Methodik:</w:t>
      </w:r>
      <w:r>
        <w:rPr>
          <w:rFonts w:cs="Arial"/>
          <w:i/>
          <w:szCs w:val="20"/>
        </w:rPr>
        <w:t xml:space="preserve"> Umweltministerium Baden-Württemberg (1995: 25f.), BayGLA (2003: 40ff.) – modifiziert</w:t>
      </w:r>
    </w:p>
    <w:p>
      <w:pPr>
        <w:pStyle w:val="Normal"/>
        <w:rPr>
          <w:rFonts w:cs="Arial"/>
          <w:b/>
          <w:i/>
          <w:sz w:val="22"/>
          <w:szCs w:val="22"/>
        </w:rPr>
      </w:pPr>
      <w:r>
        <w:rPr>
          <w:rFonts w:cs="Arial"/>
          <w:b/>
          <w:i/>
          <w:sz w:val="22"/>
          <w:szCs w:val="22"/>
        </w:rPr>
      </w:r>
    </w:p>
    <w:p>
      <w:pPr>
        <w:pStyle w:val="Normal"/>
        <w:jc w:val="both"/>
        <w:rPr>
          <w:rFonts w:cs="Arial"/>
          <w:szCs w:val="20"/>
        </w:rPr>
      </w:pPr>
      <w:r>
        <w:rPr>
          <w:rFonts w:cs="Arial"/>
          <w:szCs w:val="20"/>
        </w:rPr>
        <w:t>Bewertet wird die Fähigkeit des Bodens Wasser aufzunehmen, das bei lang anhaltenden Nieder</w:t>
        <w:softHyphen/>
        <w:t>schlägen auf der jeweiligen Fläche anfällt oder von benachbarten (versiegelten) Flächen zufließt. In den Grobporen des Bodens (&gt;50 µm = Luftkapazität) wird das Wasser kurzzeitig aufgenommen und – abhängig von der Durchlässigkeit der unterliegenden Horizonte – mehr oder weniger rasch an das Grundwasser abgegeben, während in den Poren mittlere Größe (0,2 bis 50 µm = nutzbare Feld</w:t>
        <w:softHyphen/>
        <w:t xml:space="preserve">kapazität) das infiltrierte Wasser gespeichert und zeitlich verzögert wieder an Pflanzen bzw. durch Evapotranspiration weiter an die Atmosphäre abgegeben wird. Durch diese Prozesse wird die Menge oberflächlich abfließenden Wassers reduziert, der Boden leistet damit einen wichtigen Beitrag zum Hochwasserschutz. Darüber hinaus spielt die Wasserrückhaltefähigkeit auch eine wichtige Rolle bei der Filterung von Schadstoffen (siehe 1c.3), der Regulierung des Mikroklimas und der Versorgung von Pflanzen. </w:t>
      </w:r>
    </w:p>
    <w:p>
      <w:pPr>
        <w:pStyle w:val="Normal"/>
        <w:jc w:val="both"/>
        <w:rPr/>
      </w:pPr>
      <w:r>
        <w:rPr/>
      </w:r>
    </w:p>
    <w:p>
      <w:pPr>
        <w:pStyle w:val="Normal"/>
        <w:spacing w:before="0" w:after="120"/>
        <w:rPr>
          <w:rFonts w:cs="Arial"/>
          <w:szCs w:val="20"/>
          <w:u w:val="single"/>
        </w:rPr>
      </w:pPr>
      <w:r>
        <w:rPr>
          <w:rFonts w:cs="Arial"/>
          <w:szCs w:val="20"/>
          <w:u w:val="single"/>
        </w:rPr>
        <w:t>Schritt 1 – Bestimmung der WSV-Berechnungsmethode nach der Hangneigung (vgl. Px10)</w:t>
      </w:r>
    </w:p>
    <w:p>
      <w:pPr>
        <w:pStyle w:val="Normal"/>
        <w:jc w:val="both"/>
        <w:rPr>
          <w:rFonts w:cs="Arial"/>
          <w:szCs w:val="20"/>
        </w:rPr>
      </w:pPr>
      <w:r>
        <w:rPr>
          <w:rFonts w:cs="Arial"/>
          <w:szCs w:val="20"/>
        </w:rPr>
        <w:t xml:space="preserve">Beurteilt wird also einerseits die Eignung des Bodens Wasser aufzunehmen und zwischenzuspeichern und andererseits anfallendes Wasser in den Untergrund weiterzuleiten. Die Bewertung wird dabei nach den Geländeverhältnissen differenziert: In „abflussträgen Lagen“, d.h. auf ebenen oder nur schwach geneigten Flächen sind sowohl die möglichst große Speicherfähigkeit (in den Poren mittlerer Größe) als auch die schnelle Versickerung und rasche Weiterleitung an das Grundwasser (aus den schnell entwässernden Grobporen) wichtig, um Überschwemmungen zu vermeiden. </w:t>
      </w:r>
    </w:p>
    <w:p>
      <w:pPr>
        <w:pStyle w:val="Normal"/>
        <w:jc w:val="both"/>
        <w:rPr>
          <w:rFonts w:cs="Arial"/>
          <w:szCs w:val="20"/>
        </w:rPr>
      </w:pPr>
      <w:r>
        <w:rPr>
          <w:rFonts w:cs="Arial"/>
          <w:szCs w:val="20"/>
        </w:rPr>
        <w:t>In Hanglagen (&gt;9%, siehe BayGLA 2003: 40; in Umweltbundesamt Baden-Württemberg 1995: 25 wird ein Grenzwert von 6% angegeben) ist die Rückhaltefähigkeit von zentraler Bedeutung, da Sickerwasser ansonsten entlang von Stauhorizonten oder tiefer gelegenen, stauenden Schichten rasch oberflächennah, hangparallel abflusswirksam werden kann.</w:t>
      </w:r>
    </w:p>
    <w:p>
      <w:pPr>
        <w:pStyle w:val="Normal"/>
        <w:jc w:val="both"/>
        <w:rPr/>
      </w:pPr>
      <w:r>
        <w:rPr/>
      </w:r>
    </w:p>
    <w:p>
      <w:pPr>
        <w:pStyle w:val="Normal"/>
        <w:jc w:val="both"/>
        <w:rPr>
          <w:rFonts w:cs="Arial"/>
          <w:szCs w:val="20"/>
        </w:rPr>
      </w:pPr>
      <w:r>
        <w:rPr>
          <w:rFonts w:cs="Arial"/>
          <w:szCs w:val="20"/>
        </w:rPr>
        <w:t xml:space="preserve">Böden auf Flächen mit &lt;9% Neigung (eben bis schwach geneigt, S135 = 11-12 bzw. 21-22): </w:t>
      </w:r>
    </w:p>
    <w:p>
      <w:pPr>
        <w:pStyle w:val="Normal"/>
        <w:ind w:left="0" w:right="0" w:firstLine="708"/>
        <w:jc w:val="both"/>
        <w:rPr>
          <w:rFonts w:cs="Arial"/>
          <w:szCs w:val="20"/>
        </w:rPr>
      </w:pPr>
      <w:r>
        <w:rPr>
          <w:rFonts w:cs="Arial"/>
          <w:szCs w:val="20"/>
        </w:rPr>
        <w:t>Wasserspeichervermögen (WSV) = nutzbare Feldkapazität (nFK) + Luftkapazität (LK)</w:t>
      </w:r>
    </w:p>
    <w:p>
      <w:pPr>
        <w:pStyle w:val="Normal"/>
        <w:jc w:val="both"/>
        <w:rPr>
          <w:lang w:val="de-AT"/>
        </w:rPr>
      </w:pPr>
      <w:r>
        <w:rPr>
          <w:lang w:val="de-AT"/>
        </w:rPr>
      </w:r>
    </w:p>
    <w:p>
      <w:pPr>
        <w:pStyle w:val="Normal"/>
        <w:jc w:val="both"/>
        <w:rPr>
          <w:rFonts w:cs="Arial"/>
          <w:szCs w:val="20"/>
        </w:rPr>
      </w:pPr>
      <w:r>
        <w:rPr>
          <w:lang w:val="de-AT"/>
        </w:rPr>
        <w:t>Böden auf Flächen mit</w:t>
      </w:r>
      <w:r>
        <w:rPr>
          <w:rFonts w:cs="Arial"/>
          <w:szCs w:val="20"/>
        </w:rPr>
        <w:t xml:space="preserve"> </w:t>
      </w:r>
      <w:r>
        <w:rPr>
          <w:rFonts w:cs="Arial" w:ascii="Symbol" w:hAnsi="Symbol"/>
          <w:bCs/>
          <w:szCs w:val="20"/>
        </w:rPr>
        <w:t></w:t>
      </w:r>
      <w:r>
        <w:rPr>
          <w:rFonts w:cs="Arial"/>
          <w:szCs w:val="20"/>
        </w:rPr>
        <w:t xml:space="preserve">9% Neigung (S135 = 13-17 bzw. 23-27): </w:t>
      </w:r>
    </w:p>
    <w:p>
      <w:pPr>
        <w:pStyle w:val="Normal"/>
        <w:ind w:left="0" w:right="0" w:firstLine="708"/>
        <w:jc w:val="both"/>
        <w:rPr>
          <w:rFonts w:cs="Arial"/>
          <w:szCs w:val="20"/>
        </w:rPr>
      </w:pPr>
      <w:r>
        <w:rPr>
          <w:rFonts w:cs="Arial"/>
          <w:szCs w:val="20"/>
        </w:rPr>
        <w:t>Wasserspeichervermögen (WSV) = nutzbare Feldkapazität (nFK)</w:t>
      </w:r>
    </w:p>
    <w:p>
      <w:pPr>
        <w:pStyle w:val="Normal"/>
        <w:jc w:val="both"/>
        <w:rPr>
          <w:rFonts w:cs="Arial"/>
          <w:szCs w:val="20"/>
        </w:rPr>
      </w:pPr>
      <w:r>
        <w:rPr>
          <w:rFonts w:cs="Arial"/>
          <w:szCs w:val="20"/>
        </w:rPr>
      </w:r>
    </w:p>
    <w:p>
      <w:pPr>
        <w:pStyle w:val="Normal"/>
        <w:spacing w:before="0" w:after="120"/>
        <w:rPr>
          <w:rFonts w:cs="Arial"/>
          <w:szCs w:val="20"/>
          <w:u w:val="single"/>
        </w:rPr>
      </w:pPr>
      <w:r>
        <w:rPr>
          <w:rFonts w:cs="Arial"/>
          <w:szCs w:val="20"/>
          <w:u w:val="single"/>
        </w:rPr>
        <w:t>Schritt 2 – Bestimmung des zu bewertenden Bereiches (BB)</w:t>
      </w:r>
    </w:p>
    <w:p>
      <w:pPr>
        <w:pStyle w:val="Normal"/>
        <w:spacing w:before="0" w:after="120"/>
        <w:jc w:val="both"/>
        <w:rPr>
          <w:rFonts w:cs="Arial"/>
          <w:szCs w:val="20"/>
        </w:rPr>
      </w:pPr>
      <w:r>
        <w:rPr>
          <w:rFonts w:cs="Arial"/>
          <w:szCs w:val="20"/>
        </w:rPr>
        <w:t xml:space="preserve">Weiters ist zu beachten, dass für die Bewertung bei Grundwasser beeinflussten Böden (Gleye, Moore) nur der Bereich oberhalb des Gr-Horizonts (=fast durchgehend im Grundwasser) sowie bei Stauwasser beeinflussten Böden (Pseudogleye) oberhalb des Sd-Horizonts (=geringst durchlässiger Stauhorizont) berücksichtigt wird. Bei der Bewertung nicht entwässerter Moore ist der aktuelle Grundwasserstand zur Abgrenzung des bewerteten Bereiches (BB) heranzuziehen. </w:t>
      </w:r>
    </w:p>
    <w:p>
      <w:pPr>
        <w:pStyle w:val="Normal"/>
        <w:spacing w:before="0" w:after="120"/>
        <w:jc w:val="both"/>
        <w:rPr>
          <w:rFonts w:cs="Arial"/>
          <w:szCs w:val="20"/>
        </w:rPr>
      </w:pPr>
      <w:r>
        <w:rPr>
          <w:rFonts w:cs="Arial"/>
          <w:szCs w:val="20"/>
        </w:rPr>
        <w:t xml:space="preserve">Es ergibt sich also gemäß dieser Kriterien folgende Abgrenzung des bewerteten Bereiches: </w:t>
      </w:r>
    </w:p>
    <w:p>
      <w:pPr>
        <w:pStyle w:val="Aufzhlung"/>
        <w:tabs>
          <w:tab w:val="left" w:pos="426" w:leader="none"/>
        </w:tabs>
        <w:ind w:left="709" w:right="0" w:hanging="539"/>
        <w:rPr>
          <w:rFonts w:cs="Arial"/>
          <w:color w:val="000000"/>
          <w:szCs w:val="20"/>
        </w:rPr>
      </w:pPr>
      <w:r>
        <w:rPr>
          <w:rFonts w:cs="Arial"/>
          <w:color w:val="000000"/>
          <w:szCs w:val="20"/>
        </w:rPr>
        <w:t>bei Mooren (</w:t>
      </w:r>
      <w:r>
        <w:rPr>
          <w:rFonts w:cs="Arial"/>
          <w:i/>
          <w:iCs/>
          <w:color w:val="000000"/>
          <w:szCs w:val="20"/>
        </w:rPr>
        <w:t>S322: Code 2100-2120</w:t>
      </w:r>
      <w:r>
        <w:rPr>
          <w:rFonts w:cs="Arial"/>
          <w:color w:val="000000"/>
          <w:szCs w:val="20"/>
        </w:rPr>
        <w:t xml:space="preserve">): </w:t>
        <w:br/>
        <w:t xml:space="preserve">BB bis zum Grundwasserspiegel (S153), falls bekannt; ansonsten bis Obergrenze des Gr-Horizonts oder 100 cm </w:t>
      </w:r>
    </w:p>
    <w:p>
      <w:pPr>
        <w:pStyle w:val="Aufzhlung"/>
        <w:tabs>
          <w:tab w:val="left" w:pos="426" w:leader="none"/>
        </w:tabs>
        <w:ind w:left="709" w:right="0" w:hanging="539"/>
        <w:rPr>
          <w:rFonts w:cs="Arial"/>
          <w:color w:val="000000"/>
          <w:szCs w:val="20"/>
        </w:rPr>
      </w:pPr>
      <w:r>
        <w:rPr>
          <w:rFonts w:cs="Arial"/>
          <w:color w:val="000000"/>
          <w:szCs w:val="20"/>
        </w:rPr>
        <w:t>bei Grundwassereinfluss (</w:t>
      </w:r>
      <w:r>
        <w:rPr>
          <w:rFonts w:cs="Arial"/>
          <w:i/>
          <w:color w:val="000000"/>
          <w:szCs w:val="20"/>
        </w:rPr>
        <w:t xml:space="preserve">S153 &lt;1 m oder </w:t>
      </w:r>
      <w:r>
        <w:rPr>
          <w:rFonts w:cs="Arial"/>
          <w:i/>
          <w:iCs/>
          <w:color w:val="000000"/>
          <w:szCs w:val="20"/>
        </w:rPr>
        <w:t>S322: Code 1822-1824 oder 2000-2033</w:t>
      </w:r>
      <w:r>
        <w:rPr>
          <w:rFonts w:cs="Arial"/>
          <w:color w:val="000000"/>
          <w:szCs w:val="20"/>
        </w:rPr>
        <w:t xml:space="preserve">): </w:t>
        <w:br/>
        <w:t>BB bis zur Obergrenze des Gr-Horizonts (oder G2-Horizonts, falls Abfolge A-G1-G2 o.ä.)</w:t>
      </w:r>
    </w:p>
    <w:p>
      <w:pPr>
        <w:pStyle w:val="Aufzhlung"/>
        <w:tabs>
          <w:tab w:val="left" w:pos="426" w:leader="none"/>
        </w:tabs>
        <w:ind w:left="709" w:right="0" w:hanging="539"/>
        <w:rPr>
          <w:rFonts w:cs="Arial"/>
          <w:color w:val="000000"/>
          <w:szCs w:val="20"/>
        </w:rPr>
      </w:pPr>
      <w:r>
        <w:rPr>
          <w:rFonts w:cs="Arial"/>
          <w:color w:val="000000"/>
          <w:szCs w:val="20"/>
        </w:rPr>
        <w:t>bei Stauwassereinfluss (</w:t>
      </w:r>
      <w:r>
        <w:rPr>
          <w:rFonts w:cs="Arial"/>
          <w:i/>
          <w:iCs/>
          <w:color w:val="000000"/>
          <w:szCs w:val="20"/>
        </w:rPr>
        <w:t>S322: Code 1900-1950</w:t>
      </w:r>
      <w:r>
        <w:rPr>
          <w:rFonts w:cs="Arial"/>
          <w:color w:val="000000"/>
          <w:szCs w:val="20"/>
        </w:rPr>
        <w:t xml:space="preserve">) </w:t>
        <w:br/>
        <w:t>BB bis zur Obergrenze des S- oder Sd-Horizonts</w:t>
      </w:r>
    </w:p>
    <w:p>
      <w:pPr>
        <w:pStyle w:val="Aufzhlung"/>
        <w:ind w:left="709" w:right="0" w:hanging="539"/>
        <w:rPr>
          <w:rFonts w:cs="Arial"/>
          <w:color w:val="000000"/>
          <w:szCs w:val="20"/>
        </w:rPr>
      </w:pPr>
      <w:r>
        <w:rPr>
          <w:rFonts w:cs="Arial"/>
          <w:szCs w:val="20"/>
        </w:rPr>
        <w:t xml:space="preserve">bei Böden über anstehendem Gestein oder Stauhorizont: </w:t>
        <w:br/>
        <w:t>BB bis zur Obergrenze jenes Horizontes, der einen kf-Wert von 1 hat (</w:t>
      </w:r>
      <w:r>
        <w:rPr>
          <w:rFonts w:cs="Arial"/>
          <w:i/>
          <w:szCs w:val="20"/>
        </w:rPr>
        <w:t>Festgestein wird in einer Näherung als „undurchlässig“ angesehen, sofern keine Indizen für einen höheren kf-Wert sprechen – siehe Bestimmung Px12</w:t>
      </w:r>
      <w:r>
        <w:rPr>
          <w:rFonts w:cs="Arial"/>
          <w:szCs w:val="20"/>
        </w:rPr>
        <w:t>)</w:t>
      </w:r>
      <w:r>
        <w:rPr>
          <w:rFonts w:cs="Arial"/>
          <w:color w:val="000000"/>
          <w:szCs w:val="20"/>
        </w:rPr>
        <w:t xml:space="preserve"> </w:t>
      </w:r>
    </w:p>
    <w:p>
      <w:pPr>
        <w:pStyle w:val="Aufzhlung"/>
        <w:ind w:left="709" w:right="0" w:hanging="539"/>
        <w:rPr>
          <w:rFonts w:cs="Arial"/>
          <w:color w:val="000000"/>
          <w:szCs w:val="20"/>
        </w:rPr>
      </w:pPr>
      <w:r>
        <w:rPr>
          <w:rFonts w:cs="Arial"/>
          <w:color w:val="000000"/>
          <w:szCs w:val="20"/>
        </w:rPr>
        <w:t xml:space="preserve">für alle anderen Böden: </w:t>
        <w:br/>
        <w:t>BB = Profiltiefe = 100cm</w:t>
      </w:r>
    </w:p>
    <w:p>
      <w:pPr>
        <w:pStyle w:val="Normal"/>
        <w:ind w:left="1134" w:right="0" w:hanging="0"/>
        <w:rPr/>
      </w:pPr>
      <w:r>
        <w:rPr/>
      </w:r>
    </w:p>
    <w:p>
      <w:pPr>
        <w:pStyle w:val="Normal"/>
        <w:spacing w:before="0" w:after="120"/>
        <w:rPr>
          <w:rFonts w:cs="Arial"/>
          <w:szCs w:val="20"/>
          <w:u w:val="single"/>
        </w:rPr>
      </w:pPr>
      <w:r>
        <w:rPr>
          <w:rFonts w:cs="Arial"/>
          <w:szCs w:val="20"/>
          <w:u w:val="single"/>
        </w:rPr>
        <w:t>Schritt 3 – Aufsummieren der WSV-Werte (Px10) für alle Horizonte im bewerteten Bereich</w:t>
      </w:r>
    </w:p>
    <w:p>
      <w:pPr>
        <w:pStyle w:val="Normal"/>
        <w:jc w:val="both"/>
        <w:rPr/>
      </w:pPr>
      <w:r>
        <w:rPr/>
        <w:t>Da dieser Summenwert wie im vorigen Schritt erläutert unter bestimmten Bedingungen von Sx08 (=Wasserspeichervermögen für das gesamte Profil) abweichen kann, ist er für die Bewertung von 1c.1 gesondert zu ermitteln.</w:t>
      </w:r>
    </w:p>
    <w:p>
      <w:pPr>
        <w:pStyle w:val="Normal"/>
        <w:rPr/>
      </w:pPr>
      <w:r>
        <w:rPr/>
      </w:r>
    </w:p>
    <w:p>
      <w:pPr>
        <w:pStyle w:val="Normal"/>
        <w:spacing w:before="0" w:after="120"/>
        <w:rPr>
          <w:rFonts w:cs="Arial"/>
          <w:szCs w:val="20"/>
          <w:u w:val="single"/>
        </w:rPr>
      </w:pPr>
      <w:r>
        <w:rPr>
          <w:rFonts w:cs="Arial"/>
          <w:szCs w:val="20"/>
          <w:u w:val="single"/>
        </w:rPr>
        <w:t>Schritt 4 – Ermitteln des minimalen kf-Wertes (Px12) für alle Horizonte im bewerteten Bereich</w:t>
      </w:r>
    </w:p>
    <w:p>
      <w:pPr>
        <w:pStyle w:val="Normal"/>
        <w:jc w:val="both"/>
        <w:rPr>
          <w:rFonts w:cs="Arial"/>
          <w:szCs w:val="20"/>
        </w:rPr>
      </w:pPr>
      <w:r>
        <w:rPr>
          <w:rFonts w:cs="Arial"/>
          <w:color w:val="000000"/>
          <w:szCs w:val="20"/>
        </w:rPr>
        <w:t xml:space="preserve">In einer Anpassung des in BayGLA (2003) beschriebenen Verfahrens wird nicht der über das gesamte Profil gemittelte kf-Wert verwendet sondern der minimale kf-Wert, also jener des geringst durchlässigen Horizonts, der die Versickerung in den Untergrund letztlich limitiert. Auf diese Weise können Böden mit ausgeprägtem Wechsel der Durchlässigkeit (v.a. locker über dicht) besser berücksichtigt werden. </w:t>
      </w:r>
      <w:r>
        <w:rPr>
          <w:rFonts w:cs="Arial"/>
          <w:szCs w:val="20"/>
        </w:rPr>
        <w:t>Falls ein Horizont einen kf-Wert von 1 aufweist wird dieser als absoluter Stauhorizont betrachtet und nur der darüber liegende Bereich bewertet.</w:t>
      </w:r>
    </w:p>
    <w:p>
      <w:pPr>
        <w:pStyle w:val="Normal"/>
        <w:rPr/>
      </w:pPr>
      <w:bookmarkStart w:id="10" w:name="OLE_LINK5"/>
      <w:bookmarkStart w:id="11" w:name="OLE_LINK6"/>
      <w:bookmarkStart w:id="12" w:name="OLE_LINK5"/>
      <w:bookmarkStart w:id="13" w:name="OLE_LINK6"/>
      <w:bookmarkEnd w:id="12"/>
      <w:bookmarkEnd w:id="13"/>
      <w:r>
        <w:rPr/>
      </w:r>
    </w:p>
    <w:p>
      <w:pPr>
        <w:pStyle w:val="Normal"/>
        <w:spacing w:before="0" w:after="120"/>
        <w:rPr>
          <w:rFonts w:cs="Arial"/>
          <w:b/>
          <w:szCs w:val="20"/>
          <w:u w:val="single"/>
        </w:rPr>
      </w:pPr>
      <w:r>
        <w:rPr>
          <w:rFonts w:cs="Arial"/>
          <w:szCs w:val="20"/>
          <w:u w:val="single"/>
        </w:rPr>
        <w:t xml:space="preserve">Schritt 5 – Gesamtbewertung </w:t>
      </w:r>
      <w:r>
        <w:rPr>
          <w:rFonts w:cs="Arial"/>
          <w:b/>
          <w:szCs w:val="20"/>
          <w:u w:val="single"/>
        </w:rPr>
        <w:t>Retention</w:t>
      </w:r>
    </w:p>
    <w:p>
      <w:pPr>
        <w:pStyle w:val="Normal"/>
        <w:jc w:val="both"/>
        <w:rPr>
          <w:rFonts w:cs="Arial"/>
          <w:szCs w:val="20"/>
        </w:rPr>
      </w:pPr>
      <w:bookmarkStart w:id="14" w:name="OLE_LINK51"/>
      <w:bookmarkStart w:id="15" w:name="OLE_LINK61"/>
      <w:bookmarkEnd w:id="14"/>
      <w:bookmarkEnd w:id="15"/>
      <w:r>
        <w:rPr>
          <w:rFonts w:cs="Arial"/>
          <w:szCs w:val="20"/>
        </w:rPr>
        <w:t xml:space="preserve">Die Tabelle wird zur besseren Differenzierbarkeit weiter aufgegliedert als in BayGLA (2003) vorgegeben (grau hinterlegte Zeilen und Spalten, vgl. Geitner et al. 2007). </w:t>
      </w:r>
    </w:p>
    <w:p>
      <w:pPr>
        <w:pStyle w:val="Normal"/>
        <w:rPr/>
      </w:pPr>
      <w:r>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555"/>
        <w:gridCol w:w="1132"/>
        <w:gridCol w:w="1253"/>
        <w:gridCol w:w="1403"/>
        <w:gridCol w:w="1275"/>
        <w:gridCol w:w="1310"/>
        <w:gridCol w:w="1000"/>
      </w:tblGrid>
      <w:tr>
        <w:trPr>
          <w:trHeight w:val="340" w:hRule="atLeast"/>
          <w:cantSplit w:val="false"/>
        </w:trPr>
        <w:tc>
          <w:tcPr>
            <w:tcW w:w="1555"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bottom"/>
          </w:tcPr>
          <w:p>
            <w:pPr>
              <w:pStyle w:val="Normal"/>
              <w:spacing w:before="60" w:after="60"/>
              <w:jc w:val="center"/>
              <w:rPr>
                <w:rFonts w:cs="Arial"/>
                <w:i/>
                <w:szCs w:val="20"/>
              </w:rPr>
            </w:pPr>
            <w:r>
              <w:rPr>
                <w:rFonts w:cs="Arial"/>
                <w:b/>
                <w:szCs w:val="20"/>
              </w:rPr>
              <w:t xml:space="preserve">kf-Wert </w:t>
            </w:r>
            <w:r>
              <w:rPr>
                <w:rFonts w:cs="Arial"/>
                <w:szCs w:val="20"/>
              </w:rPr>
              <w:t>[cm/d]</w:t>
              <w:br/>
            </w:r>
            <w:r>
              <w:rPr>
                <w:rFonts w:cs="Arial"/>
                <w:i/>
                <w:szCs w:val="20"/>
              </w:rPr>
              <w:t>(Schritt 4)</w:t>
            </w:r>
          </w:p>
        </w:tc>
        <w:tc>
          <w:tcPr>
            <w:tcW w:w="7373"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i/>
                <w:szCs w:val="20"/>
              </w:rPr>
            </w:pPr>
            <w:r>
              <w:rPr>
                <w:rFonts w:cs="Arial"/>
                <w:b/>
                <w:szCs w:val="20"/>
              </w:rPr>
              <w:t xml:space="preserve">Wasserspeichervermögen </w:t>
            </w:r>
            <w:r>
              <w:rPr>
                <w:rFonts w:cs="Arial"/>
                <w:szCs w:val="20"/>
              </w:rPr>
              <w:t>[mm bzw. l/m²]</w:t>
            </w:r>
            <w:r>
              <w:rPr>
                <w:rFonts w:cs="Arial"/>
                <w:b/>
                <w:szCs w:val="20"/>
              </w:rPr>
              <w:t xml:space="preserve"> </w:t>
            </w:r>
            <w:r>
              <w:rPr>
                <w:rFonts w:cs="Arial"/>
                <w:i/>
                <w:szCs w:val="20"/>
              </w:rPr>
              <w:t>(Schritt 3)</w:t>
            </w:r>
          </w:p>
        </w:tc>
      </w:tr>
      <w:tr>
        <w:trPr>
          <w:trHeight w:val="400" w:hRule="atLeast"/>
          <w:cantSplit w:val="false"/>
        </w:trPr>
        <w:tc>
          <w:tcPr>
            <w:tcW w:w="1555"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rPr>
                <w:rFonts w:cs="Arial"/>
                <w:b/>
                <w:szCs w:val="20"/>
              </w:rPr>
            </w:pPr>
            <w:r>
              <w:rPr>
                <w:rFonts w:cs="Arial"/>
                <w:b/>
                <w:szCs w:val="20"/>
              </w:rPr>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ascii="Symbol" w:hAnsi="Symbol"/>
              </w:rPr>
              <w:t></w:t>
            </w:r>
            <w:r>
              <w:rPr>
                <w:rFonts w:cs="Arial"/>
                <w:szCs w:val="20"/>
              </w:rPr>
              <w:t>60</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&gt;60 - 90</w:t>
            </w:r>
          </w:p>
        </w:tc>
        <w:tc>
          <w:tcPr>
            <w:tcW w:w="14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&gt;90 - 140</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&gt;140 - 220</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&gt;220 - 300</w:t>
            </w:r>
          </w:p>
        </w:tc>
        <w:tc>
          <w:tcPr>
            <w:tcW w:w="10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88" w:type="dxa"/>
            </w:tcMar>
          </w:tcPr>
          <w:p>
            <w:pPr>
              <w:pStyle w:val="Normal"/>
              <w:spacing w:before="60" w:after="60"/>
              <w:jc w:val="center"/>
              <w:rPr>
                <w:rFonts w:cs="Arial"/>
                <w:szCs w:val="20"/>
              </w:rPr>
            </w:pPr>
            <w:r>
              <w:rPr>
                <w:bCs/>
              </w:rPr>
              <w:t>&gt;</w:t>
            </w:r>
            <w:r>
              <w:rPr>
                <w:rFonts w:cs="Arial"/>
                <w:szCs w:val="20"/>
              </w:rPr>
              <w:t>300</w:t>
            </w:r>
          </w:p>
        </w:tc>
      </w:tr>
      <w:tr>
        <w:trPr>
          <w:trHeight w:val="340" w:hRule="atLeast"/>
          <w:cantSplit w:val="false"/>
        </w:trPr>
        <w:tc>
          <w:tcPr>
            <w:tcW w:w="15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ascii="Symbol" w:hAnsi="Symbol"/>
              </w:rPr>
              <w:t></w:t>
            </w:r>
            <w:r>
              <w:rPr>
                <w:rFonts w:cs="Arial"/>
                <w:szCs w:val="20"/>
              </w:rPr>
              <w:t>7</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5</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5</w:t>
            </w:r>
          </w:p>
        </w:tc>
        <w:tc>
          <w:tcPr>
            <w:tcW w:w="14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5</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5</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4</w:t>
            </w:r>
          </w:p>
        </w:tc>
        <w:tc>
          <w:tcPr>
            <w:tcW w:w="10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88" w:type="dxa"/>
            </w:tcMar>
          </w:tcPr>
          <w:p>
            <w:pPr>
              <w:pStyle w:val="Normal"/>
              <w:spacing w:before="60" w:after="60"/>
              <w:jc w:val="center"/>
              <w:rPr>
                <w:rFonts w:cs="Arial"/>
                <w:b/>
                <w:szCs w:val="20"/>
              </w:rPr>
            </w:pPr>
            <w:r>
              <w:rPr>
                <w:rFonts w:cs="Arial"/>
                <w:b/>
                <w:szCs w:val="20"/>
              </w:rPr>
              <w:t>4</w:t>
            </w:r>
          </w:p>
        </w:tc>
      </w:tr>
      <w:tr>
        <w:trPr>
          <w:trHeight w:val="340" w:hRule="atLeast"/>
          <w:cantSplit w:val="false"/>
        </w:trPr>
        <w:tc>
          <w:tcPr>
            <w:tcW w:w="15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&gt;7 - 15</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5</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5</w:t>
            </w:r>
          </w:p>
        </w:tc>
        <w:tc>
          <w:tcPr>
            <w:tcW w:w="14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4</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4</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3</w:t>
            </w:r>
          </w:p>
        </w:tc>
        <w:tc>
          <w:tcPr>
            <w:tcW w:w="10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88" w:type="dxa"/>
            </w:tcMar>
          </w:tcPr>
          <w:p>
            <w:pPr>
              <w:pStyle w:val="Normal"/>
              <w:spacing w:before="60" w:after="60"/>
              <w:jc w:val="center"/>
              <w:rPr>
                <w:rFonts w:cs="Arial"/>
                <w:b/>
                <w:szCs w:val="20"/>
              </w:rPr>
            </w:pPr>
            <w:r>
              <w:rPr>
                <w:rFonts w:cs="Arial"/>
                <w:b/>
                <w:szCs w:val="20"/>
              </w:rPr>
              <w:t>3</w:t>
            </w:r>
          </w:p>
        </w:tc>
      </w:tr>
      <w:tr>
        <w:trPr>
          <w:trHeight w:val="340" w:hRule="atLeast"/>
          <w:cantSplit w:val="false"/>
        </w:trPr>
        <w:tc>
          <w:tcPr>
            <w:tcW w:w="15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&gt;15 - 30</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5</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4</w:t>
            </w:r>
          </w:p>
        </w:tc>
        <w:tc>
          <w:tcPr>
            <w:tcW w:w="14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4</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3</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2</w:t>
            </w:r>
          </w:p>
        </w:tc>
        <w:tc>
          <w:tcPr>
            <w:tcW w:w="10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88" w:type="dxa"/>
            </w:tcMar>
          </w:tcPr>
          <w:p>
            <w:pPr>
              <w:pStyle w:val="Normal"/>
              <w:spacing w:before="60" w:after="60"/>
              <w:jc w:val="center"/>
              <w:rPr>
                <w:rFonts w:cs="Arial"/>
                <w:b/>
                <w:szCs w:val="20"/>
              </w:rPr>
            </w:pPr>
            <w:r>
              <w:rPr>
                <w:rFonts w:cs="Arial"/>
                <w:b/>
                <w:szCs w:val="20"/>
              </w:rPr>
              <w:t>2</w:t>
            </w:r>
          </w:p>
        </w:tc>
      </w:tr>
      <w:tr>
        <w:trPr>
          <w:trHeight w:val="340" w:hRule="atLeast"/>
          <w:cantSplit w:val="false"/>
        </w:trPr>
        <w:tc>
          <w:tcPr>
            <w:tcW w:w="15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&gt;30 - 40</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92" w:leader="none"/>
                <w:tab w:val="center" w:pos="525" w:leader="none"/>
              </w:tabs>
              <w:spacing w:before="60" w:after="60"/>
              <w:jc w:val="center"/>
              <w:rPr>
                <w:rFonts w:cs="Arial"/>
                <w:b/>
                <w:szCs w:val="20"/>
              </w:rPr>
            </w:pPr>
            <w:r>
              <w:rPr>
                <w:rFonts w:cs="Arial"/>
                <w:b/>
                <w:szCs w:val="20"/>
              </w:rPr>
              <w:t>5</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4</w:t>
            </w:r>
          </w:p>
        </w:tc>
        <w:tc>
          <w:tcPr>
            <w:tcW w:w="140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3</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2</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2</w:t>
            </w:r>
          </w:p>
        </w:tc>
        <w:tc>
          <w:tcPr>
            <w:tcW w:w="10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88" w:type="dxa"/>
            </w:tcMar>
          </w:tcPr>
          <w:p>
            <w:pPr>
              <w:pStyle w:val="Normal"/>
              <w:spacing w:before="60" w:after="60"/>
              <w:jc w:val="center"/>
              <w:rPr>
                <w:rFonts w:cs="Arial"/>
                <w:b/>
                <w:szCs w:val="20"/>
              </w:rPr>
            </w:pPr>
            <w:r>
              <w:rPr>
                <w:rFonts w:cs="Arial"/>
                <w:b/>
                <w:szCs w:val="20"/>
              </w:rPr>
              <w:t>2</w:t>
            </w:r>
          </w:p>
        </w:tc>
      </w:tr>
      <w:tr>
        <w:trPr>
          <w:trHeight w:val="340" w:hRule="atLeast"/>
          <w:cantSplit w:val="false"/>
        </w:trPr>
        <w:tc>
          <w:tcPr>
            <w:tcW w:w="1555"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88" w:type="dxa"/>
            </w:tcMar>
          </w:tcPr>
          <w:p>
            <w:pPr>
              <w:pStyle w:val="Normal"/>
              <w:spacing w:before="60" w:after="60"/>
              <w:jc w:val="center"/>
              <w:rPr>
                <w:rFonts w:cs="Arial"/>
                <w:szCs w:val="20"/>
              </w:rPr>
            </w:pPr>
            <w:r>
              <w:rPr>
                <w:rFonts w:cs="Arial"/>
                <w:szCs w:val="20"/>
              </w:rPr>
              <w:t>&gt;40 – 100</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88" w:type="dxa"/>
            </w:tcMar>
          </w:tcPr>
          <w:p>
            <w:pPr>
              <w:pStyle w:val="Normal"/>
              <w:spacing w:before="60" w:after="60"/>
              <w:jc w:val="center"/>
              <w:rPr>
                <w:rFonts w:cs="Arial"/>
                <w:b/>
                <w:szCs w:val="20"/>
              </w:rPr>
            </w:pPr>
            <w:r>
              <w:rPr>
                <w:rFonts w:cs="Arial"/>
                <w:b/>
                <w:szCs w:val="20"/>
              </w:rPr>
              <w:t>3</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88" w:type="dxa"/>
            </w:tcMar>
          </w:tcPr>
          <w:p>
            <w:pPr>
              <w:pStyle w:val="Normal"/>
              <w:spacing w:before="60" w:after="60"/>
              <w:jc w:val="center"/>
              <w:rPr>
                <w:rFonts w:cs="Arial"/>
                <w:b/>
                <w:szCs w:val="20"/>
              </w:rPr>
            </w:pPr>
            <w:r>
              <w:rPr>
                <w:rFonts w:cs="Arial"/>
                <w:b/>
                <w:szCs w:val="20"/>
              </w:rPr>
              <w:t>3</w:t>
            </w:r>
          </w:p>
        </w:tc>
        <w:tc>
          <w:tcPr>
            <w:tcW w:w="1403"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88" w:type="dxa"/>
            </w:tcMar>
          </w:tcPr>
          <w:p>
            <w:pPr>
              <w:pStyle w:val="Normal"/>
              <w:spacing w:before="60" w:after="60"/>
              <w:jc w:val="center"/>
              <w:rPr>
                <w:rFonts w:cs="Arial"/>
                <w:b/>
                <w:szCs w:val="20"/>
              </w:rPr>
            </w:pPr>
            <w:r>
              <w:rPr>
                <w:rFonts w:cs="Arial"/>
                <w:b/>
                <w:szCs w:val="20"/>
              </w:rPr>
              <w:t>2</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88" w:type="dxa"/>
            </w:tcMar>
          </w:tcPr>
          <w:p>
            <w:pPr>
              <w:pStyle w:val="Normal"/>
              <w:spacing w:before="60" w:after="60"/>
              <w:jc w:val="center"/>
              <w:rPr>
                <w:rFonts w:cs="Arial"/>
                <w:b/>
                <w:szCs w:val="20"/>
              </w:rPr>
            </w:pPr>
            <w:r>
              <w:rPr>
                <w:rFonts w:cs="Arial"/>
                <w:b/>
                <w:szCs w:val="20"/>
              </w:rPr>
              <w:t>2</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88" w:type="dxa"/>
            </w:tcMar>
          </w:tcPr>
          <w:p>
            <w:pPr>
              <w:pStyle w:val="Normal"/>
              <w:spacing w:before="60" w:after="60"/>
              <w:jc w:val="center"/>
              <w:rPr>
                <w:rFonts w:cs="Arial"/>
                <w:b/>
                <w:szCs w:val="20"/>
              </w:rPr>
            </w:pPr>
            <w:r>
              <w:rPr>
                <w:rFonts w:cs="Arial"/>
                <w:b/>
                <w:szCs w:val="20"/>
              </w:rPr>
              <w:t>2</w:t>
            </w:r>
          </w:p>
        </w:tc>
        <w:tc>
          <w:tcPr>
            <w:tcW w:w="10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88" w:type="dxa"/>
            </w:tcMar>
          </w:tcPr>
          <w:p>
            <w:pPr>
              <w:pStyle w:val="Normal"/>
              <w:spacing w:before="60" w:after="60"/>
              <w:jc w:val="center"/>
              <w:rPr>
                <w:rFonts w:cs="Arial"/>
                <w:b/>
                <w:szCs w:val="20"/>
              </w:rPr>
            </w:pPr>
            <w:r>
              <w:rPr>
                <w:rFonts w:cs="Arial"/>
                <w:b/>
                <w:szCs w:val="20"/>
              </w:rPr>
              <w:t>1</w:t>
            </w:r>
          </w:p>
        </w:tc>
      </w:tr>
      <w:tr>
        <w:trPr>
          <w:trHeight w:val="340" w:hRule="atLeast"/>
          <w:cantSplit w:val="false"/>
        </w:trPr>
        <w:tc>
          <w:tcPr>
            <w:tcW w:w="1555"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88" w:type="dxa"/>
            </w:tcMar>
          </w:tcPr>
          <w:p>
            <w:pPr>
              <w:pStyle w:val="Normal"/>
              <w:spacing w:before="60" w:after="60"/>
              <w:jc w:val="center"/>
              <w:rPr>
                <w:rFonts w:cs="Arial"/>
                <w:szCs w:val="20"/>
              </w:rPr>
            </w:pPr>
            <w:r>
              <w:rPr>
                <w:rFonts w:cs="Arial"/>
                <w:szCs w:val="20"/>
              </w:rPr>
              <w:t>&gt;100</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88" w:type="dxa"/>
            </w:tcMar>
          </w:tcPr>
          <w:p>
            <w:pPr>
              <w:pStyle w:val="Normal"/>
              <w:spacing w:before="60" w:after="60"/>
              <w:jc w:val="center"/>
              <w:rPr>
                <w:rFonts w:cs="Arial"/>
                <w:b/>
                <w:szCs w:val="20"/>
              </w:rPr>
            </w:pPr>
            <w:r>
              <w:rPr>
                <w:rFonts w:cs="Arial"/>
                <w:b/>
                <w:szCs w:val="20"/>
              </w:rPr>
              <w:t>1</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88" w:type="dxa"/>
            </w:tcMar>
          </w:tcPr>
          <w:p>
            <w:pPr>
              <w:pStyle w:val="Normal"/>
              <w:spacing w:before="60" w:after="60"/>
              <w:jc w:val="center"/>
              <w:rPr>
                <w:rFonts w:cs="Arial"/>
                <w:b/>
                <w:szCs w:val="20"/>
              </w:rPr>
            </w:pPr>
            <w:r>
              <w:rPr>
                <w:rFonts w:cs="Arial"/>
                <w:b/>
                <w:szCs w:val="20"/>
              </w:rPr>
              <w:t>1</w:t>
            </w:r>
          </w:p>
        </w:tc>
        <w:tc>
          <w:tcPr>
            <w:tcW w:w="1403"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88" w:type="dxa"/>
            </w:tcMar>
          </w:tcPr>
          <w:p>
            <w:pPr>
              <w:pStyle w:val="Normal"/>
              <w:spacing w:before="60" w:after="60"/>
              <w:jc w:val="center"/>
              <w:rPr>
                <w:rFonts w:cs="Arial"/>
                <w:b/>
                <w:szCs w:val="20"/>
              </w:rPr>
            </w:pPr>
            <w:r>
              <w:rPr>
                <w:rFonts w:cs="Arial"/>
                <w:b/>
                <w:szCs w:val="20"/>
              </w:rPr>
              <w:t>1</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88" w:type="dxa"/>
            </w:tcMar>
          </w:tcPr>
          <w:p>
            <w:pPr>
              <w:pStyle w:val="Normal"/>
              <w:spacing w:before="60" w:after="60"/>
              <w:jc w:val="center"/>
              <w:rPr>
                <w:rFonts w:cs="Arial"/>
                <w:b/>
                <w:szCs w:val="20"/>
              </w:rPr>
            </w:pPr>
            <w:r>
              <w:rPr>
                <w:rFonts w:cs="Arial"/>
                <w:b/>
                <w:szCs w:val="20"/>
              </w:rPr>
              <w:t>1</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88" w:type="dxa"/>
            </w:tcMar>
          </w:tcPr>
          <w:p>
            <w:pPr>
              <w:pStyle w:val="Normal"/>
              <w:spacing w:before="60" w:after="60"/>
              <w:jc w:val="center"/>
              <w:rPr>
                <w:rFonts w:cs="Arial"/>
                <w:b/>
                <w:szCs w:val="20"/>
              </w:rPr>
            </w:pPr>
            <w:r>
              <w:rPr>
                <w:rFonts w:cs="Arial"/>
                <w:b/>
                <w:szCs w:val="20"/>
              </w:rPr>
              <w:t>1</w:t>
            </w:r>
          </w:p>
        </w:tc>
        <w:tc>
          <w:tcPr>
            <w:tcW w:w="10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88" w:type="dxa"/>
            </w:tcMar>
          </w:tcPr>
          <w:p>
            <w:pPr>
              <w:pStyle w:val="Normal"/>
              <w:spacing w:before="60" w:after="60"/>
              <w:jc w:val="center"/>
              <w:rPr>
                <w:rFonts w:cs="Arial"/>
                <w:b/>
                <w:szCs w:val="20"/>
              </w:rPr>
            </w:pPr>
            <w:r>
              <w:rPr>
                <w:rFonts w:cs="Arial"/>
                <w:b/>
                <w:szCs w:val="20"/>
              </w:rPr>
              <w:t>1</w:t>
            </w:r>
          </w:p>
        </w:tc>
      </w:tr>
    </w:tbl>
    <w:p>
      <w:pPr>
        <w:pStyle w:val="Normal"/>
        <w:rPr>
          <w:rFonts w:cs="Arial"/>
          <w:szCs w:val="20"/>
        </w:rPr>
      </w:pPr>
      <w:r>
        <w:rPr>
          <w:rFonts w:cs="Arial"/>
          <w:szCs w:val="20"/>
        </w:rPr>
        <w:t xml:space="preserve"> </w:t>
      </w:r>
    </w:p>
    <w:p>
      <w:pPr>
        <w:pStyle w:val="Normal"/>
        <w:jc w:val="both"/>
        <w:rPr>
          <w:rFonts w:cs="Arial"/>
          <w:szCs w:val="20"/>
        </w:rPr>
      </w:pPr>
      <w:r>
        <w:rPr>
          <w:rFonts w:cs="Arial"/>
          <w:szCs w:val="20"/>
        </w:rPr>
        <w:t>In BayGLA (2003: 40f.) werden weitere Probleme des Ansatzes beschrieben, die bei der Interpretation der Ergebnisse bedacht werden müssen. So wird das Prozessgeschehen im Boden bei Niederschlägen nur sehr grob abgebildet, insbesondere kann die konkrete Ausprägung und der Einfluss von Porengefüge, Wurzelgängen oder Wurmröhren nicht berücksichtigt werden. In ton- und schluffreichen Böden kann das Retentionsvermögen zusätzlich durch Verschlämmung der Poren negativ beeinflusst aber nicht quantifiziert werden.</w:t>
      </w:r>
    </w:p>
    <w:p>
      <w:pPr>
        <w:pStyle w:val="Normal"/>
        <w:jc w:val="both"/>
        <w:rPr>
          <w:rFonts w:cs="Arial"/>
          <w:szCs w:val="20"/>
        </w:rPr>
      </w:pPr>
      <w:r>
        <w:rPr>
          <w:rFonts w:cs="Arial"/>
          <w:szCs w:val="20"/>
        </w:rPr>
        <w:t>Die Durchlässigkeit von Böden (kf-Wert) kann bei sehr hohem Skelettgehalt von 60% und mehr nur grob bestimmt werden – wie in Px12 genauer ausgeführt wird in diesem Fall automatisch ein „sehr hoher“ kf-Wert von 300 cm/d angenommen und nicht weiter differenziert. Die vorgeschlagene anteilsmäßige Reduzierung des kf-Wertes pro %</w:t>
      </w:r>
      <w:r>
        <w:rPr>
          <w:rFonts w:cs="Arial"/>
          <w:szCs w:val="20"/>
          <w:vertAlign w:val="subscript"/>
        </w:rPr>
        <w:t>Vol</w:t>
      </w:r>
      <w:r>
        <w:rPr>
          <w:rFonts w:cs="Arial"/>
          <w:szCs w:val="20"/>
        </w:rPr>
        <w:t xml:space="preserve"> Grobanteil wird nach den Erfahrungen aus dem TUSEC-Verfahren nicht vorgenommen! Ebenso kann bei Festgesteinsböden die tatsächliche Durchlässigkeit je nach Klüftigkeit des Substrates mehr oder weniger stark von der angenommenen äußerst geringen Durchlässigkeit (kf-Wert = 1 cm/d) abweichen. </w:t>
      </w:r>
    </w:p>
    <w:p>
      <w:pPr>
        <w:pStyle w:val="Normal"/>
        <w:jc w:val="both"/>
        <w:rPr/>
      </w:pPr>
      <w:r>
        <w:rPr/>
      </w:r>
    </w:p>
    <w:p>
      <w:pPr>
        <w:pStyle w:val="Normal"/>
        <w:jc w:val="both"/>
        <w:rPr>
          <w:rFonts w:cs="Arial"/>
          <w:szCs w:val="20"/>
        </w:rPr>
      </w:pPr>
      <w:r>
        <w:rPr>
          <w:rFonts w:cs="Arial"/>
          <w:szCs w:val="20"/>
        </w:rPr>
        <w:t>In Umweltprüfungen (SUP oder UVP) ist zu beachten, dass diese Funktion des Bodens durch Versiegelung vollständig verloren geht bzw. technisch ersetzt werden muss (Sickergräben, Versickerungsschächte), allerdings durch Entsiegelung auch wieder hergestellt werden kann. Als zentrale Funktion des Bodens sollte dieser Bewertungsschritt in einer aggregierten Gesamt</w:t>
        <w:softHyphen/>
        <w:t>bewertung bzw. bei der Beurteilung der Eignung des Bodens für bestimmte Anforderungen der Raumplanung hohes Gewicht erhalten (vgl. auch Ansatz im Fachplan Boden München, Geitner et al. 2007).</w:t>
      </w:r>
    </w:p>
    <w:p>
      <w:pPr>
        <w:pStyle w:val="Heading3"/>
        <w:pageBreakBefore/>
        <w:rPr/>
      </w:pPr>
      <w:r>
        <w:rPr/>
        <w:t>1c.2) Kurzfristiges Rückhaltevermögen für Starkniederschläge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Grundwasserflurabstand (S153)</w:t>
      </w:r>
    </w:p>
    <w:p>
      <w:pPr>
        <w:pStyle w:val="Normal"/>
        <w:ind w:left="142" w:right="0" w:hanging="0"/>
        <w:rPr>
          <w:rFonts w:cs="Arial"/>
          <w:i/>
          <w:szCs w:val="20"/>
        </w:rPr>
      </w:pPr>
      <w:r>
        <w:rPr>
          <w:rFonts w:cs="Arial"/>
          <w:i/>
          <w:szCs w:val="20"/>
        </w:rPr>
        <w:t>Bodentyp (</w:t>
      </w:r>
      <w:r>
        <w:rPr>
          <w:rFonts w:cs="Arial"/>
          <w:i/>
          <w:color w:val="000000"/>
          <w:szCs w:val="20"/>
        </w:rPr>
        <w:t>S322</w:t>
      </w:r>
      <w:r>
        <w:rPr>
          <w:rFonts w:cs="Arial"/>
          <w:i/>
          <w:szCs w:val="20"/>
        </w:rPr>
        <w:t>)</w:t>
      </w:r>
    </w:p>
    <w:p>
      <w:pPr>
        <w:pStyle w:val="Normal"/>
        <w:ind w:left="142" w:right="0" w:hanging="0"/>
        <w:rPr>
          <w:rFonts w:cs="Arial"/>
          <w:i/>
          <w:szCs w:val="20"/>
        </w:rPr>
      </w:pPr>
      <w:r>
        <w:rPr>
          <w:rFonts w:cs="Arial"/>
          <w:i/>
          <w:szCs w:val="20"/>
        </w:rPr>
        <w:t>Luftkapazität (Px09)</w:t>
      </w:r>
    </w:p>
    <w:p>
      <w:pPr>
        <w:pStyle w:val="Normal"/>
        <w:ind w:left="142" w:right="0" w:firstLine="566"/>
        <w:rPr>
          <w:rFonts w:cs="Arial"/>
          <w:i/>
          <w:szCs w:val="20"/>
        </w:rPr>
      </w:pPr>
      <w:r>
        <w:rPr>
          <w:rFonts w:cs="Arial"/>
          <w:i/>
          <w:szCs w:val="20"/>
        </w:rPr>
        <w:t>daraus abgeleitet: bewertungsrelevante Luftkapazität (LK</w:t>
      </w:r>
      <w:r>
        <w:rPr>
          <w:rFonts w:cs="Arial"/>
          <w:i/>
          <w:szCs w:val="20"/>
          <w:vertAlign w:val="subscript"/>
        </w:rPr>
        <w:t>oben</w:t>
      </w:r>
      <w:r>
        <w:rPr>
          <w:rFonts w:cs="Arial"/>
          <w:i/>
          <w:szCs w:val="20"/>
        </w:rPr>
        <w:t xml:space="preserve"> = Sx07)</w:t>
      </w:r>
    </w:p>
    <w:p>
      <w:pPr>
        <w:pStyle w:val="Normal"/>
        <w:ind w:left="142" w:right="0" w:hanging="0"/>
        <w:rPr>
          <w:rFonts w:cs="Arial"/>
          <w:i/>
          <w:szCs w:val="20"/>
        </w:rPr>
      </w:pPr>
      <w:r>
        <w:rPr>
          <w:rFonts w:cs="Arial"/>
          <w:i/>
          <w:szCs w:val="20"/>
        </w:rPr>
        <w:t xml:space="preserve">gesättigte Wasserleitfähigkeit (Px12) </w:t>
      </w:r>
    </w:p>
    <w:p>
      <w:pPr>
        <w:pStyle w:val="Normal"/>
        <w:ind w:left="142" w:right="0" w:firstLine="566"/>
        <w:rPr>
          <w:rFonts w:cs="Arial"/>
          <w:i/>
          <w:szCs w:val="20"/>
        </w:rPr>
      </w:pPr>
      <w:r>
        <w:rPr>
          <w:rFonts w:cs="Arial"/>
          <w:i/>
          <w:szCs w:val="20"/>
        </w:rPr>
        <w:t>daraus abgeleitet: minimaler kf-Wert (kf</w:t>
      </w:r>
      <w:r>
        <w:rPr>
          <w:rFonts w:cs="Arial"/>
          <w:i/>
          <w:szCs w:val="20"/>
          <w:vertAlign w:val="subscript"/>
        </w:rPr>
        <w:t>min</w:t>
      </w:r>
      <w:r>
        <w:rPr>
          <w:rFonts w:cs="Arial"/>
          <w:i/>
          <w:szCs w:val="20"/>
        </w:rPr>
        <w:t xml:space="preserve"> = Sx10)</w:t>
      </w:r>
    </w:p>
    <w:p>
      <w:pPr>
        <w:pStyle w:val="Normal"/>
        <w:ind w:left="142" w:right="0" w:hanging="0"/>
        <w:rPr>
          <w:rFonts w:cs="Arial"/>
          <w:i/>
          <w:szCs w:val="20"/>
        </w:rPr>
      </w:pPr>
      <w:r>
        <w:rPr>
          <w:rFonts w:cs="Arial"/>
          <w:i/>
          <w:szCs w:val="20"/>
        </w:rPr>
        <w:t>Bemessungsniederschlag (Eingabefeld CritRain, z.B. aus HAÖ)</w:t>
      </w:r>
    </w:p>
    <w:p>
      <w:pPr>
        <w:pStyle w:val="Normal"/>
        <w:rPr>
          <w:rFonts w:cs="Arial"/>
          <w:b/>
          <w:i/>
          <w:sz w:val="22"/>
          <w:szCs w:val="22"/>
        </w:rPr>
      </w:pPr>
      <w:r>
        <w:rPr>
          <w:rFonts w:cs="Arial"/>
          <w:b/>
          <w:i/>
          <w:sz w:val="22"/>
          <w:szCs w:val="22"/>
        </w:rPr>
      </w:r>
    </w:p>
    <w:p>
      <w:pPr>
        <w:pStyle w:val="Normal"/>
        <w:rPr>
          <w:rFonts w:cs="Arial"/>
          <w:i/>
          <w:szCs w:val="20"/>
        </w:rPr>
      </w:pPr>
      <w:r>
        <w:rPr>
          <w:rFonts w:cs="Arial"/>
          <w:b/>
          <w:i/>
          <w:szCs w:val="20"/>
        </w:rPr>
        <w:t>Methodik:</w:t>
      </w:r>
      <w:r>
        <w:rPr>
          <w:rFonts w:cs="Arial"/>
          <w:i/>
          <w:szCs w:val="20"/>
        </w:rPr>
        <w:t xml:space="preserve"> Lehmann et al. (2008: 51ff.) – modifiziert</w:t>
      </w:r>
    </w:p>
    <w:p>
      <w:pPr>
        <w:pStyle w:val="Normal"/>
        <w:rPr>
          <w:rFonts w:cs="Arial"/>
          <w:b/>
          <w:i/>
          <w:sz w:val="22"/>
          <w:szCs w:val="22"/>
        </w:rPr>
      </w:pPr>
      <w:r>
        <w:rPr>
          <w:rFonts w:cs="Arial"/>
          <w:b/>
          <w:i/>
          <w:sz w:val="22"/>
          <w:szCs w:val="22"/>
        </w:rPr>
      </w:r>
    </w:p>
    <w:p>
      <w:pPr>
        <w:pStyle w:val="Normal"/>
        <w:jc w:val="both"/>
        <w:rPr>
          <w:rFonts w:cs="Arial"/>
          <w:szCs w:val="20"/>
        </w:rPr>
      </w:pPr>
      <w:r>
        <w:rPr>
          <w:rFonts w:cs="Arial"/>
          <w:szCs w:val="20"/>
        </w:rPr>
        <w:t>Diese Bewertung wurde im Rahmen von TUSEC-IP entwickelt und stellt eine Erweiterung der unter 1c.1 beschriebenen Bewertung des Retentionsvermögens dar (Lehmann et al. 2007). Im oben genannten Verfahren wird von einem trockenen Boden ausgegangen (d.h. auch die Poren mittlerer Größe sind entleert und können Wasser aufnehmen) und die potenzielle Wasseraufnahme- und Versickerungsleistung unabhängig von konkreten Niederschlagsereignissen beurteilt. In der Realität zeigt sich allerdings, dass hinsichtlich Hochwasserschutz dieser hypothetische Wert insofern wenig aussagekräftig ist, da die größte Gefahr für Überschwemmungen bei Starkniederschlägen auf einen bereits wassergesättigten Boden besteht, wie dies z.B. bei Gewittern nach einer längeren Regenperiode der Fall sein kann. Daher wird hier folgende Grundannahmen getroffen:</w:t>
      </w:r>
    </w:p>
    <w:p>
      <w:pPr>
        <w:pStyle w:val="Aufzhlung"/>
        <w:tabs>
          <w:tab w:val="left" w:pos="426" w:leader="none"/>
        </w:tabs>
        <w:ind w:left="426" w:right="0" w:hanging="256"/>
        <w:jc w:val="both"/>
        <w:rPr>
          <w:rFonts w:cs="Arial"/>
          <w:color w:val="000000"/>
          <w:szCs w:val="20"/>
        </w:rPr>
      </w:pPr>
      <w:r>
        <w:rPr>
          <w:rFonts w:cs="Arial"/>
          <w:szCs w:val="20"/>
        </w:rPr>
        <w:t>Der Boden ist wassergesättigt, d.h. es stehen nur die rasch entwässernden Grobporen (&gt;50 µm = Luftkapazität) für die kurzfristige Aufnahme von Niederschlagswasser zur Verfügung.</w:t>
      </w:r>
      <w:r>
        <w:rPr>
          <w:rFonts w:cs="Arial"/>
          <w:color w:val="000000"/>
          <w:szCs w:val="20"/>
        </w:rPr>
        <w:t xml:space="preserve"> </w:t>
      </w:r>
    </w:p>
    <w:p>
      <w:pPr>
        <w:pStyle w:val="Aufzhlung"/>
        <w:tabs>
          <w:tab w:val="left" w:pos="426" w:leader="none"/>
        </w:tabs>
        <w:ind w:left="426" w:right="0" w:hanging="256"/>
        <w:jc w:val="both"/>
        <w:rPr>
          <w:rFonts w:cs="Arial"/>
          <w:szCs w:val="20"/>
        </w:rPr>
      </w:pPr>
      <w:r>
        <w:rPr>
          <w:rFonts w:cs="Arial"/>
          <w:szCs w:val="20"/>
        </w:rPr>
        <w:t>Es steht nicht der Grobporenraum des gesamten Profils zur Verfügung, da die rasche Versickerung durch (relative) „Stauhorizonte“, d.h. Horizonte mit einer geringen Wasserleitfähigkeit limititert wird. Zur Bewertung werden daher nur die Horizonte bis zum relativen „Stauer“ herangezogen.</w:t>
      </w:r>
    </w:p>
    <w:p>
      <w:pPr>
        <w:pStyle w:val="Aufzhlung"/>
        <w:tabs>
          <w:tab w:val="left" w:pos="426" w:leader="none"/>
        </w:tabs>
        <w:ind w:left="426" w:right="0" w:hanging="256"/>
        <w:jc w:val="both"/>
        <w:rPr>
          <w:rFonts w:cs="Arial"/>
          <w:szCs w:val="20"/>
        </w:rPr>
      </w:pPr>
      <w:r>
        <w:rPr>
          <w:rFonts w:cs="Arial"/>
          <w:szCs w:val="20"/>
        </w:rPr>
        <w:t xml:space="preserve">Die Wasseraufnahmefähigkeit kann – natürlich mit den bereits unter 1c.1 erwähnten verfahrensbedingten Einschränkungen – in l/m² berechnet werden. Um abschätzen zu können, ob bei einem Starkniederschlag Oberflächenabfluss entsteht, wird diese Wasseraufnahmefähigkeit mit einem definierten Bemessungsniederschlag verglichen. Dieser kann für das gesamte Bundesgebiet in einer räumlichen Auflösung von rund 6 km x 6 km aus dem Hydrologischen Atlas Österreichs (BMLFUW 2007) entnommen werden. Für das Untersuchungsgebiet wird als Bemessungsereignis </w:t>
      </w:r>
      <w:r>
        <w:rPr>
          <w:rFonts w:cs="Arial"/>
          <w:b/>
          <w:szCs w:val="20"/>
        </w:rPr>
        <w:t>ein 60-minütiger Starkregen mit einer Wiederkehrdauer von 10 Jahren vorgeschlagen</w:t>
      </w:r>
      <w:r>
        <w:rPr>
          <w:rFonts w:cs="Arial"/>
          <w:szCs w:val="20"/>
        </w:rPr>
        <w:t xml:space="preserve"> (</w:t>
      </w:r>
      <w:r>
        <w:rPr>
          <w:rFonts w:cs="Arial"/>
          <w:i/>
          <w:szCs w:val="20"/>
        </w:rPr>
        <w:t>Anm.: Eingabefeld CritRain, auf Untersuchungsgebietsebene abfragen)</w:t>
      </w:r>
      <w:r>
        <w:rPr>
          <w:rFonts w:cs="Arial"/>
          <w:szCs w:val="20"/>
        </w:rPr>
        <w:t>.</w:t>
      </w:r>
    </w:p>
    <w:p>
      <w:pPr>
        <w:pStyle w:val="Normal"/>
        <w:rPr/>
      </w:pPr>
      <w:r>
        <w:rPr/>
      </w:r>
    </w:p>
    <w:p>
      <w:pPr>
        <w:pStyle w:val="Normal"/>
        <w:spacing w:before="0" w:after="120"/>
        <w:rPr>
          <w:rFonts w:cs="Arial"/>
          <w:szCs w:val="20"/>
          <w:u w:val="single"/>
        </w:rPr>
      </w:pPr>
      <w:r>
        <w:rPr>
          <w:rFonts w:cs="Arial"/>
          <w:szCs w:val="20"/>
          <w:u w:val="single"/>
        </w:rPr>
        <w:t xml:space="preserve">Schritt 1 – Ermitteln der Tiefe des „Stauers“ </w:t>
      </w:r>
    </w:p>
    <w:p>
      <w:pPr>
        <w:pStyle w:val="Normal"/>
        <w:spacing w:before="0" w:after="120"/>
        <w:jc w:val="both"/>
        <w:rPr>
          <w:rFonts w:cs="Arial"/>
          <w:szCs w:val="20"/>
        </w:rPr>
      </w:pPr>
      <w:r>
        <w:rPr>
          <w:rFonts w:cs="Arial"/>
          <w:szCs w:val="20"/>
        </w:rPr>
        <w:t xml:space="preserve">Ähnlich zu 1c.1 wird der bewertungsrelevante Bereich (BB) anhand hydrogeologischer Kriterien abgegrenzt: </w:t>
      </w:r>
    </w:p>
    <w:p>
      <w:pPr>
        <w:pStyle w:val="Aufzhlung"/>
        <w:tabs>
          <w:tab w:val="left" w:pos="426" w:leader="none"/>
        </w:tabs>
        <w:ind w:left="709" w:right="0" w:hanging="539"/>
        <w:rPr>
          <w:rFonts w:cs="Arial"/>
          <w:color w:val="000000"/>
          <w:szCs w:val="20"/>
        </w:rPr>
      </w:pPr>
      <w:r>
        <w:rPr>
          <w:rFonts w:cs="Arial"/>
          <w:color w:val="000000"/>
          <w:szCs w:val="20"/>
        </w:rPr>
        <w:t>bei Mooren (</w:t>
      </w:r>
      <w:r>
        <w:rPr>
          <w:rFonts w:cs="Arial"/>
          <w:i/>
          <w:iCs/>
          <w:color w:val="000000"/>
          <w:szCs w:val="20"/>
        </w:rPr>
        <w:t>S322: Code 2100-2120</w:t>
      </w:r>
      <w:r>
        <w:rPr>
          <w:rFonts w:cs="Arial"/>
          <w:color w:val="000000"/>
          <w:szCs w:val="20"/>
        </w:rPr>
        <w:t xml:space="preserve">): </w:t>
        <w:br/>
        <w:t xml:space="preserve">BB bis zum Grundwasserspiegel (S153), falls bekannt; ansonsten bis Obergrenze des Gr-Horizonts oder 100 cm </w:t>
      </w:r>
    </w:p>
    <w:p>
      <w:pPr>
        <w:pStyle w:val="Aufzhlung"/>
        <w:tabs>
          <w:tab w:val="left" w:pos="426" w:leader="none"/>
        </w:tabs>
        <w:ind w:left="709" w:right="0" w:hanging="539"/>
        <w:rPr>
          <w:rFonts w:cs="Arial"/>
          <w:color w:val="000000"/>
          <w:szCs w:val="20"/>
        </w:rPr>
      </w:pPr>
      <w:r>
        <w:rPr>
          <w:rFonts w:cs="Arial"/>
          <w:color w:val="000000"/>
          <w:szCs w:val="20"/>
        </w:rPr>
        <w:t>bei Grundwassereinfluss (</w:t>
      </w:r>
      <w:r>
        <w:rPr>
          <w:rFonts w:cs="Arial"/>
          <w:i/>
          <w:color w:val="000000"/>
          <w:szCs w:val="20"/>
        </w:rPr>
        <w:t xml:space="preserve">S153 &lt;1 m oder </w:t>
      </w:r>
      <w:r>
        <w:rPr>
          <w:rFonts w:cs="Arial"/>
          <w:i/>
          <w:iCs/>
          <w:color w:val="000000"/>
          <w:szCs w:val="20"/>
        </w:rPr>
        <w:t>S322: Code 1822-1824 oder 2000-2033</w:t>
      </w:r>
      <w:r>
        <w:rPr>
          <w:rFonts w:cs="Arial"/>
          <w:color w:val="000000"/>
          <w:szCs w:val="20"/>
        </w:rPr>
        <w:t xml:space="preserve">): </w:t>
        <w:br/>
        <w:t>BB bis zur Obergrenze des Gr-Horizonts (oder G2-Horizonts, falls Abfolge A-G1-G2 o.ä.)</w:t>
      </w:r>
    </w:p>
    <w:p>
      <w:pPr>
        <w:pStyle w:val="Aufzhlung"/>
        <w:tabs>
          <w:tab w:val="left" w:pos="426" w:leader="none"/>
        </w:tabs>
        <w:ind w:left="709" w:right="0" w:hanging="539"/>
        <w:rPr>
          <w:rFonts w:cs="Arial"/>
          <w:color w:val="000000"/>
          <w:szCs w:val="20"/>
        </w:rPr>
      </w:pPr>
      <w:r>
        <w:rPr>
          <w:rFonts w:cs="Arial"/>
          <w:color w:val="000000"/>
          <w:szCs w:val="20"/>
        </w:rPr>
        <w:t>bei Stauwassereinfluss (</w:t>
      </w:r>
      <w:r>
        <w:rPr>
          <w:rFonts w:cs="Arial"/>
          <w:i/>
          <w:iCs/>
          <w:color w:val="000000"/>
          <w:szCs w:val="20"/>
        </w:rPr>
        <w:t>S322: Code 1900-1950</w:t>
      </w:r>
      <w:r>
        <w:rPr>
          <w:rFonts w:cs="Arial"/>
          <w:color w:val="000000"/>
          <w:szCs w:val="20"/>
        </w:rPr>
        <w:t xml:space="preserve">) </w:t>
        <w:br/>
        <w:t>BB bis zur Obergrenze des S- oder Sd-Horizonts</w:t>
      </w:r>
    </w:p>
    <w:p>
      <w:pPr>
        <w:pStyle w:val="Aufzhlung"/>
        <w:ind w:left="709" w:right="0" w:hanging="539"/>
        <w:rPr>
          <w:rFonts w:cs="Arial"/>
          <w:color w:val="000000"/>
          <w:szCs w:val="20"/>
        </w:rPr>
      </w:pPr>
      <w:r>
        <w:rPr>
          <w:rFonts w:cs="Arial"/>
          <w:szCs w:val="20"/>
        </w:rPr>
        <w:t xml:space="preserve">bei Böden über anstehendem Gestein oder Stauhorizont: </w:t>
        <w:br/>
        <w:t>BB bis zur Obergrenze jenes Horizontes, der einen kf-Wert von 1 hat (</w:t>
      </w:r>
      <w:r>
        <w:rPr>
          <w:rFonts w:cs="Arial"/>
          <w:i/>
          <w:szCs w:val="20"/>
        </w:rPr>
        <w:t>Festgestein wird in einer Näherung als „undurchlässig“ angesehen, sofern keine Indizen für einen höheren kf-Wert sprechen – siehe Bestimmung Px12</w:t>
      </w:r>
      <w:r>
        <w:rPr>
          <w:rFonts w:cs="Arial"/>
          <w:szCs w:val="20"/>
        </w:rPr>
        <w:t>)</w:t>
      </w:r>
      <w:r>
        <w:rPr>
          <w:rFonts w:cs="Arial"/>
          <w:color w:val="000000"/>
          <w:szCs w:val="20"/>
        </w:rPr>
        <w:t xml:space="preserve"> </w:t>
      </w:r>
    </w:p>
    <w:p>
      <w:pPr>
        <w:pStyle w:val="Aufzhlung"/>
        <w:ind w:left="709" w:right="0" w:hanging="539"/>
        <w:rPr>
          <w:rFonts w:cs="Arial"/>
          <w:color w:val="000000"/>
          <w:szCs w:val="20"/>
        </w:rPr>
      </w:pPr>
      <w:r>
        <w:rPr>
          <w:rFonts w:cs="Arial"/>
          <w:color w:val="000000"/>
          <w:szCs w:val="20"/>
        </w:rPr>
        <w:t xml:space="preserve">für alle anderen Böden: </w:t>
        <w:br/>
        <w:t xml:space="preserve">BB bis zur </w:t>
      </w:r>
      <w:r>
        <w:rPr>
          <w:rFonts w:cs="Arial"/>
          <w:color w:val="000000"/>
          <w:szCs w:val="20"/>
          <w:u w:val="single"/>
        </w:rPr>
        <w:t>Unter</w:t>
      </w:r>
      <w:r>
        <w:rPr>
          <w:rFonts w:cs="Arial"/>
          <w:color w:val="000000"/>
          <w:szCs w:val="20"/>
        </w:rPr>
        <w:t>grenze jenes Horizontes, der den geringsten kf-Wert innerhalb des Profils aufweist (kf</w:t>
      </w:r>
      <w:r>
        <w:rPr>
          <w:rFonts w:cs="Arial"/>
          <w:color w:val="000000"/>
          <w:szCs w:val="20"/>
          <w:vertAlign w:val="subscript"/>
        </w:rPr>
        <w:t>min</w:t>
      </w:r>
      <w:r>
        <w:rPr>
          <w:rFonts w:cs="Arial"/>
          <w:color w:val="000000"/>
          <w:szCs w:val="20"/>
        </w:rPr>
        <w:t xml:space="preserve"> = Sx10)</w:t>
      </w:r>
    </w:p>
    <w:p>
      <w:pPr>
        <w:pStyle w:val="Normal"/>
        <w:rPr/>
      </w:pPr>
      <w:r>
        <w:rPr/>
      </w:r>
    </w:p>
    <w:p>
      <w:pPr>
        <w:pStyle w:val="Normal"/>
        <w:spacing w:before="0" w:after="120"/>
        <w:rPr>
          <w:rFonts w:cs="Arial"/>
          <w:szCs w:val="20"/>
          <w:u w:val="single"/>
        </w:rPr>
      </w:pPr>
      <w:r>
        <w:rPr>
          <w:rFonts w:cs="Arial"/>
          <w:szCs w:val="20"/>
          <w:u w:val="single"/>
        </w:rPr>
        <w:t>Schritt 2 – Berechnen des gesamten Volumens der Grobporen (=Luftkapazität) bis zum „Stauhorizont“</w:t>
      </w:r>
    </w:p>
    <w:p>
      <w:pPr>
        <w:pStyle w:val="Normal"/>
        <w:spacing w:before="0" w:after="120"/>
        <w:jc w:val="both"/>
        <w:rPr>
          <w:rFonts w:cs="Arial"/>
          <w:color w:val="000000"/>
          <w:szCs w:val="20"/>
        </w:rPr>
      </w:pPr>
      <w:r>
        <w:rPr>
          <w:rFonts w:cs="Arial"/>
          <w:szCs w:val="20"/>
        </w:rPr>
        <w:t>Dieser Schritt entspricht der Berechnung von Sx07 (LK</w:t>
      </w:r>
      <w:r>
        <w:rPr>
          <w:rFonts w:cs="Arial"/>
          <w:szCs w:val="20"/>
          <w:vertAlign w:val="subscript"/>
        </w:rPr>
        <w:t>oben</w:t>
      </w:r>
      <w:r>
        <w:rPr>
          <w:rFonts w:cs="Arial"/>
          <w:szCs w:val="20"/>
        </w:rPr>
        <w:t>) und umfasst das Aufsummieren</w:t>
      </w:r>
      <w:r>
        <w:rPr>
          <w:rFonts w:cs="Arial"/>
          <w:color w:val="000000"/>
          <w:szCs w:val="20"/>
        </w:rPr>
        <w:t xml:space="preserve"> der Luftkapazität aller Horizonte bis zu der in Schritt 1 bestimmten Tiefe – für Stauwasser beeinflusste Böden oder „normale“ Böden wird die Horizontuntergrenze herangezogen und damit der Porenraum des betreffenden Horizontes noch berücksichtigt.</w:t>
      </w:r>
    </w:p>
    <w:p>
      <w:pPr>
        <w:pStyle w:val="Normal"/>
        <w:tabs>
          <w:tab w:val="left" w:pos="4793" w:leader="none"/>
        </w:tabs>
        <w:ind w:left="1125" w:right="0" w:hanging="0"/>
        <w:jc w:val="both"/>
        <w:rPr/>
      </w:pPr>
      <w:r>
        <w:rPr/>
      </w:r>
    </w:p>
    <w:p>
      <w:pPr>
        <w:pStyle w:val="Normal"/>
        <w:spacing w:before="0" w:after="120"/>
        <w:rPr>
          <w:rFonts w:cs="Arial"/>
          <w:szCs w:val="20"/>
          <w:u w:val="single"/>
        </w:rPr>
      </w:pPr>
      <w:r>
        <w:rPr>
          <w:rFonts w:cs="Arial"/>
          <w:szCs w:val="20"/>
          <w:u w:val="single"/>
        </w:rPr>
        <w:t xml:space="preserve">Schritt 3 – Ermittlung und Korrektur des Bemessungsniederschlags </w:t>
      </w:r>
    </w:p>
    <w:p>
      <w:pPr>
        <w:pStyle w:val="Normal"/>
        <w:jc w:val="both"/>
        <w:rPr>
          <w:rFonts w:cs="Arial"/>
          <w:color w:val="000000"/>
          <w:szCs w:val="20"/>
        </w:rPr>
      </w:pPr>
      <w:r>
        <w:rPr>
          <w:rFonts w:cs="Arial"/>
          <w:color w:val="000000"/>
          <w:szCs w:val="20"/>
        </w:rPr>
        <w:t>Anschließend wird abgeschätzt, ob die bei einem Extremereignis anfallende Wassermenge von den zur Verfügung stehenden Grobporen aufgenommen werden kann. Dieser Vergleichswert ergibt sich aus dem Bemessungsniederschlag abzüglich der (durch den kf</w:t>
      </w:r>
      <w:r>
        <w:rPr>
          <w:rFonts w:cs="Arial"/>
          <w:color w:val="000000"/>
          <w:szCs w:val="20"/>
          <w:vertAlign w:val="subscript"/>
        </w:rPr>
        <w:t>min</w:t>
      </w:r>
      <w:r>
        <w:rPr>
          <w:rFonts w:cs="Arial"/>
          <w:color w:val="000000"/>
          <w:szCs w:val="20"/>
        </w:rPr>
        <w:t xml:space="preserve">-Wert limitierten) Wassermenge, die im selben Zeitraum (1 Stunde) versickert, d.h. in den Untergrund bzw. in das Grundwasser weitergeleitet wird. Bei Böden auf Festgestein </w:t>
      </w:r>
      <w:r>
        <w:rPr>
          <w:rFonts w:cs="Arial"/>
          <w:color w:val="9900FF"/>
          <w:szCs w:val="20"/>
        </w:rPr>
        <w:t>(daher einem Skelettgehalt  von 100% und einer Gründigkeit von weniger als 25 cm)</w:t>
      </w:r>
      <w:r>
        <w:rPr>
          <w:rFonts w:cs="Arial"/>
          <w:color w:val="000000"/>
          <w:szCs w:val="20"/>
        </w:rPr>
        <w:t xml:space="preserve"> oder Grundwasser beeinflussten Böden entfällt diese Korrektur, der Bemessungsniederschlag geht unverändert in den Vergleich ein. Für alle anderen Böden gilt:</w:t>
      </w:r>
    </w:p>
    <w:p>
      <w:pPr>
        <w:pStyle w:val="Normal"/>
        <w:ind w:left="0" w:right="0" w:firstLine="708"/>
        <w:jc w:val="both"/>
        <w:rPr>
          <w:rFonts w:cs="Arial"/>
          <w:color w:val="000000"/>
          <w:szCs w:val="20"/>
        </w:rPr>
      </w:pPr>
      <w:r>
        <w:rPr>
          <w:rFonts w:cs="Arial"/>
          <w:color w:val="000000"/>
          <w:szCs w:val="20"/>
        </w:rPr>
      </w:r>
    </w:p>
    <w:p>
      <w:pPr>
        <w:pStyle w:val="Normal"/>
        <w:ind w:left="0" w:right="0" w:firstLine="708"/>
        <w:jc w:val="both"/>
        <w:rPr>
          <w:rFonts w:cs="Arial"/>
          <w:color w:val="000000"/>
          <w:szCs w:val="20"/>
        </w:rPr>
      </w:pPr>
      <w:r>
        <w:rPr>
          <w:rFonts w:cs="Arial"/>
          <w:color w:val="000000"/>
          <w:szCs w:val="20"/>
        </w:rPr>
        <w:t>korrigierter Bemessungsniederschlag = Bemessungsniederschlag [mm/h] - (kf</w:t>
      </w:r>
      <w:r>
        <w:rPr>
          <w:rFonts w:cs="Arial"/>
          <w:color w:val="000000"/>
          <w:szCs w:val="20"/>
          <w:vertAlign w:val="subscript"/>
        </w:rPr>
        <w:t>min</w:t>
      </w:r>
      <w:r>
        <w:rPr>
          <w:rFonts w:cs="Arial"/>
          <w:color w:val="000000"/>
          <w:szCs w:val="20"/>
        </w:rPr>
        <w:t xml:space="preserve"> [cm/d]  / 2,4)</w:t>
      </w:r>
    </w:p>
    <w:p>
      <w:pPr>
        <w:pStyle w:val="Normal"/>
        <w:tabs>
          <w:tab w:val="left" w:pos="4793" w:leader="none"/>
        </w:tabs>
        <w:ind w:left="1125" w:right="0" w:hanging="0"/>
        <w:jc w:val="both"/>
        <w:rPr>
          <w:rFonts w:cs="Arial"/>
          <w:color w:val="000000"/>
          <w:sz w:val="18"/>
          <w:szCs w:val="18"/>
        </w:rPr>
      </w:pPr>
      <w:r>
        <w:rPr>
          <w:rFonts w:cs="Arial"/>
          <w:color w:val="000000"/>
          <w:sz w:val="18"/>
          <w:szCs w:val="18"/>
        </w:rPr>
      </w:r>
    </w:p>
    <w:p>
      <w:pPr>
        <w:pStyle w:val="Normal"/>
        <w:tabs>
          <w:tab w:val="left" w:pos="4793" w:leader="none"/>
        </w:tabs>
        <w:ind w:left="1125" w:right="0" w:hanging="0"/>
        <w:jc w:val="both"/>
        <w:rPr>
          <w:rFonts w:cs="Arial"/>
          <w:color w:val="000000"/>
          <w:sz w:val="18"/>
          <w:szCs w:val="18"/>
        </w:rPr>
      </w:pPr>
      <w:r>
        <w:rPr>
          <w:rFonts w:cs="Arial"/>
          <w:color w:val="000000"/>
          <w:sz w:val="18"/>
          <w:szCs w:val="18"/>
        </w:rPr>
      </w:r>
    </w:p>
    <w:p>
      <w:pPr>
        <w:pStyle w:val="Normal"/>
        <w:spacing w:before="0" w:after="120"/>
        <w:rPr>
          <w:rFonts w:cs="Arial"/>
          <w:szCs w:val="20"/>
          <w:u w:val="single"/>
        </w:rPr>
      </w:pPr>
      <w:r>
        <w:rPr>
          <w:rFonts w:cs="Arial"/>
          <w:szCs w:val="20"/>
          <w:u w:val="single"/>
        </w:rPr>
        <w:t>Schritt 4 – Gesamtbewertung</w:t>
      </w:r>
    </w:p>
    <w:p>
      <w:pPr>
        <w:pStyle w:val="Normal"/>
        <w:jc w:val="both"/>
        <w:rPr>
          <w:rFonts w:cs="Arial"/>
          <w:bCs/>
          <w:color w:val="000000"/>
          <w:szCs w:val="20"/>
        </w:rPr>
      </w:pPr>
      <w:r>
        <w:rPr>
          <w:rFonts w:cs="Arial"/>
          <w:color w:val="000000"/>
          <w:szCs w:val="20"/>
        </w:rPr>
        <w:t xml:space="preserve">Die abschließende Gesamtbewertung erfolgt durch den Vergleich </w:t>
      </w:r>
      <w:r>
        <w:rPr>
          <w:rFonts w:cs="Arial"/>
          <w:bCs/>
          <w:color w:val="000000"/>
          <w:szCs w:val="20"/>
        </w:rPr>
        <w:t>der Wasseraufnahmekapazität mit dem korrigierten Bemessungsniederschlag:</w:t>
      </w:r>
    </w:p>
    <w:p>
      <w:pPr>
        <w:pStyle w:val="Normal"/>
        <w:jc w:val="both"/>
        <w:rPr>
          <w:rFonts w:cs="Arial"/>
          <w:color w:val="000000"/>
          <w:sz w:val="18"/>
          <w:szCs w:val="18"/>
        </w:rPr>
      </w:pPr>
      <w:r>
        <w:rPr>
          <w:rFonts w:cs="Arial"/>
          <w:color w:val="000000"/>
          <w:sz w:val="18"/>
          <w:szCs w:val="18"/>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5383"/>
        <w:gridCol w:w="1285"/>
      </w:tblGrid>
      <w:tr>
        <w:trPr>
          <w:trHeight w:val="340" w:hRule="atLeast"/>
          <w:cantSplit w:val="false"/>
        </w:trPr>
        <w:tc>
          <w:tcPr>
            <w:tcW w:w="53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both"/>
              <w:rPr>
                <w:rFonts w:cs="Arial"/>
                <w:i/>
                <w:color w:val="000000"/>
                <w:szCs w:val="20"/>
              </w:rPr>
            </w:pPr>
            <w:r>
              <w:rPr>
                <w:rFonts w:cs="Arial"/>
                <w:color w:val="000000"/>
                <w:szCs w:val="20"/>
              </w:rPr>
              <w:t xml:space="preserve">Verhältnis </w:t>
            </w:r>
            <w:r>
              <w:rPr>
                <w:rFonts w:cs="Arial"/>
                <w:b/>
                <w:color w:val="000000"/>
                <w:szCs w:val="20"/>
              </w:rPr>
              <w:t>korr. Bemessungsniederschlag</w:t>
            </w:r>
            <w:r>
              <w:rPr>
                <w:rFonts w:cs="Arial"/>
                <w:color w:val="000000"/>
                <w:szCs w:val="20"/>
              </w:rPr>
              <w:t xml:space="preserve"> (</w:t>
            </w:r>
            <w:r>
              <w:rPr>
                <w:rFonts w:cs="Arial"/>
                <w:i/>
                <w:color w:val="000000"/>
                <w:szCs w:val="20"/>
              </w:rPr>
              <w:t>Schritt 3</w:t>
            </w:r>
            <w:r>
              <w:rPr>
                <w:rFonts w:cs="Arial"/>
                <w:color w:val="000000"/>
                <w:szCs w:val="20"/>
              </w:rPr>
              <w:t xml:space="preserve">) / </w:t>
            </w:r>
            <w:r>
              <w:rPr>
                <w:rFonts w:cs="Arial"/>
                <w:b/>
                <w:color w:val="000000"/>
                <w:szCs w:val="20"/>
              </w:rPr>
              <w:t xml:space="preserve">Wasseraufnahmekapazität </w:t>
            </w:r>
            <w:r>
              <w:rPr>
                <w:rFonts w:cs="Arial"/>
                <w:i/>
                <w:color w:val="000000"/>
                <w:szCs w:val="20"/>
              </w:rPr>
              <w:t>(LK</w:t>
            </w:r>
            <w:r>
              <w:rPr>
                <w:rFonts w:cs="Arial"/>
                <w:i/>
                <w:color w:val="000000"/>
                <w:szCs w:val="20"/>
                <w:vertAlign w:val="subscript"/>
              </w:rPr>
              <w:t>oben</w:t>
            </w:r>
            <w:r>
              <w:rPr>
                <w:rFonts w:cs="Arial"/>
                <w:i/>
                <w:color w:val="000000"/>
                <w:szCs w:val="20"/>
              </w:rPr>
              <w:t xml:space="preserve"> = Sx07)</w:t>
            </w:r>
          </w:p>
        </w:tc>
        <w:tc>
          <w:tcPr>
            <w:tcW w:w="12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tabs>
                <w:tab w:val="left" w:pos="1418" w:leader="none"/>
              </w:tabs>
              <w:spacing w:before="60" w:after="60"/>
              <w:jc w:val="center"/>
              <w:rPr>
                <w:rFonts w:cs="Arial"/>
                <w:b/>
                <w:color w:val="000000"/>
                <w:szCs w:val="20"/>
              </w:rPr>
            </w:pPr>
            <w:r>
              <w:rPr>
                <w:rFonts w:cs="Arial"/>
                <w:b/>
                <w:color w:val="000000"/>
                <w:szCs w:val="20"/>
              </w:rPr>
              <w:t>Bewertung Ret_Crit</w:t>
            </w:r>
          </w:p>
        </w:tc>
      </w:tr>
      <w:tr>
        <w:trPr>
          <w:trHeight w:val="340" w:hRule="atLeast"/>
          <w:cantSplit w:val="false"/>
        </w:trPr>
        <w:tc>
          <w:tcPr>
            <w:tcW w:w="53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ascii="Symbol" w:hAnsi="Symbol"/>
                <w:color w:val="000000"/>
                <w:szCs w:val="20"/>
              </w:rPr>
              <w:t></w:t>
            </w:r>
            <w:r>
              <w:rPr>
                <w:rFonts w:cs="Arial"/>
                <w:color w:val="000000"/>
                <w:szCs w:val="20"/>
              </w:rPr>
              <w:t xml:space="preserve"> </w:t>
            </w:r>
            <w:r>
              <w:rPr>
                <w:rFonts w:cs="Arial"/>
                <w:color w:val="000000"/>
                <w:szCs w:val="20"/>
              </w:rPr>
              <w:t>0,9</w:t>
            </w:r>
          </w:p>
        </w:tc>
        <w:tc>
          <w:tcPr>
            <w:tcW w:w="12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1</w:t>
            </w:r>
          </w:p>
        </w:tc>
      </w:tr>
      <w:tr>
        <w:trPr>
          <w:trHeight w:val="340" w:hRule="atLeast"/>
          <w:cantSplit w:val="false"/>
        </w:trPr>
        <w:tc>
          <w:tcPr>
            <w:tcW w:w="53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&gt;0,9 bis 1,2</w:t>
            </w:r>
          </w:p>
        </w:tc>
        <w:tc>
          <w:tcPr>
            <w:tcW w:w="12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2</w:t>
            </w:r>
          </w:p>
        </w:tc>
      </w:tr>
      <w:tr>
        <w:trPr>
          <w:trHeight w:val="340" w:hRule="atLeast"/>
          <w:cantSplit w:val="false"/>
        </w:trPr>
        <w:tc>
          <w:tcPr>
            <w:tcW w:w="53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&gt;1,2 bis 2,0</w:t>
            </w:r>
          </w:p>
        </w:tc>
        <w:tc>
          <w:tcPr>
            <w:tcW w:w="12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3</w:t>
            </w:r>
          </w:p>
        </w:tc>
      </w:tr>
      <w:tr>
        <w:trPr>
          <w:trHeight w:val="340" w:hRule="atLeast"/>
          <w:cantSplit w:val="false"/>
        </w:trPr>
        <w:tc>
          <w:tcPr>
            <w:tcW w:w="53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&gt;2,0 bis 3,0</w:t>
            </w:r>
          </w:p>
        </w:tc>
        <w:tc>
          <w:tcPr>
            <w:tcW w:w="12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4</w:t>
            </w:r>
          </w:p>
        </w:tc>
      </w:tr>
      <w:tr>
        <w:trPr>
          <w:trHeight w:val="340" w:hRule="atLeast"/>
          <w:cantSplit w:val="false"/>
        </w:trPr>
        <w:tc>
          <w:tcPr>
            <w:tcW w:w="53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 xml:space="preserve">&gt;3,0 [oder Grundwasserspiegel </w:t>
            </w:r>
            <w:r>
              <w:rPr>
                <w:rFonts w:cs="Arial"/>
                <w:i/>
                <w:color w:val="000000"/>
                <w:szCs w:val="20"/>
              </w:rPr>
              <w:t>(S153)</w:t>
            </w:r>
            <w:r>
              <w:rPr>
                <w:rFonts w:cs="Arial"/>
                <w:color w:val="000000"/>
                <w:szCs w:val="20"/>
              </w:rPr>
              <w:t xml:space="preserve"> &lt;1 m unter GOF]</w:t>
            </w:r>
          </w:p>
        </w:tc>
        <w:tc>
          <w:tcPr>
            <w:tcW w:w="12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5</w:t>
            </w:r>
          </w:p>
        </w:tc>
      </w:tr>
    </w:tbl>
    <w:p>
      <w:pPr>
        <w:pStyle w:val="Normal"/>
        <w:tabs>
          <w:tab w:val="left" w:pos="4793" w:leader="none"/>
        </w:tabs>
        <w:ind w:left="1125" w:right="0" w:hanging="0"/>
        <w:jc w:val="both"/>
        <w:rPr/>
      </w:pPr>
      <w:r>
        <w:rPr/>
      </w:r>
    </w:p>
    <w:p>
      <w:pPr>
        <w:pStyle w:val="Normal"/>
        <w:jc w:val="both"/>
        <w:rPr>
          <w:rFonts w:cs="Arial"/>
          <w:color w:val="000000"/>
          <w:szCs w:val="20"/>
        </w:rPr>
      </w:pPr>
      <w:r>
        <w:rPr>
          <w:rFonts w:cs="Arial"/>
          <w:color w:val="000000"/>
          <w:szCs w:val="20"/>
        </w:rPr>
        <w:t xml:space="preserve">Weitere in der Realität wichtige Faktoren wie z.B. die Vegetationsbedeckung oder eventuell vorhandener Wurzelfilz können in diesem Ansatz nicht berücksichtigt werden, weiters gelten die unter 1c.1 bereits andiskutierten Unschärfen und Einschränkungen.  </w:t>
      </w:r>
    </w:p>
    <w:p>
      <w:pPr>
        <w:pStyle w:val="Heading3"/>
        <w:rPr>
          <w:szCs w:val="20"/>
        </w:rPr>
      </w:pPr>
      <w:r>
        <w:rPr/>
        <w:t xml:space="preserve">1c.3) </w:t>
      </w:r>
      <w:r>
        <w:rPr>
          <w:szCs w:val="20"/>
        </w:rPr>
        <w:t>Qualitative Aspekte der Grundwasserneubildung</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Grundwasserflurabstand (S153)</w:t>
      </w:r>
    </w:p>
    <w:p>
      <w:pPr>
        <w:pStyle w:val="Normal"/>
        <w:ind w:left="142" w:right="0" w:hanging="0"/>
        <w:rPr>
          <w:rFonts w:cs="Arial"/>
          <w:i/>
          <w:szCs w:val="20"/>
        </w:rPr>
      </w:pPr>
      <w:r>
        <w:rPr>
          <w:rFonts w:cs="Arial"/>
          <w:i/>
          <w:szCs w:val="20"/>
        </w:rPr>
        <w:t>Bodentyp (</w:t>
      </w:r>
      <w:r>
        <w:rPr>
          <w:rFonts w:cs="Arial"/>
          <w:i/>
          <w:color w:val="000000"/>
          <w:szCs w:val="20"/>
        </w:rPr>
        <w:t>S322</w:t>
      </w:r>
      <w:r>
        <w:rPr>
          <w:rFonts w:cs="Arial"/>
          <w:i/>
          <w:szCs w:val="20"/>
        </w:rPr>
        <w:t>)</w:t>
      </w:r>
    </w:p>
    <w:p>
      <w:pPr>
        <w:pStyle w:val="Normal"/>
        <w:ind w:left="142" w:right="0" w:hanging="0"/>
        <w:rPr>
          <w:rFonts w:cs="Arial"/>
          <w:i/>
          <w:szCs w:val="20"/>
        </w:rPr>
      </w:pPr>
      <w:r>
        <w:rPr>
          <w:rFonts w:cs="Arial"/>
          <w:i/>
          <w:szCs w:val="20"/>
        </w:rPr>
        <w:t>Wasserspeichervermögen (Px10)</w:t>
      </w:r>
    </w:p>
    <w:p>
      <w:pPr>
        <w:pStyle w:val="Normal"/>
        <w:ind w:left="142" w:right="0" w:hanging="0"/>
        <w:rPr>
          <w:rFonts w:cs="Arial"/>
          <w:i/>
          <w:szCs w:val="20"/>
        </w:rPr>
      </w:pPr>
      <w:r>
        <w:rPr>
          <w:rFonts w:cs="Arial"/>
          <w:i/>
          <w:szCs w:val="20"/>
        </w:rPr>
        <w:t xml:space="preserve">gesättigte Wasserleitfähigkeit (Px12) </w:t>
      </w:r>
    </w:p>
    <w:p>
      <w:pPr>
        <w:pStyle w:val="Normal"/>
        <w:ind w:left="142" w:right="0" w:firstLine="566"/>
        <w:rPr>
          <w:rFonts w:cs="Arial"/>
          <w:i/>
          <w:szCs w:val="20"/>
        </w:rPr>
      </w:pPr>
      <w:r>
        <w:rPr>
          <w:rFonts w:cs="Arial"/>
          <w:i/>
          <w:szCs w:val="20"/>
        </w:rPr>
        <w:t>daraus abgeleitet: minimaler kf-Wert (kf</w:t>
      </w:r>
      <w:r>
        <w:rPr>
          <w:rFonts w:cs="Arial"/>
          <w:i/>
          <w:szCs w:val="20"/>
          <w:vertAlign w:val="subscript"/>
        </w:rPr>
        <w:t>min</w:t>
      </w:r>
      <w:r>
        <w:rPr>
          <w:rFonts w:cs="Arial"/>
          <w:i/>
          <w:szCs w:val="20"/>
        </w:rPr>
        <w:t xml:space="preserve"> = Sx10)</w:t>
      </w:r>
    </w:p>
    <w:p>
      <w:pPr>
        <w:pStyle w:val="Normal"/>
        <w:rPr>
          <w:rFonts w:cs="Arial"/>
          <w:b/>
          <w:i/>
          <w:sz w:val="22"/>
          <w:szCs w:val="22"/>
        </w:rPr>
      </w:pPr>
      <w:r>
        <w:rPr>
          <w:rFonts w:cs="Arial"/>
          <w:b/>
          <w:i/>
          <w:sz w:val="22"/>
          <w:szCs w:val="22"/>
        </w:rPr>
      </w:r>
    </w:p>
    <w:p>
      <w:pPr>
        <w:pStyle w:val="Normal"/>
        <w:rPr>
          <w:rFonts w:cs="Arial"/>
          <w:i/>
          <w:szCs w:val="20"/>
        </w:rPr>
      </w:pPr>
      <w:r>
        <w:rPr>
          <w:rFonts w:cs="Arial"/>
          <w:b/>
          <w:i/>
          <w:szCs w:val="20"/>
        </w:rPr>
        <w:t>Methodik:</w:t>
      </w:r>
      <w:r>
        <w:rPr>
          <w:rFonts w:cs="Arial"/>
          <w:i/>
          <w:szCs w:val="20"/>
        </w:rPr>
        <w:t xml:space="preserve"> Lehmann et al. (2008: 26ff.)</w:t>
      </w:r>
    </w:p>
    <w:p>
      <w:pPr>
        <w:pStyle w:val="Normal"/>
        <w:rPr>
          <w:rFonts w:cs="Arial"/>
          <w:i/>
          <w:szCs w:val="20"/>
        </w:rPr>
      </w:pPr>
      <w:r>
        <w:rPr>
          <w:rFonts w:cs="Arial"/>
          <w:i/>
          <w:szCs w:val="20"/>
        </w:rPr>
      </w:r>
    </w:p>
    <w:p>
      <w:pPr>
        <w:pStyle w:val="Normal"/>
        <w:jc w:val="both"/>
        <w:rPr>
          <w:rFonts w:cs="Arial"/>
          <w:szCs w:val="20"/>
        </w:rPr>
      </w:pPr>
      <w:r>
        <w:rPr>
          <w:rFonts w:cs="Arial"/>
          <w:szCs w:val="20"/>
        </w:rPr>
        <w:t xml:space="preserve">Diese Bewertung wurde ebenfalls im Rahmen von TUSEC-IP entwickelt (Lehmann et al. 2007) und stellt eine Weiterentwicklung des unter 1c.1 beschriebenen Verfahrens für eine zusätzliche Bewertung des hydrologischen Potenzials von Böden dar. In der ursprünglichen Form wird das Retentionspotenzial  eines Bodens betrachtet und umso höher bewertet, je mehr Wasser aufgenommen (gesamtes Volumen der Poren mit &gt;0,2 µm Durchmesser = Wasserspeichervermögen WSV) und je schneller Wasser in den Untergrund weitergeleitet werden kann (kf-Wert). </w:t>
      </w:r>
    </w:p>
    <w:p>
      <w:pPr>
        <w:pStyle w:val="Normal"/>
        <w:rPr>
          <w:rFonts w:cs="Arial"/>
          <w:i/>
          <w:szCs w:val="20"/>
        </w:rPr>
      </w:pPr>
      <w:r>
        <w:rPr>
          <w:rFonts w:cs="Arial"/>
          <w:i/>
          <w:szCs w:val="20"/>
        </w:rPr>
      </w:r>
    </w:p>
    <w:p>
      <w:pPr>
        <w:pStyle w:val="Normal"/>
        <w:jc w:val="both"/>
        <w:rPr>
          <w:rFonts w:cs="Arial"/>
          <w:szCs w:val="20"/>
        </w:rPr>
      </w:pPr>
      <w:r>
        <w:rPr>
          <w:rFonts w:cs="Arial"/>
          <w:szCs w:val="20"/>
        </w:rPr>
        <w:t xml:space="preserve">Während ein hohes Wasserspeichervermögen auch für die Grundwasserneubildung eine positive Rolle spielt, ist die Durchlässigkeit des Bodens differenziert zu betrachten. Einerseits ist eine gewisse hydraulische Leitfähigkeit erforderlich, damit Wasser überhaupt erst in tiefere Schichten gelangen und dadurch zur Grundwasserneubildung beitragen kann. Andererseits bewirkt ein zu rasches Versickern jedoch, dass mit dem Niederschlagswasser eingetragene Schadstoffe in das Grundwasser gelangen. Damit nicht abbaubare Stoffe immobilisiert (siehe 1d.1 und 1d.3) bzw. die um- und abbauenden Prozesse im Boden ablaufen können (siehe 1d.2) und somit eine höhere Wasserqualität gewährleistet wird, ist eine gewisse Mindestverweilzeit des Wassers in den „aktiven“ Bodenhorizonten nötig. Lehmann et al. (2008: 26) gehen von einer optimalen Sickerzeit von ein bis zwei Wochen aus. </w:t>
      </w:r>
    </w:p>
    <w:p>
      <w:pPr>
        <w:pStyle w:val="Normal"/>
        <w:jc w:val="both"/>
        <w:rPr>
          <w:rFonts w:cs="Arial"/>
          <w:szCs w:val="20"/>
        </w:rPr>
      </w:pPr>
      <w:r>
        <w:rPr>
          <w:rFonts w:cs="Arial"/>
          <w:szCs w:val="20"/>
        </w:rPr>
      </w:r>
    </w:p>
    <w:p>
      <w:pPr>
        <w:pStyle w:val="Normal"/>
        <w:jc w:val="both"/>
        <w:rPr>
          <w:rFonts w:cs="Arial"/>
          <w:szCs w:val="20"/>
        </w:rPr>
      </w:pPr>
      <w:r>
        <w:rPr>
          <w:rFonts w:cs="Arial"/>
          <w:szCs w:val="20"/>
        </w:rPr>
        <w:t>Für Grundwasser beeinflusste Böden (Gleye, Moore) ist nur der Bereich oberhalb des Gr-Horizonts (=fast durchgehend im Grundwasser) sowie bei Stauwasser beeinflussten Böden (Pseudogleye) oberhalb des Sd-Horizonts (=geringst durchlässiger Stauhorizont) für die Bewertung relevant. Alle Böden auf Standorten mit einem Grundwasserflurabstand von weniger als 1 Meter (incl. Gleye) können hinsichtlich der qualitativen Aspekte der Grundwasserneubildung maximal mit 4 (gering) bewertet werden.</w:t>
      </w:r>
    </w:p>
    <w:p>
      <w:pPr>
        <w:pStyle w:val="Normal"/>
        <w:jc w:val="both"/>
        <w:rPr>
          <w:rFonts w:cs="Arial"/>
          <w:szCs w:val="20"/>
        </w:rPr>
      </w:pPr>
      <w:r>
        <w:rPr>
          <w:rFonts w:cs="Arial"/>
          <w:szCs w:val="20"/>
        </w:rPr>
        <w:t>Moorböden erhalten generell die Bewertung „sehr schlecht“, da sie einerseits wegen ihrer Nähe zum Grundwasserkörper, andererseits wegen der möglichen Bildung löslicher organischer Komplexe problematisch sein können (Umweltministerium Baden-Württemberg 1995: 13, BayGLA 2003: 48).</w:t>
      </w:r>
    </w:p>
    <w:p>
      <w:pPr>
        <w:pStyle w:val="Normal"/>
        <w:rPr/>
      </w:pPr>
      <w:r>
        <w:rPr/>
      </w:r>
    </w:p>
    <w:p>
      <w:pPr>
        <w:pStyle w:val="Normal"/>
        <w:spacing w:before="0" w:after="120"/>
        <w:rPr>
          <w:rFonts w:cs="Arial"/>
          <w:szCs w:val="20"/>
          <w:u w:val="single"/>
        </w:rPr>
      </w:pPr>
      <w:r>
        <w:rPr>
          <w:rFonts w:cs="Arial"/>
          <w:szCs w:val="20"/>
          <w:u w:val="single"/>
        </w:rPr>
        <w:t>Schritt 1 – Bestimmung des zu bewertenden Bereiches (BB)</w:t>
      </w:r>
    </w:p>
    <w:p>
      <w:pPr>
        <w:pStyle w:val="Normal"/>
        <w:spacing w:before="0" w:after="120"/>
        <w:jc w:val="both"/>
        <w:rPr>
          <w:rFonts w:cs="Arial"/>
          <w:szCs w:val="20"/>
        </w:rPr>
      </w:pPr>
      <w:r>
        <w:rPr>
          <w:rFonts w:cs="Arial"/>
          <w:szCs w:val="20"/>
        </w:rPr>
        <w:t xml:space="preserve">Wie in 1c.1 erläutert ergeben sich bei der Bewertung von Böden mit Grund- oder Stauwassereinfluss Einschränkungen, die zu einer Abgrenzung des bewerteten Bereiches führen: </w:t>
      </w:r>
    </w:p>
    <w:p>
      <w:pPr>
        <w:pStyle w:val="Aufzhlung"/>
        <w:tabs>
          <w:tab w:val="left" w:pos="426" w:leader="none"/>
        </w:tabs>
        <w:ind w:left="709" w:right="0" w:hanging="539"/>
        <w:rPr>
          <w:rFonts w:cs="Arial"/>
          <w:color w:val="000000"/>
          <w:szCs w:val="20"/>
        </w:rPr>
      </w:pPr>
      <w:r>
        <w:rPr>
          <w:rFonts w:cs="Arial"/>
          <w:color w:val="000000"/>
          <w:szCs w:val="20"/>
        </w:rPr>
        <w:t>bei Grundwassereinfluss (</w:t>
      </w:r>
      <w:r>
        <w:rPr>
          <w:rFonts w:cs="Arial"/>
          <w:i/>
          <w:color w:val="000000"/>
          <w:szCs w:val="20"/>
        </w:rPr>
        <w:t xml:space="preserve">S153 &lt;1 m oder </w:t>
      </w:r>
      <w:r>
        <w:rPr>
          <w:rFonts w:cs="Arial"/>
          <w:i/>
          <w:iCs/>
          <w:color w:val="000000"/>
          <w:szCs w:val="20"/>
        </w:rPr>
        <w:t>S322: Code 1822-1824 oder 2000-2033</w:t>
      </w:r>
      <w:r>
        <w:rPr>
          <w:rFonts w:cs="Arial"/>
          <w:color w:val="000000"/>
          <w:szCs w:val="20"/>
        </w:rPr>
        <w:t xml:space="preserve">): </w:t>
        <w:br/>
        <w:t>BB bis zur Obergrenze des Gr-Horizonts (oder G2-Horizonts, falls Abfolge A-G1-G2 o.ä.)</w:t>
      </w:r>
    </w:p>
    <w:p>
      <w:pPr>
        <w:pStyle w:val="Aufzhlung"/>
        <w:tabs>
          <w:tab w:val="left" w:pos="426" w:leader="none"/>
        </w:tabs>
        <w:ind w:left="709" w:right="0" w:hanging="539"/>
        <w:rPr>
          <w:rFonts w:cs="Arial"/>
          <w:color w:val="000000"/>
          <w:szCs w:val="20"/>
        </w:rPr>
      </w:pPr>
      <w:r>
        <w:rPr>
          <w:rFonts w:cs="Arial"/>
          <w:color w:val="000000"/>
          <w:szCs w:val="20"/>
        </w:rPr>
        <w:t>bei Stauwassereinfluss (</w:t>
      </w:r>
      <w:r>
        <w:rPr>
          <w:rFonts w:cs="Arial"/>
          <w:i/>
          <w:iCs/>
          <w:color w:val="000000"/>
          <w:szCs w:val="20"/>
        </w:rPr>
        <w:t>S322: Code 1900-1950</w:t>
      </w:r>
      <w:r>
        <w:rPr>
          <w:rFonts w:cs="Arial"/>
          <w:color w:val="000000"/>
          <w:szCs w:val="20"/>
        </w:rPr>
        <w:t xml:space="preserve">) </w:t>
        <w:br/>
        <w:t>BB bis zur Obergrenze des S- oder Sd-Horizonts</w:t>
      </w:r>
    </w:p>
    <w:p>
      <w:pPr>
        <w:pStyle w:val="Aufzhlung"/>
        <w:ind w:left="709" w:right="0" w:hanging="539"/>
        <w:rPr>
          <w:rFonts w:cs="Arial"/>
          <w:color w:val="000000"/>
          <w:szCs w:val="20"/>
        </w:rPr>
      </w:pPr>
      <w:r>
        <w:rPr>
          <w:rFonts w:cs="Arial"/>
          <w:szCs w:val="20"/>
        </w:rPr>
        <w:t xml:space="preserve">bei Böden über anstehendem Gestein oder Stauhorizont: </w:t>
        <w:br/>
        <w:t>BB bis zur Obergrenze jenes Horizontes, der einen kf-Wert von 1 hat (</w:t>
      </w:r>
      <w:r>
        <w:rPr>
          <w:rFonts w:cs="Arial"/>
          <w:i/>
          <w:szCs w:val="20"/>
        </w:rPr>
        <w:t>Festgestein wird in einer Näherung als „undurchlässig“ angesehen, sofern keine Indizen für einen höheren kf-Wert sprechen – siehe Bestimmung Px12</w:t>
      </w:r>
      <w:r>
        <w:rPr>
          <w:rFonts w:cs="Arial"/>
          <w:szCs w:val="20"/>
        </w:rPr>
        <w:t>)</w:t>
      </w:r>
      <w:r>
        <w:rPr>
          <w:rFonts w:cs="Arial"/>
          <w:color w:val="000000"/>
          <w:szCs w:val="20"/>
        </w:rPr>
        <w:t xml:space="preserve"> </w:t>
      </w:r>
    </w:p>
    <w:p>
      <w:pPr>
        <w:pStyle w:val="Aufzhlung"/>
        <w:ind w:left="709" w:right="0" w:hanging="539"/>
        <w:rPr>
          <w:rFonts w:cs="Arial"/>
          <w:color w:val="000000"/>
          <w:szCs w:val="20"/>
        </w:rPr>
      </w:pPr>
      <w:r>
        <w:rPr>
          <w:rFonts w:cs="Arial"/>
          <w:color w:val="000000"/>
          <w:szCs w:val="20"/>
        </w:rPr>
        <w:t xml:space="preserve">für alle anderen Böden: </w:t>
        <w:br/>
        <w:t>BB = Profiltiefe = 100cm</w:t>
      </w:r>
    </w:p>
    <w:p>
      <w:pPr>
        <w:pStyle w:val="Normal"/>
        <w:ind w:left="1134" w:right="0" w:hanging="0"/>
        <w:rPr/>
      </w:pPr>
      <w:r>
        <w:rPr/>
      </w:r>
    </w:p>
    <w:p>
      <w:pPr>
        <w:pStyle w:val="Normal"/>
        <w:spacing w:before="0" w:after="120"/>
        <w:rPr>
          <w:rFonts w:cs="Arial"/>
          <w:szCs w:val="20"/>
          <w:u w:val="single"/>
        </w:rPr>
      </w:pPr>
      <w:r>
        <w:rPr>
          <w:rFonts w:cs="Arial"/>
          <w:szCs w:val="20"/>
          <w:u w:val="single"/>
        </w:rPr>
        <w:t>Schritt 2 – Aufsummieren der WSV-Werte (Px10) für alle Horizonte im bewerteten Bereich</w:t>
      </w:r>
    </w:p>
    <w:p>
      <w:pPr>
        <w:pStyle w:val="Normal"/>
        <w:jc w:val="both"/>
        <w:rPr/>
      </w:pPr>
      <w:r>
        <w:rPr/>
        <w:t>Dieser Wert kann aus dem entsprechenden Bewertungsschritt in 1c.1 übernommen werden.</w:t>
      </w:r>
    </w:p>
    <w:p>
      <w:pPr>
        <w:pStyle w:val="Normal"/>
        <w:rPr/>
      </w:pPr>
      <w:r>
        <w:rPr/>
      </w:r>
    </w:p>
    <w:p>
      <w:pPr>
        <w:pStyle w:val="Normal"/>
        <w:rPr/>
      </w:pPr>
      <w:r>
        <w:rPr/>
      </w:r>
    </w:p>
    <w:p>
      <w:pPr>
        <w:pStyle w:val="Normal"/>
        <w:spacing w:before="0" w:after="120"/>
        <w:rPr>
          <w:rFonts w:cs="Arial"/>
          <w:szCs w:val="20"/>
          <w:u w:val="single"/>
        </w:rPr>
      </w:pPr>
      <w:r>
        <w:rPr>
          <w:rFonts w:cs="Arial"/>
          <w:szCs w:val="20"/>
          <w:u w:val="single"/>
        </w:rPr>
        <w:t>Schritt 3 – Ermitteln des minimalen kf-Wertes (Px12) für alle Horizonte im bewerteten Bereich</w:t>
      </w:r>
    </w:p>
    <w:p>
      <w:pPr>
        <w:pStyle w:val="Normal"/>
        <w:jc w:val="both"/>
        <w:rPr/>
      </w:pPr>
      <w:r>
        <w:rPr/>
        <w:t>Dieser Wert kann aus dem entsprechenden Bewertungsschritt in 1c.1 bzw. aus Sx10 übernommen werden.</w:t>
      </w:r>
    </w:p>
    <w:p>
      <w:pPr>
        <w:pStyle w:val="Normal"/>
        <w:rPr/>
      </w:pPr>
      <w:r>
        <w:rPr/>
      </w:r>
    </w:p>
    <w:p>
      <w:pPr>
        <w:pStyle w:val="Normal"/>
        <w:rPr/>
      </w:pPr>
      <w:r>
        <w:rPr/>
      </w:r>
    </w:p>
    <w:p>
      <w:pPr>
        <w:pStyle w:val="Normal"/>
        <w:spacing w:before="0" w:after="120"/>
        <w:rPr>
          <w:rFonts w:cs="Arial"/>
          <w:szCs w:val="20"/>
          <w:u w:val="single"/>
        </w:rPr>
      </w:pPr>
      <w:r>
        <w:rPr>
          <w:rFonts w:cs="Arial"/>
          <w:szCs w:val="20"/>
          <w:u w:val="single"/>
        </w:rPr>
        <w:t>Schritt 4 – Gesamtbewertung</w:t>
      </w:r>
    </w:p>
    <w:p>
      <w:pPr>
        <w:pStyle w:val="Normal"/>
        <w:jc w:val="both"/>
        <w:rPr>
          <w:rFonts w:cs="Arial"/>
          <w:szCs w:val="20"/>
        </w:rPr>
      </w:pPr>
      <w:r>
        <w:rPr>
          <w:rFonts w:cs="Arial"/>
          <w:szCs w:val="20"/>
        </w:rPr>
        <w:t>Die Tabelle zur abschließenden Gesamtbewertung des Potenzials zur qualitativ hochwertigen Neubildung von Grundwasser (</w:t>
      </w:r>
      <w:r>
        <w:rPr>
          <w:rFonts w:cs="Arial"/>
          <w:b/>
          <w:szCs w:val="20"/>
        </w:rPr>
        <w:t>GWneu</w:t>
      </w:r>
      <w:r>
        <w:rPr>
          <w:rFonts w:cs="Arial"/>
          <w:szCs w:val="20"/>
        </w:rPr>
        <w:t>) wird im Gegensatz zu 1c.1 aufgrund fehlender Erfahrungswerte nicht weiter aufgegliedert und unverändert aus Lehmann et al. (2007) übernommen:</w:t>
      </w:r>
    </w:p>
    <w:p>
      <w:pPr>
        <w:pStyle w:val="Normal"/>
        <w:rPr/>
      </w:pPr>
      <w:r>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555"/>
        <w:gridCol w:w="1560"/>
        <w:gridCol w:w="1840"/>
        <w:gridCol w:w="1700"/>
        <w:gridCol w:w="1851"/>
      </w:tblGrid>
      <w:tr>
        <w:trPr>
          <w:trHeight w:val="340" w:hRule="atLeast"/>
          <w:cantSplit w:val="false"/>
        </w:trPr>
        <w:tc>
          <w:tcPr>
            <w:tcW w:w="1555"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bottom"/>
          </w:tcPr>
          <w:p>
            <w:pPr>
              <w:pStyle w:val="Normal"/>
              <w:spacing w:before="60" w:after="60"/>
              <w:jc w:val="center"/>
              <w:rPr>
                <w:rFonts w:cs="Arial"/>
                <w:i/>
                <w:szCs w:val="20"/>
              </w:rPr>
            </w:pPr>
            <w:r>
              <w:rPr>
                <w:rFonts w:cs="Arial"/>
                <w:b/>
                <w:szCs w:val="20"/>
              </w:rPr>
              <w:t xml:space="preserve">kf-Wert </w:t>
            </w:r>
            <w:r>
              <w:rPr>
                <w:rFonts w:cs="Arial"/>
                <w:szCs w:val="20"/>
              </w:rPr>
              <w:t>[cm/d]</w:t>
              <w:br/>
            </w:r>
            <w:r>
              <w:rPr>
                <w:rFonts w:cs="Arial"/>
                <w:i/>
                <w:szCs w:val="20"/>
              </w:rPr>
              <w:t>(Schritt 3)</w:t>
            </w:r>
          </w:p>
        </w:tc>
        <w:tc>
          <w:tcPr>
            <w:tcW w:w="6951"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i/>
                <w:szCs w:val="20"/>
              </w:rPr>
            </w:pPr>
            <w:r>
              <w:rPr>
                <w:rFonts w:cs="Arial"/>
                <w:b/>
                <w:szCs w:val="20"/>
              </w:rPr>
              <w:t xml:space="preserve">Wasserspeichervermögen </w:t>
            </w:r>
            <w:r>
              <w:rPr>
                <w:rFonts w:cs="Arial"/>
                <w:szCs w:val="20"/>
              </w:rPr>
              <w:t>[mm bzw. l/m²]</w:t>
            </w:r>
            <w:r>
              <w:rPr>
                <w:rFonts w:cs="Arial"/>
                <w:b/>
                <w:szCs w:val="20"/>
              </w:rPr>
              <w:t xml:space="preserve"> </w:t>
            </w:r>
            <w:r>
              <w:rPr>
                <w:rFonts w:cs="Arial"/>
                <w:i/>
                <w:szCs w:val="20"/>
              </w:rPr>
              <w:t>(Schritt 2)</w:t>
            </w:r>
          </w:p>
        </w:tc>
      </w:tr>
      <w:tr>
        <w:trPr>
          <w:trHeight w:val="400" w:hRule="atLeast"/>
          <w:cantSplit w:val="false"/>
        </w:trPr>
        <w:tc>
          <w:tcPr>
            <w:tcW w:w="1555"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rPr>
                <w:rFonts w:cs="Arial"/>
                <w:b/>
                <w:szCs w:val="20"/>
              </w:rPr>
            </w:pPr>
            <w:r>
              <w:rPr>
                <w:rFonts w:cs="Arial"/>
                <w:b/>
                <w:szCs w:val="20"/>
              </w:rPr>
            </w:r>
          </w:p>
        </w:tc>
        <w:tc>
          <w:tcPr>
            <w:tcW w:w="15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ascii="Symbol" w:hAnsi="Symbol"/>
              </w:rPr>
              <w:t></w:t>
            </w:r>
            <w:r>
              <w:rPr>
                <w:rFonts w:cs="Arial"/>
                <w:szCs w:val="20"/>
              </w:rPr>
              <w:t>60</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&gt;60 – 140</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&gt;140 – 220</w:t>
            </w:r>
          </w:p>
        </w:tc>
        <w:tc>
          <w:tcPr>
            <w:tcW w:w="18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szCs w:val="20"/>
              </w:rPr>
              <w:t>&gt;220</w:t>
            </w:r>
          </w:p>
        </w:tc>
      </w:tr>
      <w:tr>
        <w:trPr>
          <w:trHeight w:val="340" w:hRule="atLeast"/>
          <w:cantSplit w:val="false"/>
        </w:trPr>
        <w:tc>
          <w:tcPr>
            <w:tcW w:w="15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ascii="Symbol" w:hAnsi="Symbol"/>
              </w:rPr>
              <w:t></w:t>
            </w:r>
            <w:r>
              <w:rPr>
                <w:rFonts w:cs="Arial"/>
                <w:szCs w:val="20"/>
              </w:rPr>
              <w:t>7</w:t>
            </w:r>
          </w:p>
        </w:tc>
        <w:tc>
          <w:tcPr>
            <w:tcW w:w="15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5</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4</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3</w:t>
            </w:r>
          </w:p>
        </w:tc>
        <w:tc>
          <w:tcPr>
            <w:tcW w:w="18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2</w:t>
            </w:r>
          </w:p>
        </w:tc>
      </w:tr>
      <w:tr>
        <w:trPr>
          <w:trHeight w:val="340" w:hRule="atLeast"/>
          <w:cantSplit w:val="false"/>
        </w:trPr>
        <w:tc>
          <w:tcPr>
            <w:tcW w:w="15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&gt;7 - 15</w:t>
            </w:r>
          </w:p>
        </w:tc>
        <w:tc>
          <w:tcPr>
            <w:tcW w:w="15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3</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2</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1</w:t>
            </w:r>
          </w:p>
        </w:tc>
        <w:tc>
          <w:tcPr>
            <w:tcW w:w="18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1</w:t>
            </w:r>
          </w:p>
        </w:tc>
      </w:tr>
      <w:tr>
        <w:trPr>
          <w:trHeight w:val="340" w:hRule="atLeast"/>
          <w:cantSplit w:val="false"/>
        </w:trPr>
        <w:tc>
          <w:tcPr>
            <w:tcW w:w="15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&gt;15 - 40</w:t>
            </w:r>
          </w:p>
        </w:tc>
        <w:tc>
          <w:tcPr>
            <w:tcW w:w="15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5</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4</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3</w:t>
            </w:r>
          </w:p>
        </w:tc>
        <w:tc>
          <w:tcPr>
            <w:tcW w:w="18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2</w:t>
            </w:r>
          </w:p>
        </w:tc>
      </w:tr>
      <w:tr>
        <w:trPr>
          <w:trHeight w:val="340" w:hRule="atLeast"/>
          <w:cantSplit w:val="false"/>
        </w:trPr>
        <w:tc>
          <w:tcPr>
            <w:tcW w:w="155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&gt;40</w:t>
            </w:r>
          </w:p>
        </w:tc>
        <w:tc>
          <w:tcPr>
            <w:tcW w:w="15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92" w:leader="none"/>
                <w:tab w:val="center" w:pos="525" w:leader="none"/>
              </w:tabs>
              <w:spacing w:before="60" w:after="60"/>
              <w:jc w:val="center"/>
              <w:rPr>
                <w:rFonts w:cs="Arial"/>
                <w:b/>
                <w:szCs w:val="20"/>
              </w:rPr>
            </w:pPr>
            <w:r>
              <w:rPr>
                <w:rFonts w:cs="Arial"/>
                <w:b/>
                <w:szCs w:val="20"/>
              </w:rPr>
              <w:t>5</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5</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b/>
                <w:szCs w:val="20"/>
              </w:rPr>
            </w:pPr>
            <w:r>
              <w:rPr>
                <w:rFonts w:cs="Arial"/>
                <w:b/>
                <w:szCs w:val="20"/>
              </w:rPr>
              <w:t>5</w:t>
            </w:r>
          </w:p>
        </w:tc>
        <w:tc>
          <w:tcPr>
            <w:tcW w:w="185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5</w:t>
            </w:r>
          </w:p>
        </w:tc>
      </w:tr>
    </w:tbl>
    <w:p>
      <w:pPr>
        <w:pStyle w:val="Normal"/>
        <w:rPr/>
      </w:pPr>
      <w:r>
        <w:rPr/>
      </w:r>
    </w:p>
    <w:p>
      <w:pPr>
        <w:pStyle w:val="Normal"/>
        <w:rPr>
          <w:rFonts w:cs="Arial"/>
          <w:szCs w:val="20"/>
        </w:rPr>
      </w:pPr>
      <w:r>
        <w:rPr>
          <w:rFonts w:cs="Arial"/>
          <w:szCs w:val="20"/>
        </w:rPr>
      </w:r>
    </w:p>
    <w:p>
      <w:pPr>
        <w:pStyle w:val="Normal"/>
        <w:spacing w:before="0" w:after="120"/>
        <w:rPr>
          <w:rFonts w:cs="Arial"/>
          <w:szCs w:val="20"/>
          <w:u w:val="single"/>
        </w:rPr>
      </w:pPr>
      <w:r>
        <w:rPr>
          <w:rFonts w:cs="Arial"/>
          <w:szCs w:val="20"/>
          <w:u w:val="single"/>
        </w:rPr>
        <w:t>Schritt 5 – Modifikation bei grundwassernahen Böden (vgl. Schritt 1)</w:t>
      </w:r>
    </w:p>
    <w:p>
      <w:pPr>
        <w:pStyle w:val="Aufzhlung"/>
        <w:tabs>
          <w:tab w:val="left" w:pos="5670" w:leader="none"/>
        </w:tabs>
        <w:ind w:left="709" w:right="0" w:hanging="0"/>
        <w:rPr>
          <w:rFonts w:cs="Arial"/>
          <w:b/>
          <w:color w:val="000000"/>
          <w:szCs w:val="20"/>
        </w:rPr>
      </w:pPr>
      <w:r>
        <w:rPr>
          <w:rFonts w:cs="Arial"/>
          <w:color w:val="000000"/>
          <w:szCs w:val="20"/>
        </w:rPr>
        <w:t>Moore (</w:t>
      </w:r>
      <w:r>
        <w:rPr>
          <w:rFonts w:cs="Arial"/>
          <w:i/>
          <w:iCs/>
          <w:color w:val="000000"/>
          <w:szCs w:val="20"/>
        </w:rPr>
        <w:t>S322: Code 2100-2120</w:t>
      </w:r>
      <w:r>
        <w:rPr>
          <w:rFonts w:cs="Arial"/>
          <w:color w:val="000000"/>
          <w:szCs w:val="20"/>
        </w:rPr>
        <w:t xml:space="preserve">): </w:t>
        <w:tab/>
      </w:r>
      <w:r>
        <w:rPr>
          <w:rFonts w:cs="Arial"/>
          <w:b/>
          <w:color w:val="000000"/>
          <w:szCs w:val="20"/>
        </w:rPr>
        <w:t>GWneu = 5</w:t>
      </w:r>
    </w:p>
    <w:p>
      <w:pPr>
        <w:pStyle w:val="Aufzhlung"/>
        <w:tabs>
          <w:tab w:val="left" w:pos="5670" w:leader="none"/>
        </w:tabs>
        <w:ind w:left="993" w:right="0" w:hanging="284"/>
        <w:rPr>
          <w:b/>
        </w:rPr>
      </w:pPr>
      <w:r>
        <w:rPr>
          <w:rFonts w:cs="Arial"/>
          <w:color w:val="000000"/>
          <w:szCs w:val="20"/>
        </w:rPr>
        <w:t>bei Grundwassereinfluss (</w:t>
      </w:r>
      <w:r>
        <w:rPr>
          <w:rFonts w:cs="Arial"/>
          <w:i/>
          <w:color w:val="000000"/>
          <w:szCs w:val="20"/>
        </w:rPr>
        <w:t xml:space="preserve">S153 &lt;1 m oder </w:t>
      </w:r>
      <w:r>
        <w:rPr>
          <w:rFonts w:cs="Arial"/>
          <w:i/>
          <w:iCs/>
          <w:color w:val="000000"/>
          <w:szCs w:val="20"/>
        </w:rPr>
        <w:t>S322: Code 1822-1824 oder 2000-2033</w:t>
      </w:r>
      <w:r>
        <w:rPr>
          <w:rFonts w:cs="Arial"/>
          <w:color w:val="000000"/>
          <w:szCs w:val="20"/>
        </w:rPr>
        <w:t xml:space="preserve">): </w:t>
        <w:br/>
      </w:r>
      <w:r>
        <w:rPr/>
        <w:t>falls Bewertung lt. Schritt 5 = 1 oder 2:</w:t>
        <w:tab/>
      </w:r>
      <w:r>
        <w:rPr>
          <w:b/>
        </w:rPr>
        <w:t>GWneu = 4</w:t>
        <w:br/>
      </w:r>
      <w:r>
        <w:rPr/>
        <w:t>falls Bewertung lt. Schritt 5 = 3, 4 oder 5:</w:t>
        <w:tab/>
      </w:r>
      <w:r>
        <w:rPr>
          <w:b/>
        </w:rPr>
        <w:t>GWneu = 5</w:t>
      </w:r>
    </w:p>
    <w:p>
      <w:pPr>
        <w:pStyle w:val="Normal"/>
        <w:tabs>
          <w:tab w:val="left" w:pos="4614" w:leader="none"/>
        </w:tabs>
        <w:jc w:val="both"/>
        <w:rPr>
          <w:rFonts w:cs="Arial"/>
          <w:color w:val="000000"/>
          <w:szCs w:val="18"/>
        </w:rPr>
      </w:pPr>
      <w:r>
        <w:rPr>
          <w:rFonts w:cs="Arial"/>
          <w:color w:val="000000"/>
          <w:szCs w:val="18"/>
        </w:rPr>
      </w:r>
    </w:p>
    <w:p>
      <w:pPr>
        <w:pStyle w:val="Normal"/>
        <w:tabs>
          <w:tab w:val="left" w:pos="4614" w:leader="none"/>
        </w:tabs>
        <w:jc w:val="both"/>
        <w:rPr>
          <w:rFonts w:cs="Arial"/>
          <w:color w:val="000000"/>
          <w:szCs w:val="18"/>
        </w:rPr>
      </w:pPr>
      <w:r>
        <w:rPr>
          <w:rFonts w:cs="Arial"/>
          <w:color w:val="000000"/>
          <w:szCs w:val="18"/>
        </w:rPr>
        <w:t>Um neben der Sickerwasserverweilzeit im Boden auch die Abbau- und Transformationsfunktion des Bodens zu integrieren, werden z.B. in Gerstenberg &amp; Smettan (2005) zur Bewertung der „Schutzfunktion der Grundwasserüberdeckung“ bodenchemische Prozesse mit berücksichtigt. Daher wird für eine weiter</w:t>
        <w:softHyphen/>
        <w:t xml:space="preserve">führende Bewertung in SEPP die kombinierte Betrachtung dieses Potenzial mit der Bewertungsgruppe 1d (Rückhaltevermögen für Schwermetalle, Filter- und Pufferpotenzial bzw. Transformationspotenzial für organische Schadstoffe) empfohlen. </w:t>
      </w:r>
    </w:p>
    <w:p>
      <w:pPr>
        <w:pStyle w:val="Normal"/>
        <w:tabs>
          <w:tab w:val="left" w:pos="4614" w:leader="none"/>
        </w:tabs>
        <w:jc w:val="both"/>
        <w:rPr>
          <w:rFonts w:cs="Arial"/>
          <w:color w:val="000000"/>
          <w:szCs w:val="18"/>
        </w:rPr>
      </w:pPr>
      <w:r>
        <w:rPr>
          <w:rFonts w:cs="Arial"/>
          <w:color w:val="000000"/>
          <w:szCs w:val="18"/>
        </w:rPr>
      </w:r>
    </w:p>
    <w:p>
      <w:pPr>
        <w:pStyle w:val="Normal"/>
        <w:tabs>
          <w:tab w:val="left" w:pos="4614" w:leader="none"/>
        </w:tabs>
        <w:jc w:val="both"/>
        <w:rPr>
          <w:rFonts w:cs="Arial"/>
          <w:i/>
          <w:color w:val="000000"/>
          <w:szCs w:val="18"/>
        </w:rPr>
      </w:pPr>
      <w:r>
        <w:rPr>
          <w:rFonts w:cs="Arial"/>
          <w:i/>
          <w:color w:val="000000"/>
          <w:szCs w:val="18"/>
        </w:rPr>
        <w:t>Anm.: In anderen Verfahren (z.B. Wessolek &amp; Trinks 2002, Bogena et al. 2003 – beide dokumentiert in Müller 2004; Gerstenberg &amp; Smettan 2005) dient die Sickerwasserrate als Kenngröße für die Grundwasserneubildung. In diese fließen neben dem Wasserspeichervermögen auch Niederschlag, Evapotransporation und Oberflächenabfluss (in Abhängigkeit von Nutzung/Vegetation, Bodenart und Reliefparametern) sowie der kapillare Aufstieg ein. Insgesamt lassen sich die Rate der Grundwasserneubildung und in weiterer Folge auch die damit verbundenen qualitativen Aspekte auf diese Weise viel besser quantifizieren, allerdings sind mehrere Probleme damit verbunden:</w:t>
      </w:r>
    </w:p>
    <w:p>
      <w:pPr>
        <w:pStyle w:val="Normal"/>
        <w:widowControl w:val="false"/>
        <w:numPr>
          <w:ilvl w:val="0"/>
          <w:numId w:val="1"/>
        </w:numPr>
        <w:tabs>
          <w:tab w:val="left" w:pos="426" w:leader="none"/>
        </w:tabs>
        <w:ind w:left="426" w:right="0" w:hanging="360"/>
        <w:jc w:val="both"/>
        <w:rPr>
          <w:rFonts w:cs="Arial"/>
          <w:i/>
          <w:color w:val="000000"/>
          <w:szCs w:val="18"/>
        </w:rPr>
      </w:pPr>
      <w:r>
        <w:rPr>
          <w:rFonts w:cs="Arial"/>
          <w:i/>
          <w:color w:val="000000"/>
          <w:szCs w:val="18"/>
        </w:rPr>
        <w:t>Die Faktoren der zugrunde liegenden Regressionsgleichungen wurden in verschiedenen Regionen Deutschlands ermittelt, die hinsichtlich der naturräumlichen und klimatischen Verhältnisse nur sehr bedingt mit dem Untersuchungsraum vergleichbar sind.</w:t>
      </w:r>
    </w:p>
    <w:p>
      <w:pPr>
        <w:pStyle w:val="Normal"/>
        <w:widowControl w:val="false"/>
        <w:numPr>
          <w:ilvl w:val="0"/>
          <w:numId w:val="1"/>
        </w:numPr>
        <w:tabs>
          <w:tab w:val="left" w:pos="426" w:leader="none"/>
        </w:tabs>
        <w:ind w:left="426" w:right="0" w:hanging="360"/>
        <w:jc w:val="both"/>
        <w:rPr>
          <w:rFonts w:cs="Arial"/>
          <w:i/>
          <w:color w:val="000000"/>
          <w:szCs w:val="18"/>
        </w:rPr>
      </w:pPr>
      <w:r>
        <w:rPr>
          <w:rFonts w:cs="Arial"/>
          <w:i/>
          <w:color w:val="000000"/>
          <w:szCs w:val="18"/>
        </w:rPr>
        <w:t>Einzelne Parameter können aus den üblicherweise vorliegenden Datengrundlagen nicht oder ebenfalls nur mit großen Unsicherheiten behaftet abgeleitet werden (z.B. kapillarer Aufstieg)</w:t>
      </w:r>
    </w:p>
    <w:p>
      <w:pPr>
        <w:pStyle w:val="Normal"/>
        <w:widowControl w:val="false"/>
        <w:numPr>
          <w:ilvl w:val="0"/>
          <w:numId w:val="1"/>
        </w:numPr>
        <w:tabs>
          <w:tab w:val="left" w:pos="426" w:leader="none"/>
        </w:tabs>
        <w:ind w:left="426" w:right="0" w:hanging="360"/>
        <w:jc w:val="both"/>
        <w:rPr>
          <w:rFonts w:cs="Arial"/>
          <w:i/>
          <w:color w:val="000000"/>
          <w:szCs w:val="18"/>
        </w:rPr>
      </w:pPr>
      <w:r>
        <w:rPr>
          <w:rFonts w:cs="Arial"/>
          <w:i/>
          <w:color w:val="000000"/>
          <w:szCs w:val="18"/>
        </w:rPr>
        <w:t>Auch diese Verfahren sind nur bis zu einer bestimmten Hangneigung einsetzbar (z.B. Wessolek &amp; Trinks nur bis 3,5 % Neigung; Müller nur bis 18 % Neigung und 1300 mm Jahresniederschlag).</w:t>
      </w:r>
    </w:p>
    <w:p>
      <w:pPr>
        <w:pStyle w:val="Normal"/>
        <w:tabs>
          <w:tab w:val="left" w:pos="4974" w:leader="none"/>
        </w:tabs>
        <w:ind w:left="360" w:right="0" w:hanging="0"/>
        <w:jc w:val="both"/>
        <w:rPr>
          <w:rFonts w:cs="Arial"/>
          <w:i/>
          <w:color w:val="000000"/>
          <w:szCs w:val="18"/>
        </w:rPr>
      </w:pPr>
      <w:r>
        <w:rPr>
          <w:rFonts w:cs="Arial"/>
          <w:i/>
          <w:color w:val="000000"/>
          <w:szCs w:val="18"/>
        </w:rPr>
      </w:r>
    </w:p>
    <w:p>
      <w:pPr>
        <w:pStyle w:val="Normal"/>
        <w:tabs>
          <w:tab w:val="left" w:pos="4614" w:leader="none"/>
        </w:tabs>
        <w:jc w:val="both"/>
        <w:rPr>
          <w:rFonts w:cs="Arial"/>
          <w:i/>
          <w:color w:val="000000"/>
          <w:szCs w:val="18"/>
        </w:rPr>
      </w:pPr>
      <w:r>
        <w:rPr>
          <w:rFonts w:cs="Arial"/>
          <w:i/>
          <w:color w:val="000000"/>
          <w:szCs w:val="18"/>
        </w:rPr>
        <w:t>Aus den genannten Gründen wird im vorliegenden Bewertungssystem bis auf Weiteres die einfachere Methodik nach Lehmann et al. 2008 verwendet.</w:t>
      </w:r>
      <w:r>
        <w:rPr>
          <w:rFonts w:cs="Arial"/>
          <w:color w:val="000000"/>
          <w:szCs w:val="18"/>
        </w:rPr>
        <w:t xml:space="preserve"> </w:t>
      </w:r>
      <w:r>
        <w:rPr>
          <w:rFonts w:cs="Arial"/>
          <w:i/>
          <w:color w:val="000000"/>
          <w:szCs w:val="18"/>
        </w:rPr>
        <w:t>Für eine Übersichtsbewertung größerer Gebiete empfiehlt sich der ebenfalls einfache und hauptsächlich auf Klimadaten sowie der Hauptbodenart des Oberbodens basierende Ansatz zur Ermittlung der Sickerwasserrate aus BayGLA 2003 („Rückhaltevermögen des Bodens für wasserlösliche Stoffe (z.B. Nitrat)“ – siehe Bewertung 1d.4 und DS II).</w:t>
      </w:r>
    </w:p>
    <w:p>
      <w:pPr>
        <w:pStyle w:val="Normal"/>
        <w:tabs>
          <w:tab w:val="left" w:pos="4614" w:leader="none"/>
        </w:tabs>
        <w:jc w:val="both"/>
        <w:rPr>
          <w:rFonts w:cs="Arial"/>
          <w:color w:val="000000"/>
          <w:sz w:val="18"/>
          <w:szCs w:val="18"/>
        </w:rPr>
      </w:pPr>
      <w:r>
        <w:rPr>
          <w:rFonts w:cs="Arial"/>
          <w:color w:val="000000"/>
          <w:sz w:val="18"/>
          <w:szCs w:val="18"/>
        </w:rPr>
      </w:r>
    </w:p>
    <w:p>
      <w:pPr>
        <w:pStyle w:val="Normal"/>
        <w:tabs>
          <w:tab w:val="left" w:pos="4614" w:leader="none"/>
        </w:tabs>
        <w:jc w:val="both"/>
        <w:rPr>
          <w:rFonts w:cs="Arial"/>
          <w:color w:val="000000"/>
          <w:sz w:val="18"/>
          <w:szCs w:val="18"/>
        </w:rPr>
      </w:pPr>
      <w:r>
        <w:rPr>
          <w:rFonts w:cs="Arial"/>
          <w:color w:val="000000"/>
          <w:sz w:val="18"/>
          <w:szCs w:val="18"/>
        </w:rPr>
      </w:r>
    </w:p>
    <w:p>
      <w:pPr>
        <w:pStyle w:val="Heading3"/>
        <w:pageBreakBefore/>
        <w:rPr>
          <w:szCs w:val="20"/>
        </w:rPr>
      </w:pPr>
      <w:r>
        <w:rPr/>
        <w:t xml:space="preserve">1c.4) </w:t>
      </w:r>
      <w:r>
        <w:rPr>
          <w:szCs w:val="20"/>
        </w:rPr>
        <w:t>Potenzial des Bodens zur Nährstoffbereitstellung für Pflanzen</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Mb-Wert (Sx15)</w:t>
      </w:r>
    </w:p>
    <w:p>
      <w:pPr>
        <w:pStyle w:val="Normal"/>
        <w:rPr>
          <w:rFonts w:cs="Arial"/>
          <w:b/>
          <w:i/>
          <w:sz w:val="22"/>
          <w:szCs w:val="22"/>
        </w:rPr>
      </w:pPr>
      <w:r>
        <w:rPr>
          <w:rFonts w:cs="Arial"/>
          <w:b/>
          <w:i/>
          <w:sz w:val="22"/>
          <w:szCs w:val="22"/>
        </w:rPr>
      </w:r>
    </w:p>
    <w:p>
      <w:pPr>
        <w:pStyle w:val="Normal"/>
        <w:rPr>
          <w:rFonts w:cs="Arial"/>
          <w:i/>
          <w:szCs w:val="20"/>
        </w:rPr>
      </w:pPr>
      <w:r>
        <w:rPr>
          <w:rFonts w:cs="Arial"/>
          <w:b/>
          <w:i/>
          <w:szCs w:val="20"/>
        </w:rPr>
        <w:t>Methodik:</w:t>
      </w:r>
      <w:r>
        <w:rPr>
          <w:rFonts w:cs="Arial"/>
          <w:i/>
          <w:szCs w:val="20"/>
        </w:rPr>
        <w:t xml:space="preserve"> Müller (2004: 153f.) - modifiziert</w:t>
      </w:r>
    </w:p>
    <w:p>
      <w:pPr>
        <w:pStyle w:val="Normal"/>
        <w:rPr>
          <w:rFonts w:cs="Arial"/>
          <w:i/>
          <w:szCs w:val="20"/>
        </w:rPr>
      </w:pPr>
      <w:r>
        <w:rPr>
          <w:rFonts w:cs="Arial"/>
          <w:i/>
          <w:szCs w:val="20"/>
        </w:rPr>
      </w:r>
    </w:p>
    <w:p>
      <w:pPr>
        <w:pStyle w:val="Normal"/>
        <w:jc w:val="both"/>
        <w:rPr>
          <w:rFonts w:cs="Arial"/>
          <w:szCs w:val="20"/>
        </w:rPr>
      </w:pPr>
      <w:r>
        <w:rPr>
          <w:rFonts w:cs="Arial"/>
          <w:szCs w:val="20"/>
        </w:rPr>
        <w:t>Gesunde Böden besitzen die Fähigkeit, anorganische und organische Verbindungen, die für das Wachstum von Pflanzen wichtig sind, aus dem Sickerwasser aufzunehmen und zu binden. In welchem Ausmaß ein Boden Nährstoffe aufnehmen und pflanzenverfügbar bereitstellen kann, hängt hauptsächlich von der Menge basischer Kationen (v.a. Ca</w:t>
      </w:r>
      <w:r>
        <w:rPr>
          <w:rFonts w:cs="Arial"/>
          <w:szCs w:val="20"/>
          <w:vertAlign w:val="superscript"/>
        </w:rPr>
        <w:t>2+</w:t>
      </w:r>
      <w:r>
        <w:rPr>
          <w:rFonts w:cs="Arial"/>
          <w:szCs w:val="20"/>
        </w:rPr>
        <w:t>, Mg</w:t>
      </w:r>
      <w:r>
        <w:rPr>
          <w:rFonts w:cs="Arial"/>
          <w:szCs w:val="20"/>
          <w:vertAlign w:val="superscript"/>
        </w:rPr>
        <w:t>2+</w:t>
      </w:r>
      <w:r>
        <w:rPr>
          <w:rFonts w:cs="Arial"/>
          <w:szCs w:val="20"/>
        </w:rPr>
        <w:t>, K</w:t>
      </w:r>
      <w:r>
        <w:rPr>
          <w:rFonts w:cs="Arial"/>
          <w:szCs w:val="20"/>
          <w:vertAlign w:val="superscript"/>
        </w:rPr>
        <w:t>+</w:t>
      </w:r>
      <w:r>
        <w:rPr>
          <w:rFonts w:cs="Arial"/>
          <w:szCs w:val="20"/>
        </w:rPr>
        <w:t>, Na</w:t>
      </w:r>
      <w:r>
        <w:rPr>
          <w:rFonts w:cs="Arial"/>
          <w:szCs w:val="20"/>
          <w:vertAlign w:val="superscript"/>
        </w:rPr>
        <w:t xml:space="preserve">+ </w:t>
      </w:r>
      <w:r>
        <w:rPr>
          <w:rFonts w:cs="Arial"/>
          <w:szCs w:val="20"/>
        </w:rPr>
        <w:t>und NH</w:t>
      </w:r>
      <w:r>
        <w:rPr>
          <w:rFonts w:cs="Arial"/>
          <w:szCs w:val="20"/>
          <w:vertAlign w:val="subscript"/>
        </w:rPr>
        <w:t>4</w:t>
      </w:r>
      <w:r>
        <w:rPr>
          <w:rFonts w:cs="Arial"/>
          <w:szCs w:val="20"/>
          <w:vertAlign w:val="superscript"/>
        </w:rPr>
        <w:t>+</w:t>
      </w:r>
      <w:r>
        <w:rPr>
          <w:rFonts w:cs="Arial"/>
          <w:szCs w:val="20"/>
        </w:rPr>
        <w:t>) ab, die im effektiven Wurzelraum des Bodens austauschbar gebunden sind bzw. gebunden werden können. Diese als „Kationenaustausch</w:t>
        <w:softHyphen/>
        <w:t>kapazität (KAK)“ bezeichnete Menge ist durch die wichtige Rolle von Tonmineralen und Huminstoffen als Ionentauscher hauptsächlich abhängig von Textur und Organikgehalt des Bodens (Berechnung siehe Px13). Bei sauren Bodenverhältnissen kann diese „potenzielle“ KAK allerdings nicht vollständig ausgeschöpft werden, da in diesem Falle viele bei neutralen Bedingungen für Nährstoffe zur Verfügung stehende Ionentauscher mit H</w:t>
      </w:r>
      <w:r>
        <w:rPr>
          <w:rFonts w:cs="Arial"/>
          <w:szCs w:val="20"/>
          <w:vertAlign w:val="superscript"/>
        </w:rPr>
        <w:t>+</w:t>
      </w:r>
      <w:r>
        <w:rPr>
          <w:rFonts w:cs="Arial"/>
          <w:szCs w:val="20"/>
        </w:rPr>
        <w:t>-Ionen besetzt sind (Lewandowski et al. 1997).</w:t>
      </w:r>
    </w:p>
    <w:p>
      <w:pPr>
        <w:pStyle w:val="Normal"/>
        <w:rPr>
          <w:rFonts w:cs="Arial"/>
          <w:szCs w:val="20"/>
        </w:rPr>
      </w:pPr>
      <w:r>
        <w:rPr>
          <w:rFonts w:cs="Arial"/>
          <w:szCs w:val="20"/>
        </w:rPr>
      </w:r>
    </w:p>
    <w:p>
      <w:pPr>
        <w:pStyle w:val="Normal"/>
        <w:jc w:val="both"/>
        <w:rPr>
          <w:rFonts w:cs="Arial"/>
          <w:szCs w:val="20"/>
        </w:rPr>
      </w:pPr>
      <w:r>
        <w:rPr>
          <w:rFonts w:cs="Arial"/>
          <w:szCs w:val="20"/>
        </w:rPr>
        <w:t>Das Nährstoffpotenzial an einem Standort ist auch abhängig davon, wie viel Feinboden (=gesamter Boden abzüglich Grobmaterial mit mehr als 2 mm Durchmesser) im Wurzelraum vorhanden ist und welcher Teil der potenziellen KAK beim vorherrschenden pH-Wert von den basischen Kationen Ca</w:t>
      </w:r>
      <w:r>
        <w:rPr>
          <w:rFonts w:cs="Arial"/>
          <w:szCs w:val="20"/>
          <w:vertAlign w:val="superscript"/>
        </w:rPr>
        <w:t>2+</w:t>
      </w:r>
      <w:r>
        <w:rPr>
          <w:rFonts w:cs="Arial"/>
          <w:szCs w:val="20"/>
        </w:rPr>
        <w:t>, Mg</w:t>
      </w:r>
      <w:r>
        <w:rPr>
          <w:rFonts w:cs="Arial"/>
          <w:szCs w:val="20"/>
          <w:vertAlign w:val="superscript"/>
        </w:rPr>
        <w:t>2+</w:t>
      </w:r>
      <w:r>
        <w:rPr>
          <w:rFonts w:cs="Arial"/>
          <w:szCs w:val="20"/>
        </w:rPr>
        <w:t>, K</w:t>
      </w:r>
      <w:r>
        <w:rPr>
          <w:rFonts w:cs="Arial"/>
          <w:szCs w:val="20"/>
          <w:vertAlign w:val="superscript"/>
        </w:rPr>
        <w:t>+</w:t>
      </w:r>
      <w:r>
        <w:rPr>
          <w:rFonts w:cs="Arial"/>
          <w:szCs w:val="20"/>
        </w:rPr>
        <w:t>, Na</w:t>
      </w:r>
      <w:r>
        <w:rPr>
          <w:rFonts w:cs="Arial"/>
          <w:szCs w:val="20"/>
          <w:vertAlign w:val="superscript"/>
        </w:rPr>
        <w:t>+</w:t>
      </w:r>
      <w:r>
        <w:rPr>
          <w:rFonts w:cs="Arial"/>
          <w:szCs w:val="20"/>
        </w:rPr>
        <w:t xml:space="preserve"> in Anspruch genommen werden kann – die Berechnung des so genannten Mb-Wertes im effektiven Wurzelraums ist im Abschnitt „Komplexe Parameter“ unter Sx15 beschrieben.</w:t>
      </w:r>
    </w:p>
    <w:p>
      <w:pPr>
        <w:pStyle w:val="Normal"/>
        <w:widowControl w:val="false"/>
        <w:spacing w:lineRule="auto" w:line="240"/>
        <w:ind w:left="720" w:right="0" w:hanging="0"/>
        <w:rPr>
          <w:rFonts w:cs="Arial"/>
          <w:sz w:val="18"/>
          <w:szCs w:val="20"/>
        </w:rPr>
      </w:pPr>
      <w:r>
        <w:rPr>
          <w:rFonts w:cs="Arial"/>
          <w:sz w:val="18"/>
          <w:szCs w:val="20"/>
        </w:rPr>
      </w:r>
    </w:p>
    <w:p>
      <w:pPr>
        <w:pStyle w:val="Normal"/>
        <w:spacing w:before="0" w:after="120"/>
        <w:rPr>
          <w:rFonts w:cs="Arial"/>
          <w:szCs w:val="20"/>
        </w:rPr>
      </w:pPr>
      <w:r>
        <w:rPr>
          <w:rFonts w:cs="Arial"/>
          <w:szCs w:val="20"/>
        </w:rPr>
        <w:t>Der so ermittelte Wert wird gemäß folgender Tabelle kategorisiert, aufgrund der relativen Unschärfe des Verfahrens wird auf eine stärkere Differenzierung in 5 Klassen verzichtet:</w:t>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3398"/>
        <w:gridCol w:w="2268"/>
        <w:gridCol w:w="1705"/>
      </w:tblGrid>
      <w:tr>
        <w:trPr>
          <w:trHeight w:val="340" w:hRule="atLeast"/>
          <w:cantSplit w:val="false"/>
        </w:trPr>
        <w:tc>
          <w:tcPr>
            <w:tcW w:w="3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tabs>
                <w:tab w:val="left" w:pos="1418" w:leader="none"/>
              </w:tabs>
              <w:spacing w:before="60" w:after="60"/>
              <w:jc w:val="center"/>
              <w:rPr>
                <w:rFonts w:cs="Arial"/>
                <w:i/>
                <w:color w:val="000000"/>
                <w:szCs w:val="20"/>
              </w:rPr>
            </w:pPr>
            <w:r>
              <w:rPr>
                <w:rFonts w:cs="Arial"/>
                <w:b/>
                <w:color w:val="000000"/>
                <w:szCs w:val="20"/>
              </w:rPr>
              <w:t>Mb</w:t>
            </w:r>
            <w:r>
              <w:rPr>
                <w:rFonts w:cs="Arial"/>
                <w:b/>
                <w:color w:val="000000"/>
                <w:szCs w:val="20"/>
                <w:vertAlign w:val="subscript"/>
              </w:rPr>
              <w:t>We</w:t>
            </w:r>
            <w:r>
              <w:rPr>
                <w:rFonts w:cs="Arial"/>
                <w:b/>
                <w:color w:val="000000"/>
                <w:szCs w:val="20"/>
              </w:rPr>
              <w:t xml:space="preserve">-Vorrat </w:t>
            </w:r>
            <w:r>
              <w:rPr>
                <w:rFonts w:cs="Arial"/>
                <w:color w:val="000000"/>
                <w:szCs w:val="20"/>
              </w:rPr>
              <w:t>[cmol</w:t>
            </w:r>
            <w:r>
              <w:rPr>
                <w:rFonts w:cs="Arial"/>
                <w:color w:val="000000"/>
                <w:szCs w:val="20"/>
                <w:vertAlign w:val="subscript"/>
              </w:rPr>
              <w:t>c</w:t>
            </w:r>
            <w:r>
              <w:rPr>
                <w:rFonts w:cs="Arial"/>
                <w:color w:val="000000"/>
                <w:szCs w:val="20"/>
              </w:rPr>
              <w:t>/m²]</w:t>
            </w:r>
            <w:r>
              <w:rPr>
                <w:rFonts w:cs="Arial"/>
                <w:i/>
                <w:color w:val="000000"/>
                <w:szCs w:val="20"/>
              </w:rPr>
              <w:t xml:space="preserve"> (Sx15)</w:t>
            </w:r>
          </w:p>
        </w:tc>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tabs>
                <w:tab w:val="left" w:pos="1418" w:leader="none"/>
              </w:tabs>
              <w:spacing w:before="60" w:after="60"/>
              <w:jc w:val="center"/>
              <w:rPr>
                <w:rFonts w:cs="Arial"/>
                <w:b/>
                <w:color w:val="000000"/>
                <w:szCs w:val="20"/>
              </w:rPr>
            </w:pPr>
            <w:r>
              <w:rPr>
                <w:rFonts w:cs="Arial"/>
                <w:b/>
                <w:color w:val="000000"/>
                <w:szCs w:val="20"/>
              </w:rPr>
              <w:t>Bewertung</w:t>
            </w:r>
          </w:p>
        </w:tc>
        <w:tc>
          <w:tcPr>
            <w:tcW w:w="17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tabs>
                <w:tab w:val="left" w:pos="1418" w:leader="none"/>
              </w:tabs>
              <w:spacing w:before="60" w:after="60"/>
              <w:jc w:val="center"/>
              <w:rPr>
                <w:rFonts w:cs="Arial"/>
                <w:b/>
                <w:color w:val="000000"/>
                <w:szCs w:val="20"/>
              </w:rPr>
            </w:pPr>
            <w:r>
              <w:rPr>
                <w:rFonts w:cs="Arial"/>
                <w:b/>
                <w:color w:val="000000"/>
                <w:szCs w:val="20"/>
              </w:rPr>
              <w:t>Bewertung</w:t>
              <w:br/>
              <w:t>Naehr</w:t>
            </w:r>
          </w:p>
        </w:tc>
      </w:tr>
      <w:tr>
        <w:trPr>
          <w:trHeight w:val="340" w:hRule="atLeast"/>
          <w:cantSplit w:val="false"/>
        </w:trPr>
        <w:tc>
          <w:tcPr>
            <w:tcW w:w="3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&lt;3.000</w:t>
            </w:r>
          </w:p>
        </w:tc>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gering</w:t>
            </w:r>
          </w:p>
        </w:tc>
        <w:tc>
          <w:tcPr>
            <w:tcW w:w="17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5</w:t>
            </w:r>
          </w:p>
        </w:tc>
      </w:tr>
      <w:tr>
        <w:trPr>
          <w:trHeight w:val="340" w:hRule="atLeast"/>
          <w:cantSplit w:val="false"/>
        </w:trPr>
        <w:tc>
          <w:tcPr>
            <w:tcW w:w="3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3.000 bis 6.000</w:t>
            </w:r>
          </w:p>
        </w:tc>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mittel</w:t>
            </w:r>
          </w:p>
        </w:tc>
        <w:tc>
          <w:tcPr>
            <w:tcW w:w="17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3</w:t>
            </w:r>
          </w:p>
        </w:tc>
      </w:tr>
      <w:tr>
        <w:trPr>
          <w:trHeight w:val="340" w:hRule="atLeast"/>
          <w:cantSplit w:val="false"/>
        </w:trPr>
        <w:tc>
          <w:tcPr>
            <w:tcW w:w="3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&gt;6.000</w:t>
            </w:r>
          </w:p>
        </w:tc>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hoch</w:t>
            </w:r>
          </w:p>
        </w:tc>
        <w:tc>
          <w:tcPr>
            <w:tcW w:w="170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1</w:t>
            </w:r>
          </w:p>
        </w:tc>
      </w:tr>
    </w:tbl>
    <w:p>
      <w:pPr>
        <w:pStyle w:val="Normal"/>
        <w:jc w:val="both"/>
        <w:rPr/>
      </w:pPr>
      <w:r>
        <w:rPr/>
      </w:r>
    </w:p>
    <w:p>
      <w:pPr>
        <w:pStyle w:val="Normal"/>
        <w:jc w:val="both"/>
        <w:rPr>
          <w:rFonts w:cs="Arial"/>
          <w:i/>
          <w:szCs w:val="20"/>
        </w:rPr>
      </w:pPr>
      <w:r>
        <w:rPr>
          <w:rFonts w:cs="Arial"/>
          <w:i/>
          <w:szCs w:val="20"/>
        </w:rPr>
        <w:t>Anm.: Der tatsächlich im Boden vorhandene Gehalt an Nährelementen kann durch Düngung massiv beeinflusst werden. Übersteigt durch zu intensive oder falsche Düngung die Menge eingetragener Stoffe die Kationenaustausch</w:t>
        <w:softHyphen/>
        <w:t>kapazität des Bodens besteht die Gefahr der Auswaschung in das Grundwasser, wo bestimmte Stoffe (Bsp. Nitrat NO</w:t>
      </w:r>
      <w:r>
        <w:rPr>
          <w:rFonts w:cs="Arial"/>
          <w:i/>
          <w:szCs w:val="20"/>
          <w:vertAlign w:val="subscript"/>
        </w:rPr>
        <w:t>3</w:t>
      </w:r>
      <w:r>
        <w:rPr>
          <w:rFonts w:cs="Arial"/>
          <w:i/>
          <w:szCs w:val="20"/>
        </w:rPr>
        <w:t>) bei entsprechender Nutzung als Trinkwasser potenziell gesundheitsschädigend für Menschen sein können - siehe auch 1c.3 „Qualitative Aspekte der Grundwasserneubildung“.</w:t>
      </w:r>
    </w:p>
    <w:p>
      <w:pPr>
        <w:pStyle w:val="Normal"/>
        <w:jc w:val="both"/>
        <w:rPr/>
      </w:pPr>
      <w:r>
        <w:rPr/>
      </w:r>
    </w:p>
    <w:p>
      <w:pPr>
        <w:pStyle w:val="Heading3"/>
        <w:pageBreakBefore/>
        <w:rPr>
          <w:szCs w:val="20"/>
        </w:rPr>
      </w:pPr>
      <w:r>
        <w:rPr/>
        <w:t xml:space="preserve">1c.5) </w:t>
      </w:r>
      <w:r>
        <w:rPr>
          <w:szCs w:val="20"/>
        </w:rPr>
        <w:t>Potenzial des Bodens als CO</w:t>
      </w:r>
      <w:r>
        <w:rPr>
          <w:szCs w:val="20"/>
          <w:vertAlign w:val="subscript"/>
        </w:rPr>
        <w:t>2</w:t>
      </w:r>
      <w:r>
        <w:rPr>
          <w:szCs w:val="20"/>
        </w:rPr>
        <w:t>-Senke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Nutzung (S178)</w:t>
      </w:r>
    </w:p>
    <w:p>
      <w:pPr>
        <w:pStyle w:val="Normal"/>
        <w:ind w:left="142" w:right="0" w:hanging="0"/>
        <w:rPr>
          <w:rFonts w:cs="Arial"/>
          <w:i/>
          <w:szCs w:val="20"/>
        </w:rPr>
      </w:pPr>
      <w:r>
        <w:rPr>
          <w:rFonts w:cs="Arial"/>
          <w:i/>
          <w:szCs w:val="20"/>
        </w:rPr>
        <w:t>Humusmenge im Gesamtprofil (Sx03)</w:t>
      </w:r>
    </w:p>
    <w:p>
      <w:pPr>
        <w:pStyle w:val="Normal"/>
        <w:rPr>
          <w:rFonts w:cs="Arial"/>
          <w:b/>
          <w:i/>
          <w:sz w:val="22"/>
          <w:szCs w:val="22"/>
        </w:rPr>
      </w:pPr>
      <w:r>
        <w:rPr>
          <w:rFonts w:cs="Arial"/>
          <w:b/>
          <w:i/>
          <w:sz w:val="22"/>
          <w:szCs w:val="22"/>
        </w:rPr>
      </w:r>
    </w:p>
    <w:p>
      <w:pPr>
        <w:pStyle w:val="Normal"/>
        <w:rPr>
          <w:rFonts w:cs="Arial"/>
          <w:i/>
          <w:szCs w:val="20"/>
        </w:rPr>
      </w:pPr>
      <w:r>
        <w:rPr>
          <w:rFonts w:cs="Arial"/>
          <w:b/>
          <w:i/>
          <w:szCs w:val="20"/>
        </w:rPr>
        <w:t>Methodik:</w:t>
      </w:r>
      <w:r>
        <w:rPr>
          <w:rFonts w:cs="Arial"/>
          <w:i/>
          <w:szCs w:val="20"/>
        </w:rPr>
        <w:t xml:space="preserve"> Gerstenberg &amp; Smettan (2005: 102f.) – modifiziert</w:t>
      </w:r>
    </w:p>
    <w:p>
      <w:pPr>
        <w:pStyle w:val="Normal"/>
        <w:jc w:val="both"/>
        <w:rPr/>
      </w:pPr>
      <w:r>
        <w:rPr/>
      </w:r>
    </w:p>
    <w:p>
      <w:pPr>
        <w:pStyle w:val="Normal"/>
        <w:jc w:val="both"/>
        <w:rPr>
          <w:rFonts w:cs="Arial"/>
          <w:szCs w:val="20"/>
        </w:rPr>
      </w:pPr>
      <w:r>
        <w:rPr>
          <w:rFonts w:cs="Arial"/>
          <w:szCs w:val="20"/>
        </w:rPr>
        <w:t>Die Bewertung des Potenzials als CO</w:t>
      </w:r>
      <w:r>
        <w:rPr>
          <w:rFonts w:cs="Arial"/>
          <w:szCs w:val="20"/>
          <w:vertAlign w:val="subscript"/>
        </w:rPr>
        <w:t>2</w:t>
      </w:r>
      <w:r>
        <w:rPr>
          <w:rFonts w:cs="Arial"/>
          <w:szCs w:val="20"/>
        </w:rPr>
        <w:t>-Puffer bzw. CO</w:t>
      </w:r>
      <w:r>
        <w:rPr>
          <w:rFonts w:cs="Arial"/>
          <w:szCs w:val="20"/>
          <w:vertAlign w:val="subscript"/>
        </w:rPr>
        <w:t>2</w:t>
      </w:r>
      <w:r>
        <w:rPr>
          <w:rFonts w:cs="Arial"/>
          <w:szCs w:val="20"/>
        </w:rPr>
        <w:t>-Senke ist mit Vorbehalten zu betrachten. Einerseits rückt der Boden durch seine Rolle im Kohlenstoffkreislauf im Zusammenhang mit der Diskussion um die Auswirkungen des Klimawandels verstärkt in das Interesse der Öffentlichkeit und bietet dadurch eine gute Möglichkeit, Verständnis für Bodenschutzbelange zu wecken („Bodenschutz = Klimaschutz“). Andererseits gibt es jedoch bislang noch keine erprobten Verfahren, um dieses Potenzial im Detail bewerten zu können. Aufgrund derzeit noch mangelnden Prozessverständnisses können keine gesicherten Aussagen darüber getroffen werden, unter welchen Voraussetzungen Boden Kohlenstoffquelle, kurzfristiger Kohlenstoffpuffer oder langfristige Kohlenstoffsenke ist. Als gesichert gilt, dass in der Vegetation große Mengen Kohlenstoff rückgehalten werden, weshalb Bereiche mit einer sehr hohen Biomasseproduktion, sprich Wälder, prinzipiell als Kohlenstoffsenken gelten müssen und hoch zu bewerten sind.</w:t>
      </w:r>
    </w:p>
    <w:p>
      <w:pPr>
        <w:pStyle w:val="Normal"/>
        <w:jc w:val="both"/>
        <w:rPr>
          <w:rFonts w:cs="Arial"/>
          <w:szCs w:val="20"/>
        </w:rPr>
      </w:pPr>
      <w:r>
        <w:rPr>
          <w:rFonts w:cs="Arial"/>
          <w:szCs w:val="20"/>
        </w:rPr>
        <w:t>Weiters besteht Konsens darüber, dass das Potenzial unmittelbar vom Humus- bzw. Torfanteil des Bodens abhängig ist und die Freisetzung von CO</w:t>
      </w:r>
      <w:r>
        <w:rPr>
          <w:rFonts w:cs="Arial"/>
          <w:szCs w:val="20"/>
          <w:vertAlign w:val="subscript"/>
        </w:rPr>
        <w:t>2</w:t>
      </w:r>
      <w:r>
        <w:rPr>
          <w:rFonts w:cs="Arial"/>
          <w:szCs w:val="20"/>
        </w:rPr>
        <w:t xml:space="preserve"> bei Beibehaltung oder Erhöhung dieser Anteile vermieden wird, während beim Abbau von organischer Substanz (z.B. durch Entwässerung von Mooren, Intensivierung der landwirtschaftlichen Nutzung) der Boden als CO</w:t>
      </w:r>
      <w:r>
        <w:rPr>
          <w:rFonts w:cs="Arial"/>
          <w:szCs w:val="20"/>
          <w:vertAlign w:val="subscript"/>
        </w:rPr>
        <w:t>2</w:t>
      </w:r>
      <w:r>
        <w:rPr>
          <w:rFonts w:cs="Arial"/>
          <w:szCs w:val="20"/>
        </w:rPr>
        <w:t>-Quelle fungiert.</w:t>
      </w:r>
    </w:p>
    <w:p>
      <w:pPr>
        <w:pStyle w:val="Normal"/>
        <w:jc w:val="both"/>
        <w:rPr>
          <w:rFonts w:cs="Arial"/>
          <w:szCs w:val="20"/>
        </w:rPr>
      </w:pPr>
      <w:r>
        <w:rPr>
          <w:rFonts w:cs="Arial"/>
          <w:szCs w:val="20"/>
        </w:rPr>
      </w:r>
    </w:p>
    <w:p>
      <w:pPr>
        <w:pStyle w:val="Normal"/>
        <w:jc w:val="both"/>
        <w:rPr>
          <w:rFonts w:cs="Arial"/>
          <w:szCs w:val="20"/>
        </w:rPr>
      </w:pPr>
      <w:r>
        <w:rPr>
          <w:rFonts w:cs="Arial"/>
          <w:szCs w:val="20"/>
        </w:rPr>
        <w:t>In den Erläuterungen zu den Bodenfunktionskarten im Umweltatlas Berlin (Gerstenberg &amp; Smettan 2005) werden zwei Bodenformen erwähnt, denen prinzipiell ein hohes Potenzial als Puffer und Senke für CO</w:t>
      </w:r>
      <w:r>
        <w:rPr>
          <w:rFonts w:cs="Arial"/>
          <w:szCs w:val="20"/>
          <w:vertAlign w:val="subscript"/>
        </w:rPr>
        <w:t>2</w:t>
      </w:r>
      <w:r>
        <w:rPr>
          <w:rFonts w:cs="Arial"/>
          <w:szCs w:val="20"/>
        </w:rPr>
        <w:t xml:space="preserve"> zukommt: </w:t>
      </w:r>
    </w:p>
    <w:p>
      <w:pPr>
        <w:pStyle w:val="Aufzhlung"/>
        <w:tabs>
          <w:tab w:val="left" w:pos="426" w:leader="none"/>
        </w:tabs>
        <w:ind w:left="426" w:right="0" w:hanging="256"/>
        <w:jc w:val="both"/>
        <w:rPr>
          <w:rFonts w:cs="Arial"/>
          <w:i/>
          <w:szCs w:val="20"/>
        </w:rPr>
      </w:pPr>
      <w:r>
        <w:rPr>
          <w:rFonts w:cs="Arial"/>
          <w:szCs w:val="20"/>
        </w:rPr>
        <w:t>Rohböden mit einem zukünftigen Potenzial zur Aufnahme von Kohlenstoff bei ungestörter Entwicklung (</w:t>
      </w:r>
      <w:r>
        <w:rPr>
          <w:rFonts w:cs="Arial"/>
          <w:i/>
          <w:szCs w:val="20"/>
        </w:rPr>
        <w:t>Anm.: Es ist dabei noch unklar, inwieweit diese Prämisse auch auf Gebirgsböden übertragen werden kann, die sich unter den aktuellen Bedingungen nicht oder nur sehr langsam weiter entwickeln, jedoch bei geänderten Klimabedingungen sehr wohl als signifikante Kohlenstoffsenke dienen könnten)</w:t>
      </w:r>
    </w:p>
    <w:p>
      <w:pPr>
        <w:pStyle w:val="Aufzhlung"/>
        <w:tabs>
          <w:tab w:val="left" w:pos="426" w:leader="none"/>
        </w:tabs>
        <w:ind w:left="426" w:right="0" w:hanging="256"/>
        <w:jc w:val="both"/>
        <w:rPr>
          <w:rFonts w:cs="Arial"/>
          <w:szCs w:val="20"/>
        </w:rPr>
      </w:pPr>
      <w:r>
        <w:rPr>
          <w:rFonts w:cs="Arial"/>
          <w:szCs w:val="20"/>
        </w:rPr>
        <w:t>Böden mit aktuell hohem Organikgehalt (z.B. Moore), die aufgrund dieser Eigenschaft schützenswert sind, weil ihre Zerstörung zu einer erheblichen Freisetzung von CO</w:t>
      </w:r>
      <w:r>
        <w:rPr>
          <w:rFonts w:cs="Arial"/>
          <w:i/>
          <w:szCs w:val="20"/>
          <w:vertAlign w:val="subscript"/>
        </w:rPr>
        <w:t>2</w:t>
      </w:r>
      <w:r>
        <w:rPr>
          <w:rFonts w:cs="Arial"/>
          <w:szCs w:val="20"/>
        </w:rPr>
        <w:t xml:space="preserve"> führen würde.</w:t>
      </w:r>
    </w:p>
    <w:p>
      <w:pPr>
        <w:pStyle w:val="Normal"/>
        <w:ind w:left="360" w:right="0" w:hanging="0"/>
        <w:jc w:val="both"/>
        <w:rPr>
          <w:rFonts w:cs="Arial"/>
          <w:szCs w:val="20"/>
        </w:rPr>
      </w:pPr>
      <w:r>
        <w:rPr>
          <w:rFonts w:cs="Arial"/>
          <w:szCs w:val="20"/>
        </w:rPr>
      </w:r>
    </w:p>
    <w:p>
      <w:pPr>
        <w:pStyle w:val="Normal"/>
        <w:jc w:val="both"/>
        <w:rPr>
          <w:rFonts w:cs="Arial"/>
          <w:szCs w:val="20"/>
        </w:rPr>
      </w:pPr>
      <w:r>
        <w:rPr>
          <w:rFonts w:cs="Arial"/>
          <w:szCs w:val="20"/>
        </w:rPr>
        <w:t>Da die gleiche Menge CO</w:t>
      </w:r>
      <w:r>
        <w:rPr>
          <w:rFonts w:cs="Arial"/>
          <w:szCs w:val="20"/>
          <w:vertAlign w:val="subscript"/>
        </w:rPr>
        <w:t>2</w:t>
      </w:r>
      <w:r>
        <w:rPr>
          <w:rFonts w:cs="Arial"/>
          <w:szCs w:val="20"/>
        </w:rPr>
        <w:t xml:space="preserve"> sehr viel schneller freigesetzt als gebunden werden kann, wird der Schutz von humusreichen Böden vor der Freisetzung als vorrangig angesehen und entsprechend in der Bewertung berücksichtigt (Gerstenberg &amp; Smettan 2005: 102f.). </w:t>
      </w:r>
    </w:p>
    <w:p>
      <w:pPr>
        <w:pStyle w:val="Normal"/>
        <w:jc w:val="both"/>
        <w:rPr>
          <w:rFonts w:cs="Arial"/>
          <w:szCs w:val="20"/>
        </w:rPr>
      </w:pPr>
      <w:r>
        <w:rPr>
          <w:rFonts w:cs="Arial"/>
          <w:szCs w:val="20"/>
        </w:rPr>
      </w:r>
    </w:p>
    <w:p>
      <w:pPr>
        <w:pStyle w:val="Normal"/>
        <w:jc w:val="both"/>
        <w:rPr>
          <w:rFonts w:cs="Arial"/>
          <w:szCs w:val="20"/>
          <w:u w:val="single"/>
        </w:rPr>
      </w:pPr>
      <w:r>
        <w:rPr>
          <w:rFonts w:cs="Arial"/>
          <w:szCs w:val="20"/>
          <w:u w:val="single"/>
        </w:rPr>
      </w:r>
    </w:p>
    <w:p>
      <w:pPr>
        <w:pStyle w:val="Normal"/>
        <w:spacing w:before="0" w:after="120"/>
        <w:rPr>
          <w:rFonts w:cs="Arial"/>
          <w:szCs w:val="20"/>
          <w:u w:val="single"/>
        </w:rPr>
      </w:pPr>
      <w:r>
        <w:rPr>
          <w:rFonts w:cs="Arial"/>
          <w:szCs w:val="20"/>
          <w:u w:val="single"/>
        </w:rPr>
        <w:t>Schritt 1 – Bewertung nach der Nutzung</w:t>
      </w:r>
    </w:p>
    <w:p>
      <w:pPr>
        <w:pStyle w:val="Normal"/>
        <w:jc w:val="both"/>
        <w:rPr>
          <w:rFonts w:cs="Arial"/>
          <w:szCs w:val="20"/>
        </w:rPr>
      </w:pPr>
      <w:r>
        <w:rPr>
          <w:rFonts w:cs="Arial"/>
          <w:szCs w:val="20"/>
        </w:rPr>
        <w:t>Wälder und Moore erhalten die beste Bewertung, es gilt:</w:t>
      </w:r>
    </w:p>
    <w:p>
      <w:pPr>
        <w:pStyle w:val="Normal"/>
        <w:jc w:val="both"/>
        <w:rPr>
          <w:rFonts w:cs="Arial"/>
          <w:szCs w:val="20"/>
        </w:rPr>
      </w:pPr>
      <w:r>
        <w:rPr>
          <w:rFonts w:cs="Arial"/>
          <w:szCs w:val="20"/>
        </w:rPr>
      </w:r>
    </w:p>
    <w:p>
      <w:pPr>
        <w:pStyle w:val="Normal"/>
        <w:tabs>
          <w:tab w:val="left" w:pos="5670" w:leader="none"/>
        </w:tabs>
        <w:ind w:left="709" w:right="0" w:hanging="0"/>
        <w:jc w:val="both"/>
        <w:rPr>
          <w:rFonts w:cs="Arial"/>
          <w:b/>
          <w:szCs w:val="20"/>
        </w:rPr>
      </w:pPr>
      <w:r>
        <w:rPr>
          <w:rFonts w:cs="Arial"/>
          <w:szCs w:val="20"/>
        </w:rPr>
        <w:t xml:space="preserve">Nutzung Wald (Code in S178: 100), Laubwald (110), Nadelwald (120), Mischwald (130) und unkultivierte Moore (950) </w:t>
        <w:tab/>
      </w:r>
      <w:r>
        <w:rPr>
          <w:rFonts w:cs="Arial"/>
          <w:b/>
          <w:szCs w:val="20"/>
        </w:rPr>
        <w:t>Bewertung CO2_Senke = 1</w:t>
      </w:r>
    </w:p>
    <w:p>
      <w:pPr>
        <w:pStyle w:val="Normal"/>
        <w:rPr>
          <w:rFonts w:cs="Arial"/>
          <w:szCs w:val="20"/>
        </w:rPr>
      </w:pPr>
      <w:r>
        <w:rPr>
          <w:rFonts w:cs="Arial"/>
          <w:szCs w:val="20"/>
        </w:rPr>
      </w:r>
    </w:p>
    <w:p>
      <w:pPr>
        <w:pStyle w:val="Normal"/>
        <w:jc w:val="both"/>
        <w:rPr>
          <w:rFonts w:cs="Arial"/>
          <w:i/>
          <w:szCs w:val="20"/>
        </w:rPr>
      </w:pPr>
      <w:r>
        <w:rPr>
          <w:rFonts w:cs="Arial"/>
          <w:i/>
          <w:szCs w:val="20"/>
        </w:rPr>
        <w:t>Anm.: Für hier nicht berücksichtigte Moore, denen jedoch gemäß 1a.2 ein „sehr hohes“ Potenzial als Feuchtstandort bescheinigt wird, ist bei Umweltprüfverfahren textlich zu vermerken, dass sie aufgrund ihres potenziell hohen Humusgehalts ebenfalls eine wichtige Rolle im Kohlenstoffkreislauf spielen könnten, in Unkenntnis der aktuellen Situation (Moor noch natürlich oder aktuell entwässert?) aber keine Rückschlüsse auf ihre Rolle im Kohlenstoffkreislauf möglich sind.</w:t>
      </w:r>
    </w:p>
    <w:p>
      <w:pPr>
        <w:pStyle w:val="Normal"/>
        <w:rPr>
          <w:rFonts w:cs="Arial"/>
          <w:szCs w:val="20"/>
        </w:rPr>
      </w:pPr>
      <w:r>
        <w:rPr>
          <w:rFonts w:cs="Arial"/>
          <w:szCs w:val="20"/>
        </w:rPr>
      </w:r>
    </w:p>
    <w:p>
      <w:pPr>
        <w:pStyle w:val="Normal"/>
        <w:jc w:val="both"/>
        <w:rPr>
          <w:rFonts w:cs="Arial"/>
          <w:szCs w:val="20"/>
          <w:u w:val="single"/>
        </w:rPr>
      </w:pPr>
      <w:r>
        <w:rPr>
          <w:rFonts w:cs="Arial"/>
          <w:szCs w:val="20"/>
          <w:u w:val="single"/>
        </w:rPr>
      </w:r>
    </w:p>
    <w:p>
      <w:pPr>
        <w:pStyle w:val="Normal"/>
        <w:spacing w:before="0" w:after="120"/>
        <w:rPr>
          <w:rFonts w:cs="Arial"/>
          <w:szCs w:val="20"/>
          <w:u w:val="single"/>
        </w:rPr>
      </w:pPr>
      <w:r>
        <w:rPr>
          <w:rFonts w:cs="Arial"/>
          <w:szCs w:val="20"/>
          <w:u w:val="single"/>
        </w:rPr>
        <w:t>Schritt 2 – Bewertung nach der Humusmenge (HM</w:t>
      </w:r>
      <w:r>
        <w:rPr>
          <w:rFonts w:cs="Arial"/>
          <w:szCs w:val="20"/>
          <w:u w:val="single"/>
          <w:vertAlign w:val="subscript"/>
        </w:rPr>
        <w:t>ges</w:t>
      </w:r>
      <w:r>
        <w:rPr>
          <w:rFonts w:cs="Arial"/>
          <w:szCs w:val="20"/>
          <w:u w:val="single"/>
        </w:rPr>
        <w:t>)</w:t>
      </w:r>
    </w:p>
    <w:p>
      <w:pPr>
        <w:pStyle w:val="Normal"/>
        <w:jc w:val="both"/>
        <w:rPr>
          <w:rFonts w:cs="Arial"/>
          <w:szCs w:val="20"/>
        </w:rPr>
      </w:pPr>
      <w:r>
        <w:rPr>
          <w:rFonts w:cs="Arial"/>
          <w:szCs w:val="20"/>
        </w:rPr>
        <w:t>Für alle nicht in Schritt 1 berücksichtigen Nutzungen erfolgt die Bewertung anhand folgender Tabelle nach der Humusmenge im gesamten Profil:</w:t>
      </w:r>
    </w:p>
    <w:p>
      <w:pPr>
        <w:pStyle w:val="Normal"/>
        <w:rPr>
          <w:rFonts w:cs="Arial"/>
          <w:szCs w:val="20"/>
        </w:rPr>
      </w:pPr>
      <w:r>
        <w:rPr>
          <w:rFonts w:cs="Arial"/>
          <w:szCs w:val="2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3398"/>
        <w:gridCol w:w="2268"/>
      </w:tblGrid>
      <w:tr>
        <w:trPr>
          <w:trHeight w:val="290" w:hRule="atLeast"/>
          <w:cantSplit w:val="false"/>
        </w:trPr>
        <w:tc>
          <w:tcPr>
            <w:tcW w:w="3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tabs>
                <w:tab w:val="left" w:pos="1418" w:leader="none"/>
              </w:tabs>
              <w:spacing w:before="60" w:after="60"/>
              <w:jc w:val="center"/>
              <w:rPr>
                <w:rFonts w:cs="Arial"/>
                <w:i/>
                <w:color w:val="000000"/>
                <w:szCs w:val="20"/>
              </w:rPr>
            </w:pPr>
            <w:r>
              <w:rPr>
                <w:rFonts w:cs="Arial"/>
                <w:b/>
                <w:color w:val="000000"/>
                <w:szCs w:val="20"/>
              </w:rPr>
              <w:t>Humusmenge im Gesamtprofil</w:t>
            </w:r>
            <w:r>
              <w:rPr>
                <w:rFonts w:cs="Arial"/>
                <w:color w:val="000000"/>
                <w:szCs w:val="20"/>
              </w:rPr>
              <w:t xml:space="preserve"> [kg/m³] </w:t>
            </w:r>
            <w:r>
              <w:rPr>
                <w:rFonts w:cs="Arial"/>
                <w:i/>
                <w:color w:val="000000"/>
                <w:szCs w:val="20"/>
              </w:rPr>
              <w:t>(Sx03)</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tabs>
                <w:tab w:val="left" w:pos="1418" w:leader="none"/>
              </w:tabs>
              <w:spacing w:before="60" w:after="60"/>
              <w:jc w:val="center"/>
              <w:rPr>
                <w:rFonts w:cs="Arial"/>
                <w:b/>
                <w:color w:val="000000"/>
                <w:szCs w:val="20"/>
              </w:rPr>
            </w:pPr>
            <w:r>
              <w:rPr>
                <w:rFonts w:cs="Arial"/>
                <w:b/>
                <w:color w:val="000000"/>
                <w:szCs w:val="20"/>
              </w:rPr>
              <w:t>Bewertung</w:t>
            </w:r>
          </w:p>
          <w:p>
            <w:pPr>
              <w:pStyle w:val="Normal"/>
              <w:tabs>
                <w:tab w:val="left" w:pos="1418" w:leader="none"/>
              </w:tabs>
              <w:spacing w:before="60" w:after="60"/>
              <w:jc w:val="center"/>
              <w:rPr>
                <w:rFonts w:cs="Arial"/>
                <w:b/>
                <w:color w:val="000000"/>
                <w:szCs w:val="20"/>
              </w:rPr>
            </w:pPr>
            <w:r>
              <w:rPr>
                <w:rFonts w:cs="Arial"/>
                <w:b/>
                <w:color w:val="000000"/>
                <w:szCs w:val="20"/>
              </w:rPr>
              <w:t>CO2_Senke</w:t>
            </w:r>
          </w:p>
        </w:tc>
      </w:tr>
      <w:tr>
        <w:trPr>
          <w:trHeight w:val="290" w:hRule="atLeast"/>
          <w:cantSplit w:val="false"/>
        </w:trPr>
        <w:tc>
          <w:tcPr>
            <w:tcW w:w="3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ascii="Symbol" w:hAnsi="Symbol"/>
                <w:color w:val="000000"/>
                <w:szCs w:val="20"/>
              </w:rPr>
              <w:t></w:t>
            </w:r>
            <w:r>
              <w:rPr>
                <w:rFonts w:cs="Arial"/>
                <w:color w:val="000000"/>
                <w:szCs w:val="20"/>
              </w:rPr>
              <w:t>100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1</w:t>
            </w:r>
          </w:p>
        </w:tc>
      </w:tr>
      <w:tr>
        <w:trPr>
          <w:trHeight w:val="290" w:hRule="atLeast"/>
          <w:cantSplit w:val="false"/>
        </w:trPr>
        <w:tc>
          <w:tcPr>
            <w:tcW w:w="3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50 bis &lt;100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2</w:t>
            </w:r>
          </w:p>
        </w:tc>
      </w:tr>
      <w:tr>
        <w:trPr>
          <w:trHeight w:val="290" w:hRule="atLeast"/>
          <w:cantSplit w:val="false"/>
        </w:trPr>
        <w:tc>
          <w:tcPr>
            <w:tcW w:w="3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20 bis &lt;50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3</w:t>
            </w:r>
          </w:p>
        </w:tc>
      </w:tr>
      <w:tr>
        <w:trPr>
          <w:trHeight w:val="290" w:hRule="atLeast"/>
          <w:cantSplit w:val="false"/>
        </w:trPr>
        <w:tc>
          <w:tcPr>
            <w:tcW w:w="3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10 bis &lt;20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4</w:t>
            </w:r>
          </w:p>
        </w:tc>
      </w:tr>
      <w:tr>
        <w:trPr>
          <w:trHeight w:val="290" w:hRule="atLeast"/>
          <w:cantSplit w:val="false"/>
        </w:trPr>
        <w:tc>
          <w:tcPr>
            <w:tcW w:w="33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&lt;10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5</w:t>
            </w:r>
          </w:p>
        </w:tc>
      </w:tr>
    </w:tbl>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5672" w:leader="none"/>
        </w:tabs>
        <w:ind w:left="1418" w:right="0" w:hanging="0"/>
        <w:jc w:val="both"/>
        <w:rPr>
          <w:rFonts w:cs="Arial"/>
          <w:color w:val="000000"/>
          <w:sz w:val="18"/>
          <w:szCs w:val="18"/>
        </w:rPr>
      </w:pPr>
      <w:r>
        <w:rPr>
          <w:rFonts w:cs="Arial"/>
          <w:color w:val="000000"/>
          <w:sz w:val="18"/>
          <w:szCs w:val="18"/>
        </w:rPr>
      </w:r>
    </w:p>
    <w:p>
      <w:pPr>
        <w:pStyle w:val="Normal"/>
        <w:tabs>
          <w:tab w:val="left" w:pos="5672" w:leader="none"/>
        </w:tabs>
        <w:ind w:left="1418" w:right="0" w:hanging="0"/>
        <w:jc w:val="both"/>
        <w:rPr>
          <w:rFonts w:cs="Arial"/>
          <w:color w:val="000000"/>
          <w:sz w:val="18"/>
          <w:szCs w:val="18"/>
        </w:rPr>
      </w:pPr>
      <w:r>
        <w:rPr>
          <w:rFonts w:cs="Arial"/>
          <w:color w:val="000000"/>
          <w:sz w:val="18"/>
          <w:szCs w:val="18"/>
        </w:rPr>
      </w:r>
    </w:p>
    <w:p>
      <w:pPr>
        <w:pStyle w:val="Normal"/>
        <w:rPr>
          <w:rFonts w:cs="Arial"/>
          <w:b/>
          <w:i/>
          <w:szCs w:val="20"/>
        </w:rPr>
      </w:pPr>
      <w:r>
        <w:rPr>
          <w:rFonts w:cs="Arial"/>
          <w:b/>
          <w:i/>
          <w:szCs w:val="20"/>
        </w:rPr>
      </w:r>
    </w:p>
    <w:p>
      <w:pPr>
        <w:pStyle w:val="Normal"/>
        <w:rPr>
          <w:rFonts w:cs="Arial"/>
          <w:b/>
          <w:i/>
          <w:szCs w:val="20"/>
        </w:rPr>
      </w:pPr>
      <w:r>
        <w:rPr>
          <w:rFonts w:cs="Arial"/>
          <w:b/>
          <w:i/>
          <w:szCs w:val="20"/>
        </w:rPr>
      </w:r>
    </w:p>
    <w:p>
      <w:pPr>
        <w:pStyle w:val="Heading3"/>
        <w:pageBreakBefore/>
        <w:rPr>
          <w:szCs w:val="20"/>
        </w:rPr>
      </w:pPr>
      <w:r>
        <w:rPr/>
        <w:t xml:space="preserve">1d.1) </w:t>
      </w:r>
      <w:r>
        <w:rPr>
          <w:szCs w:val="20"/>
        </w:rPr>
        <w:t>Rückhaltepotenzial für Schwermetalle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Horizontmächtigkeit</w:t>
      </w:r>
    </w:p>
    <w:p>
      <w:pPr>
        <w:pStyle w:val="Normal"/>
        <w:ind w:left="142" w:right="0" w:hanging="0"/>
        <w:rPr>
          <w:rFonts w:cs="Arial"/>
          <w:i/>
          <w:szCs w:val="20"/>
        </w:rPr>
      </w:pPr>
      <w:r>
        <w:rPr>
          <w:rFonts w:cs="Arial"/>
          <w:i/>
          <w:szCs w:val="20"/>
        </w:rPr>
        <w:t>pH-Wert (P149 oder B105)</w:t>
      </w:r>
    </w:p>
    <w:p>
      <w:pPr>
        <w:pStyle w:val="Normal"/>
        <w:ind w:left="142" w:right="0" w:hanging="0"/>
        <w:rPr>
          <w:rFonts w:cs="Arial"/>
          <w:i/>
          <w:szCs w:val="20"/>
        </w:rPr>
      </w:pPr>
      <w:r>
        <w:rPr>
          <w:rFonts w:cs="Arial"/>
          <w:i/>
          <w:szCs w:val="20"/>
        </w:rPr>
        <w:t>Humusgehalt (Px01)</w:t>
      </w:r>
    </w:p>
    <w:p>
      <w:pPr>
        <w:pStyle w:val="Normal"/>
        <w:ind w:left="142" w:right="0" w:hanging="0"/>
        <w:rPr>
          <w:rFonts w:cs="Arial"/>
          <w:i/>
          <w:szCs w:val="20"/>
        </w:rPr>
      </w:pPr>
      <w:r>
        <w:rPr>
          <w:rFonts w:cs="Arial"/>
          <w:i/>
          <w:szCs w:val="20"/>
        </w:rPr>
        <w:t>Tongehalt (B200 oder Ableitung aus P140 oder B209)</w:t>
      </w:r>
    </w:p>
    <w:p>
      <w:pPr>
        <w:pStyle w:val="Normal"/>
        <w:ind w:left="142" w:right="0" w:hanging="0"/>
        <w:rPr>
          <w:rFonts w:cs="Arial"/>
          <w:i/>
          <w:szCs w:val="20"/>
        </w:rPr>
      </w:pPr>
      <w:r>
        <w:rPr>
          <w:rFonts w:cs="Arial"/>
          <w:i/>
          <w:szCs w:val="20"/>
        </w:rPr>
        <w:t>Skelettgehalt (Px02)</w:t>
      </w:r>
    </w:p>
    <w:p>
      <w:pPr>
        <w:pStyle w:val="Normal"/>
        <w:ind w:left="142" w:right="0" w:hanging="0"/>
        <w:rPr>
          <w:rFonts w:cs="Arial"/>
          <w:i/>
          <w:szCs w:val="20"/>
        </w:rPr>
      </w:pPr>
      <w:r>
        <w:rPr>
          <w:rFonts w:cs="Arial"/>
          <w:i/>
          <w:szCs w:val="20"/>
        </w:rPr>
        <w:t>Grundwasserflurabstand (S153)</w:t>
      </w:r>
    </w:p>
    <w:p>
      <w:pPr>
        <w:pStyle w:val="Normal"/>
        <w:ind w:left="142" w:right="0" w:hanging="0"/>
        <w:rPr>
          <w:rFonts w:cs="Arial"/>
          <w:i/>
          <w:szCs w:val="20"/>
        </w:rPr>
      </w:pPr>
      <w:r>
        <w:rPr>
          <w:rFonts w:cs="Arial"/>
          <w:i/>
          <w:szCs w:val="20"/>
        </w:rPr>
        <w:t>Basenreichtum des Ausgangssubstrats (S165)</w:t>
      </w:r>
    </w:p>
    <w:p>
      <w:pPr>
        <w:pStyle w:val="Normal"/>
        <w:ind w:left="142" w:right="0" w:hanging="0"/>
        <w:rPr>
          <w:rFonts w:cs="Arial"/>
          <w:i/>
          <w:szCs w:val="20"/>
        </w:rPr>
      </w:pPr>
      <w:r>
        <w:rPr>
          <w:rFonts w:cs="Arial"/>
          <w:i/>
          <w:szCs w:val="20"/>
        </w:rPr>
        <w:t>Bodentyp (</w:t>
      </w:r>
      <w:r>
        <w:rPr>
          <w:rFonts w:cs="Arial"/>
          <w:i/>
          <w:color w:val="000000"/>
          <w:szCs w:val="20"/>
        </w:rPr>
        <w:t>S322</w:t>
      </w:r>
      <w:r>
        <w:rPr>
          <w:rFonts w:cs="Arial"/>
          <w:i/>
          <w:szCs w:val="20"/>
        </w:rPr>
        <w:t>)</w:t>
      </w:r>
    </w:p>
    <w:p>
      <w:pPr>
        <w:pStyle w:val="Normal"/>
        <w:rPr>
          <w:rFonts w:cs="Arial"/>
          <w:i/>
          <w:szCs w:val="20"/>
        </w:rPr>
      </w:pPr>
      <w:r>
        <w:rPr>
          <w:rFonts w:cs="Arial"/>
          <w:i/>
          <w:szCs w:val="20"/>
        </w:rPr>
      </w:r>
    </w:p>
    <w:p>
      <w:pPr>
        <w:pStyle w:val="Normal"/>
        <w:rPr>
          <w:rFonts w:cs="Arial"/>
          <w:i/>
          <w:szCs w:val="20"/>
        </w:rPr>
      </w:pPr>
      <w:r>
        <w:rPr>
          <w:rFonts w:cs="Arial"/>
          <w:b/>
          <w:i/>
          <w:szCs w:val="20"/>
        </w:rPr>
        <w:t>Methodik:</w:t>
      </w:r>
      <w:r>
        <w:rPr>
          <w:rFonts w:cs="Arial"/>
          <w:i/>
          <w:szCs w:val="20"/>
        </w:rPr>
        <w:t xml:space="preserve"> Hennings (2000), BayGLA (2003: 46ff.) – modifiziert</w:t>
      </w:r>
    </w:p>
    <w:p>
      <w:pPr>
        <w:pStyle w:val="Normal"/>
        <w:rPr>
          <w:rFonts w:cs="Arial"/>
          <w:i/>
          <w:szCs w:val="20"/>
        </w:rPr>
      </w:pPr>
      <w:r>
        <w:rPr>
          <w:rFonts w:cs="Arial"/>
          <w:i/>
          <w:szCs w:val="20"/>
        </w:rPr>
      </w:r>
    </w:p>
    <w:p>
      <w:pPr>
        <w:pStyle w:val="Normal"/>
        <w:jc w:val="both"/>
        <w:rPr>
          <w:rFonts w:cs="Arial"/>
          <w:szCs w:val="20"/>
        </w:rPr>
      </w:pPr>
      <w:r>
        <w:rPr>
          <w:rFonts w:cs="Arial"/>
          <w:szCs w:val="20"/>
        </w:rPr>
        <w:t xml:space="preserve">Schwermetalle, die in der industriellen Produktion, im Straßenverkehr oder bei landwirtschaftlicher Nutzung (z.B. Klärschlammdüngung) freigesetzt werden, können über die Luft oder mit dem Niederschlagswasser in den Boden gelangen. Werden diese Stoffe weiter in das Grundwasser geleitet oder über den Wirkungspfad Boden-Pflanze in den Nahrungskreislauf von Tieren und Menschen aufgenommen, stellen sie durch ihre toxische Wirkung eine Bedrohung für die menschliche Gesundheit dar. </w:t>
      </w:r>
    </w:p>
    <w:p>
      <w:pPr>
        <w:pStyle w:val="Normal"/>
        <w:jc w:val="both"/>
        <w:rPr>
          <w:rFonts w:cs="Arial"/>
          <w:szCs w:val="20"/>
        </w:rPr>
      </w:pPr>
      <w:r>
        <w:rPr>
          <w:rFonts w:cs="Arial"/>
          <w:szCs w:val="20"/>
        </w:rPr>
        <w:t>Tonminerale und organische Bestandteile des Bodens können diese Schadstoffe in Abhängigkeit vom pH-Wert unterschiedlich gut immobilisieren und damit vorübergehend oder - unter unveränderten Rahmenbedingungen - sogar dauerhaft den natürlichen Kreis</w:t>
        <w:softHyphen/>
        <w:t>läufen entziehen. Besonders in grund</w:t>
        <w:softHyphen/>
        <w:t>wassernahen Bereichen oder auf landwirtschaftlichen Anbauflächen kommt dieser Funktion eine hohe Bedeutung zu.</w:t>
      </w:r>
    </w:p>
    <w:p>
      <w:pPr>
        <w:pStyle w:val="Normal"/>
        <w:jc w:val="both"/>
        <w:rPr>
          <w:rFonts w:cs="Arial"/>
          <w:szCs w:val="20"/>
        </w:rPr>
      </w:pPr>
      <w:r>
        <w:rPr>
          <w:rFonts w:cs="Arial"/>
          <w:szCs w:val="20"/>
        </w:rPr>
      </w:r>
    </w:p>
    <w:p>
      <w:pPr>
        <w:pStyle w:val="Normal"/>
        <w:jc w:val="both"/>
        <w:rPr>
          <w:rFonts w:cs="Arial"/>
          <w:szCs w:val="20"/>
        </w:rPr>
      </w:pPr>
      <w:r>
        <w:rPr>
          <w:rFonts w:cs="Arial"/>
          <w:szCs w:val="20"/>
        </w:rPr>
        <w:t>Zur Bewertung kommt ein von Hennings (2000) erstmals vorgestelltes Verfahren zur Anwendung, wobei der einfacheren Handhabung wegen die Filter- und Pufferkapazität nicht für alle relevanten Metalle einzeln bewertet wird. Stellvertretend wird das bei Bodenversauerung besonders leicht mobilisierbare Cadmium bewertet und so das „minimale“ Rückhaltevermögen des Bodens beurteilt. Die relativen Bindungsstärken anderer Stoffe (Mn, Ni, Co, Zn, Al, Cu, Cr, Pb, Hg, Fe) können bei Bedarf der Originalarbeit von Hennings (2000) oder der Methodensammlung von Müller (2004: 316f.) entnommen werden.</w:t>
      </w:r>
    </w:p>
    <w:p>
      <w:pPr>
        <w:pStyle w:val="Normal"/>
        <w:jc w:val="both"/>
        <w:rPr>
          <w:rFonts w:cs="Arial"/>
          <w:szCs w:val="20"/>
        </w:rPr>
      </w:pPr>
      <w:r>
        <w:rPr>
          <w:rFonts w:cs="Arial"/>
          <w:szCs w:val="20"/>
        </w:rPr>
        <w:t>Weiters ist anzumerken, dass das verwendete Verfahren nur eine ordinal skalierte Einschätzung des relativen Rückhaltevermögens für Schwermetalle gibt, so dass die Böden verschiedener Flächen miteinander verglichen werden können – es ist damit jedoch keine Quantifizierung der Menge rückgehaltener Schwermetalle („mg Cd / kg Feinboden“ o.ä.) möglich.</w:t>
      </w:r>
    </w:p>
    <w:p>
      <w:pPr>
        <w:pStyle w:val="Normal"/>
        <w:jc w:val="both"/>
        <w:rPr>
          <w:rFonts w:cs="Arial"/>
          <w:szCs w:val="20"/>
        </w:rPr>
      </w:pPr>
      <w:r>
        <w:rPr>
          <w:rFonts w:cs="Arial"/>
          <w:szCs w:val="20"/>
        </w:rPr>
      </w:r>
    </w:p>
    <w:p>
      <w:pPr>
        <w:pStyle w:val="Normal"/>
        <w:jc w:val="both"/>
        <w:rPr>
          <w:rFonts w:cs="Arial"/>
          <w:szCs w:val="20"/>
        </w:rPr>
      </w:pPr>
      <w:r>
        <w:rPr>
          <w:rFonts w:cs="Arial"/>
          <w:szCs w:val="20"/>
        </w:rPr>
        <w:t>In einem ersten Schritt wird die grundlegende Bindungsstärke sandiger, humusfreier oder schwach humoser Böden in Abhängigkeit von der Bodenazidität eingeschätzt. Dieser Wert wird anschließend für ton- und humusreiche Böden modifiziert und ein gewichteter Durchschnittswert für das gesamte Profil ermittelt. Moore (</w:t>
      </w:r>
      <w:r>
        <w:rPr>
          <w:rFonts w:cs="Arial"/>
          <w:i/>
          <w:iCs/>
          <w:color w:val="000000"/>
          <w:szCs w:val="20"/>
        </w:rPr>
        <w:t>S322: Code 2100-2120</w:t>
      </w:r>
      <w:r>
        <w:rPr>
          <w:rFonts w:cs="Arial"/>
          <w:color w:val="000000"/>
          <w:szCs w:val="20"/>
        </w:rPr>
        <w:t>)</w:t>
      </w:r>
      <w:r>
        <w:rPr>
          <w:rFonts w:cs="Arial"/>
          <w:szCs w:val="20"/>
        </w:rPr>
        <w:t xml:space="preserve"> erhalten generell die Bewertungsstufe 5 (sehr schlecht), da hier die Gefahr der Bildung löslicher organischer Komplexe besteht, die v.a. bei Niedermooren rasch ins Grundwasser gelangen können (vgl. BayGLA 2003: 47).</w:t>
      </w:r>
    </w:p>
    <w:p>
      <w:pPr>
        <w:pStyle w:val="Normal"/>
        <w:jc w:val="both"/>
        <w:rPr/>
      </w:pPr>
      <w:r>
        <w:rPr/>
      </w:r>
    </w:p>
    <w:p>
      <w:pPr>
        <w:pStyle w:val="Normal"/>
        <w:jc w:val="both"/>
        <w:rPr/>
      </w:pPr>
      <w:r>
        <w:rPr/>
      </w:r>
    </w:p>
    <w:p>
      <w:pPr>
        <w:pStyle w:val="Normal"/>
        <w:spacing w:before="0" w:after="120"/>
        <w:rPr>
          <w:rFonts w:cs="Arial"/>
          <w:bCs/>
          <w:color w:val="000000"/>
          <w:szCs w:val="20"/>
          <w:u w:val="single"/>
        </w:rPr>
      </w:pPr>
      <w:r>
        <w:rPr>
          <w:rFonts w:cs="Arial"/>
          <w:szCs w:val="20"/>
          <w:u w:val="single"/>
        </w:rPr>
        <w:t xml:space="preserve">Schritt 1 – </w:t>
      </w:r>
      <w:r>
        <w:rPr>
          <w:rFonts w:cs="Arial"/>
          <w:bCs/>
          <w:color w:val="000000"/>
          <w:szCs w:val="20"/>
          <w:u w:val="single"/>
        </w:rPr>
        <w:t>Bestimmung der relativen Bindungsstärke für Cadmium (Cd) bei verschiedenen pH-Werten</w:t>
      </w:r>
    </w:p>
    <w:p>
      <w:pPr>
        <w:pStyle w:val="Normal"/>
        <w:jc w:val="both"/>
        <w:rPr>
          <w:rFonts w:cs="Arial"/>
          <w:szCs w:val="20"/>
        </w:rPr>
      </w:pPr>
      <w:r>
        <w:rPr>
          <w:rFonts w:cs="Arial"/>
          <w:szCs w:val="20"/>
        </w:rPr>
        <w:t>Als Ausgangswert der Bewertung wird für jeden Horiznt die relative Bindungsstärke für Cadmium (</w:t>
      </w:r>
      <w:r>
        <w:rPr>
          <w:rFonts w:cs="Arial"/>
          <w:i/>
          <w:szCs w:val="20"/>
        </w:rPr>
        <w:t>Cd_rel</w:t>
      </w:r>
      <w:r>
        <w:rPr>
          <w:rFonts w:cs="Arial"/>
          <w:szCs w:val="20"/>
        </w:rPr>
        <w:t>) anhand folgender Tabelle ermittelt. Für den pH-Wert können dabei entweder exakte Labormesswerte (B105) oder – falls diese nicht verfügbar sind – näherungsweise im Feld erhobene Werte (P149) angesetzt werden.</w:t>
      </w:r>
    </w:p>
    <w:p>
      <w:pPr>
        <w:pStyle w:val="Normal"/>
        <w:jc w:val="both"/>
        <w:rPr>
          <w:rFonts w:cs="Arial"/>
          <w:szCs w:val="20"/>
        </w:rPr>
      </w:pPr>
      <w:r>
        <w:rPr>
          <w:rFonts w:cs="Arial"/>
          <w:szCs w:val="2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268"/>
        <w:gridCol w:w="2268"/>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tabs>
                <w:tab w:val="left" w:pos="1418" w:leader="none"/>
              </w:tabs>
              <w:spacing w:before="60" w:after="60"/>
              <w:jc w:val="center"/>
              <w:rPr>
                <w:rFonts w:cs="Arial"/>
                <w:color w:val="000000"/>
                <w:szCs w:val="20"/>
              </w:rPr>
            </w:pPr>
            <w:r>
              <w:rPr>
                <w:rFonts w:cs="Arial"/>
                <w:b/>
                <w:color w:val="000000"/>
                <w:szCs w:val="20"/>
              </w:rPr>
              <w:t>pH-Wert (CaCl</w:t>
            </w:r>
            <w:r>
              <w:rPr>
                <w:rFonts w:cs="Arial"/>
                <w:b/>
                <w:color w:val="000000"/>
                <w:szCs w:val="20"/>
                <w:vertAlign w:val="subscript"/>
              </w:rPr>
              <w:t>2</w:t>
            </w:r>
            <w:r>
              <w:rPr>
                <w:rFonts w:cs="Arial"/>
                <w:b/>
                <w:color w:val="000000"/>
                <w:szCs w:val="20"/>
              </w:rPr>
              <w:t>)</w:t>
            </w:r>
            <w:r>
              <w:rPr>
                <w:rFonts w:cs="Arial"/>
                <w:color w:val="000000"/>
                <w:szCs w:val="20"/>
              </w:rPr>
              <w:t xml:space="preserve"> </w:t>
            </w:r>
          </w:p>
          <w:p>
            <w:pPr>
              <w:pStyle w:val="Normal"/>
              <w:tabs>
                <w:tab w:val="left" w:pos="1418" w:leader="none"/>
              </w:tabs>
              <w:spacing w:before="60" w:after="60"/>
              <w:jc w:val="center"/>
              <w:rPr>
                <w:rFonts w:cs="Arial"/>
                <w:i/>
                <w:color w:val="000000"/>
                <w:szCs w:val="20"/>
              </w:rPr>
            </w:pPr>
            <w:r>
              <w:rPr>
                <w:rFonts w:cs="Arial"/>
                <w:i/>
                <w:color w:val="000000"/>
                <w:szCs w:val="20"/>
              </w:rPr>
              <w:t>(B105 oder P149)</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tabs>
                <w:tab w:val="left" w:pos="1418" w:leader="none"/>
              </w:tabs>
              <w:spacing w:before="60" w:after="60"/>
              <w:jc w:val="center"/>
              <w:rPr>
                <w:rFonts w:cs="Arial"/>
                <w:color w:val="000000"/>
                <w:szCs w:val="20"/>
              </w:rPr>
            </w:pPr>
            <w:r>
              <w:rPr>
                <w:rFonts w:cs="Arial"/>
                <w:b/>
                <w:color w:val="000000"/>
                <w:szCs w:val="20"/>
              </w:rPr>
              <w:t xml:space="preserve">relative Bindungs-stärke </w:t>
            </w:r>
            <w:r>
              <w:rPr>
                <w:rFonts w:cs="Arial"/>
                <w:color w:val="000000"/>
                <w:szCs w:val="20"/>
              </w:rPr>
              <w:t>(Cd_rel)</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2,5 – 2,7</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0,0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2,8 – 3,2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0,5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3,3 – 3,7</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1,0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3,8 – 4,2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1,5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4,3 – 4,7</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2,0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4,8 – 5,2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2,5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5,3 – 5,7</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3,5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5,8 – 6,2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4,0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000000"/>
                <w:szCs w:val="20"/>
              </w:rPr>
            </w:pPr>
            <w:r>
              <w:rPr>
                <w:rFonts w:cs="Arial"/>
                <w:color w:val="000000"/>
                <w:szCs w:val="20"/>
              </w:rPr>
              <w:t>6,3 – 6,7</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4,5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tabs>
                <w:tab w:val="left" w:pos="1418" w:leader="none"/>
              </w:tabs>
              <w:spacing w:before="60" w:after="60"/>
              <w:jc w:val="center"/>
              <w:rPr>
                <w:rFonts w:cs="Arial"/>
                <w:color w:val="9900FF"/>
                <w:szCs w:val="20"/>
              </w:rPr>
            </w:pPr>
            <w:r>
              <w:rPr>
                <w:rFonts w:cs="Arial"/>
                <w:color w:val="9900FF"/>
                <w:szCs w:val="20"/>
              </w:rPr>
              <w:t xml:space="preserve"> </w:t>
            </w:r>
            <w:r>
              <w:rPr>
                <w:rFonts w:cs="Arial"/>
                <w:color w:val="9900FF"/>
                <w:szCs w:val="20"/>
              </w:rPr>
              <w:t>&lt; 6,8</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tabs>
                <w:tab w:val="left" w:pos="1418" w:leader="none"/>
              </w:tabs>
              <w:spacing w:before="60" w:after="60"/>
              <w:jc w:val="center"/>
              <w:rPr>
                <w:rFonts w:cs="Arial"/>
                <w:b/>
                <w:color w:val="000000"/>
                <w:szCs w:val="20"/>
              </w:rPr>
            </w:pPr>
            <w:r>
              <w:rPr>
                <w:rFonts w:cs="Arial"/>
                <w:b/>
                <w:color w:val="000000"/>
                <w:szCs w:val="20"/>
              </w:rPr>
              <w:t>5,0</w:t>
            </w:r>
          </w:p>
        </w:tc>
      </w:tr>
    </w:tbl>
    <w:p>
      <w:pPr>
        <w:pStyle w:val="Normal"/>
        <w:jc w:val="both"/>
        <w:rPr>
          <w:rFonts w:cs="Arial"/>
          <w:szCs w:val="20"/>
        </w:rPr>
      </w:pPr>
      <w:r>
        <w:rPr>
          <w:rFonts w:cs="Arial"/>
          <w:szCs w:val="20"/>
        </w:rPr>
      </w:r>
    </w:p>
    <w:p>
      <w:pPr>
        <w:pStyle w:val="Normal"/>
        <w:jc w:val="both"/>
        <w:rPr>
          <w:rFonts w:cs="Arial"/>
          <w:sz w:val="18"/>
          <w:szCs w:val="20"/>
        </w:rPr>
      </w:pPr>
      <w:r>
        <w:rPr>
          <w:rFonts w:cs="Arial"/>
          <w:szCs w:val="20"/>
        </w:rPr>
        <w:t xml:space="preserve">Falls für den Cv-Horizont kein pH-Wert angegeben ist, so werden </w:t>
      </w:r>
      <w:r>
        <w:rPr>
          <w:rFonts w:cs="Arial"/>
          <w:sz w:val="18"/>
          <w:szCs w:val="20"/>
        </w:rPr>
        <w:t>in Abhängigkeit vom Basenreichtum des Ausgangsmaterials (Feld S165) folgende Werte veranschlagt:</w:t>
      </w:r>
    </w:p>
    <w:p>
      <w:pPr>
        <w:pStyle w:val="Normal"/>
        <w:rPr>
          <w:rFonts w:cs="Arial"/>
          <w:szCs w:val="20"/>
        </w:rPr>
      </w:pPr>
      <w:r>
        <w:rPr>
          <w:rFonts w:cs="Arial"/>
          <w:szCs w:val="2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268"/>
        <w:gridCol w:w="2268"/>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i/>
                <w:szCs w:val="20"/>
              </w:rPr>
            </w:pPr>
            <w:r>
              <w:rPr>
                <w:rFonts w:cs="Arial"/>
                <w:b/>
                <w:szCs w:val="20"/>
              </w:rPr>
              <w:t xml:space="preserve">Basenreichtum </w:t>
            </w:r>
            <w:r>
              <w:rPr>
                <w:rFonts w:cs="Arial"/>
                <w:i/>
                <w:szCs w:val="20"/>
              </w:rPr>
              <w:t>(S165)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b/>
                <w:szCs w:val="20"/>
              </w:rPr>
              <w:t>relative Bindungs</w:t>
              <w:softHyphen/>
              <w:t xml:space="preserve">stärke </w:t>
            </w:r>
            <w:r>
              <w:rPr>
                <w:rFonts w:cs="Arial"/>
                <w:szCs w:val="20"/>
              </w:rPr>
              <w:t>(Cd_rel)</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basenreich (1)</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5,0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basenarm (2)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1,0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intermediär (3)</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3,0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keine Angabe (9)</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k.A.</w:t>
            </w:r>
          </w:p>
        </w:tc>
      </w:tr>
    </w:tbl>
    <w:p>
      <w:pPr>
        <w:pStyle w:val="Normal"/>
        <w:rPr>
          <w:rFonts w:cs="Arial"/>
          <w:szCs w:val="20"/>
        </w:rPr>
      </w:pPr>
      <w:r>
        <w:rPr>
          <w:rFonts w:cs="Arial"/>
          <w:szCs w:val="20"/>
        </w:rPr>
      </w:r>
    </w:p>
    <w:p>
      <w:pPr>
        <w:pStyle w:val="Normal"/>
        <w:rPr>
          <w:rFonts w:cs="Arial"/>
          <w:szCs w:val="20"/>
        </w:rPr>
      </w:pPr>
      <w:r>
        <w:rPr>
          <w:rFonts w:cs="Arial"/>
          <w:szCs w:val="20"/>
        </w:rPr>
      </w:r>
    </w:p>
    <w:p>
      <w:pPr>
        <w:pStyle w:val="Normal"/>
        <w:spacing w:before="0" w:after="120"/>
        <w:rPr>
          <w:rFonts w:cs="Arial"/>
          <w:bCs/>
          <w:color w:val="000000"/>
          <w:szCs w:val="20"/>
          <w:u w:val="single"/>
        </w:rPr>
      </w:pPr>
      <w:r>
        <w:rPr>
          <w:rFonts w:cs="Arial"/>
          <w:szCs w:val="20"/>
          <w:u w:val="single"/>
        </w:rPr>
        <w:t xml:space="preserve">Schritt 2 – </w:t>
      </w:r>
      <w:r>
        <w:rPr>
          <w:rFonts w:cs="Arial"/>
          <w:bCs/>
          <w:color w:val="000000"/>
          <w:szCs w:val="20"/>
          <w:u w:val="single"/>
        </w:rPr>
        <w:t>Aufwertung der relativen Bindungsstärke für Cadmium bei humusreichen Böden</w:t>
      </w:r>
    </w:p>
    <w:p>
      <w:pPr>
        <w:pStyle w:val="Normal"/>
        <w:jc w:val="both"/>
        <w:rPr>
          <w:rFonts w:cs="Arial"/>
          <w:szCs w:val="20"/>
        </w:rPr>
      </w:pPr>
      <w:r>
        <w:rPr>
          <w:rFonts w:cs="Arial"/>
          <w:szCs w:val="20"/>
        </w:rPr>
        <w:t>Die in Schritt 1 ermittelte relative Bindungsstärke wird in Abhängigkeit vom Humusgehalt gegebenen</w:t>
        <w:softHyphen/>
        <w:t>falls modifiziert. Fehlt die Angabe zum Humusgehalt, wird der Wert aus Schritt 1 unverändert beibehalten, ansonten ergibt sich der Zuschlag aus der Ausprägung von Parameter Px01 wie folgt:</w:t>
      </w:r>
    </w:p>
    <w:p>
      <w:pPr>
        <w:pStyle w:val="Normal"/>
        <w:tabs>
          <w:tab w:val="left" w:pos="709" w:leader="none"/>
        </w:tabs>
        <w:rPr>
          <w:rFonts w:cs="Arial"/>
          <w:sz w:val="18"/>
          <w:szCs w:val="20"/>
        </w:rPr>
      </w:pPr>
      <w:r>
        <w:rPr>
          <w:rFonts w:cs="Arial"/>
          <w:sz w:val="18"/>
          <w:szCs w:val="2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264"/>
        <w:gridCol w:w="2297"/>
      </w:tblGrid>
      <w:tr>
        <w:trPr>
          <w:trHeight w:val="290" w:hRule="atLeast"/>
          <w:cantSplit w:val="false"/>
        </w:trPr>
        <w:tc>
          <w:tcPr>
            <w:tcW w:w="22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i/>
                <w:szCs w:val="20"/>
              </w:rPr>
            </w:pPr>
            <w:r>
              <w:rPr>
                <w:rFonts w:cs="Arial"/>
                <w:b/>
                <w:szCs w:val="20"/>
              </w:rPr>
              <w:t xml:space="preserve">Humusgehalt </w:t>
            </w:r>
            <w:r>
              <w:rPr>
                <w:rFonts w:cs="Arial"/>
                <w:szCs w:val="20"/>
              </w:rPr>
              <w:t>[%]</w:t>
            </w:r>
            <w:r>
              <w:rPr>
                <w:rFonts w:cs="Arial"/>
                <w:b/>
                <w:szCs w:val="20"/>
              </w:rPr>
              <w:t xml:space="preserve"> </w:t>
              <w:br/>
            </w:r>
            <w:r>
              <w:rPr>
                <w:rFonts w:cs="Arial"/>
                <w:i/>
                <w:szCs w:val="20"/>
              </w:rPr>
              <w:t>(Px01)</w:t>
            </w:r>
          </w:p>
        </w:tc>
        <w:tc>
          <w:tcPr>
            <w:tcW w:w="22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Zuschlag zu Cd_rel</w:t>
            </w:r>
          </w:p>
        </w:tc>
      </w:tr>
      <w:tr>
        <w:trPr>
          <w:trHeight w:val="290" w:hRule="atLeast"/>
          <w:cantSplit w:val="false"/>
        </w:trPr>
        <w:tc>
          <w:tcPr>
            <w:tcW w:w="22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&lt;2</w:t>
            </w:r>
          </w:p>
        </w:tc>
        <w:tc>
          <w:tcPr>
            <w:tcW w:w="22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0</w:t>
            </w:r>
          </w:p>
        </w:tc>
      </w:tr>
      <w:tr>
        <w:trPr>
          <w:trHeight w:val="290" w:hRule="atLeast"/>
          <w:cantSplit w:val="false"/>
        </w:trPr>
        <w:tc>
          <w:tcPr>
            <w:tcW w:w="22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2 bis &lt;8</w:t>
            </w:r>
          </w:p>
        </w:tc>
        <w:tc>
          <w:tcPr>
            <w:tcW w:w="22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+0,5</w:t>
            </w:r>
          </w:p>
        </w:tc>
      </w:tr>
      <w:tr>
        <w:trPr>
          <w:trHeight w:val="290" w:hRule="atLeast"/>
          <w:cantSplit w:val="false"/>
        </w:trPr>
        <w:tc>
          <w:tcPr>
            <w:tcW w:w="22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 xml:space="preserve">8 bis &lt;15 </w:t>
            </w:r>
          </w:p>
        </w:tc>
        <w:tc>
          <w:tcPr>
            <w:tcW w:w="22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+1,0</w:t>
            </w:r>
          </w:p>
        </w:tc>
      </w:tr>
      <w:tr>
        <w:trPr>
          <w:trHeight w:val="290" w:hRule="atLeast"/>
          <w:cantSplit w:val="false"/>
        </w:trPr>
        <w:tc>
          <w:tcPr>
            <w:tcW w:w="22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ascii="Symbol" w:hAnsi="Symbol"/>
                <w:szCs w:val="20"/>
              </w:rPr>
              <w:t></w:t>
            </w:r>
            <w:r>
              <w:rPr>
                <w:rFonts w:cs="Arial"/>
                <w:szCs w:val="20"/>
              </w:rPr>
              <w:t>15</w:t>
            </w:r>
          </w:p>
        </w:tc>
        <w:tc>
          <w:tcPr>
            <w:tcW w:w="22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+1,5</w:t>
            </w:r>
          </w:p>
        </w:tc>
      </w:tr>
    </w:tbl>
    <w:p>
      <w:pPr>
        <w:pStyle w:val="Normal"/>
        <w:rPr/>
      </w:pPr>
      <w:r>
        <w:rPr/>
      </w:r>
    </w:p>
    <w:p>
      <w:pPr>
        <w:pStyle w:val="Normal"/>
        <w:rPr/>
      </w:pPr>
      <w:r>
        <w:rPr/>
      </w:r>
    </w:p>
    <w:p>
      <w:pPr>
        <w:pStyle w:val="Normal"/>
        <w:spacing w:before="0" w:after="120"/>
        <w:rPr>
          <w:rFonts w:cs="Arial"/>
          <w:bCs/>
          <w:color w:val="000000"/>
          <w:szCs w:val="20"/>
          <w:u w:val="single"/>
        </w:rPr>
      </w:pPr>
      <w:r>
        <w:rPr>
          <w:rFonts w:cs="Arial"/>
          <w:szCs w:val="20"/>
          <w:u w:val="single"/>
        </w:rPr>
        <w:t xml:space="preserve">Schritt 3 – </w:t>
      </w:r>
      <w:r>
        <w:rPr>
          <w:rFonts w:cs="Arial"/>
          <w:bCs/>
          <w:color w:val="000000"/>
          <w:szCs w:val="20"/>
          <w:u w:val="single"/>
        </w:rPr>
        <w:t>Aufwertung der relativen Bindungsstärke für Cadmium bei tonreichen Böden</w:t>
      </w:r>
    </w:p>
    <w:p>
      <w:pPr>
        <w:pStyle w:val="Normal"/>
        <w:jc w:val="both"/>
        <w:rPr>
          <w:rFonts w:cs="Arial"/>
          <w:szCs w:val="20"/>
        </w:rPr>
      </w:pPr>
      <w:r>
        <w:rPr>
          <w:rFonts w:cs="Arial"/>
          <w:szCs w:val="20"/>
        </w:rPr>
        <w:t>Für Böden mit einem Tongehalt von mindestens 12 % ist die relative Bindungsstärke ebenfalls zu korrigieren. Bei exakt bestimmtem Tongehalt ist der Wert aus B200 heranzuziehen, falls dieser nicht bekannt ist erfolgt die Kategorisierung anhand der Bodenart (per Messung im Labor: B209, per Fingerprobe im Gelände: P140):</w:t>
      </w:r>
    </w:p>
    <w:p>
      <w:pPr>
        <w:pStyle w:val="Normal"/>
        <w:tabs>
          <w:tab w:val="left" w:pos="709" w:leader="none"/>
        </w:tabs>
        <w:rPr>
          <w:rFonts w:cs="Arial"/>
          <w:sz w:val="18"/>
          <w:szCs w:val="20"/>
        </w:rPr>
      </w:pPr>
      <w:r>
        <w:rPr>
          <w:rFonts w:cs="Arial"/>
          <w:sz w:val="18"/>
          <w:szCs w:val="2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920"/>
        <w:gridCol w:w="2488"/>
        <w:gridCol w:w="1679"/>
        <w:gridCol w:w="2273"/>
      </w:tblGrid>
      <w:tr>
        <w:trPr>
          <w:trHeight w:val="290" w:hRule="atLeast"/>
          <w:cantSplit w:val="false"/>
        </w:trPr>
        <w:tc>
          <w:tcPr>
            <w:tcW w:w="19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i/>
                <w:szCs w:val="20"/>
              </w:rPr>
            </w:pPr>
            <w:r>
              <w:rPr>
                <w:rFonts w:cs="Arial"/>
                <w:b/>
                <w:szCs w:val="20"/>
              </w:rPr>
              <w:t xml:space="preserve">Tongehalt </w:t>
            </w:r>
            <w:r>
              <w:rPr>
                <w:rFonts w:cs="Arial"/>
                <w:szCs w:val="20"/>
              </w:rPr>
              <w:t xml:space="preserve">[%] </w:t>
            </w:r>
            <w:r>
              <w:rPr>
                <w:rFonts w:cs="Arial"/>
                <w:i/>
                <w:szCs w:val="20"/>
              </w:rPr>
              <w:t>(B200)</w:t>
            </w:r>
          </w:p>
        </w:tc>
        <w:tc>
          <w:tcPr>
            <w:tcW w:w="24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b/>
                <w:szCs w:val="20"/>
              </w:rPr>
            </w:pPr>
            <w:r>
              <w:rPr>
                <w:rFonts w:cs="Arial"/>
                <w:b/>
                <w:szCs w:val="20"/>
              </w:rPr>
              <w:t>Bodenart</w:t>
            </w:r>
          </w:p>
        </w:tc>
        <w:tc>
          <w:tcPr>
            <w:tcW w:w="16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b/>
                <w:szCs w:val="20"/>
              </w:rPr>
            </w:pPr>
            <w:r>
              <w:rPr>
                <w:rFonts w:cs="Arial"/>
                <w:b/>
                <w:szCs w:val="20"/>
              </w:rPr>
              <w:t>Code P140 bzw. B209</w:t>
            </w:r>
          </w:p>
        </w:tc>
        <w:tc>
          <w:tcPr>
            <w:tcW w:w="22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Zuschlag zu Cd_rel</w:t>
            </w:r>
          </w:p>
        </w:tc>
      </w:tr>
      <w:tr>
        <w:trPr>
          <w:trHeight w:val="290" w:hRule="atLeast"/>
          <w:cantSplit w:val="false"/>
        </w:trPr>
        <w:tc>
          <w:tcPr>
            <w:tcW w:w="19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&lt;12</w:t>
            </w:r>
          </w:p>
        </w:tc>
        <w:tc>
          <w:tcPr>
            <w:tcW w:w="24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rPr>
                <w:rFonts w:cs="Arial"/>
                <w:szCs w:val="20"/>
                <w:lang w:val="de-AT"/>
              </w:rPr>
            </w:pPr>
            <w:r>
              <w:rPr>
                <w:rFonts w:cs="Arial"/>
                <w:szCs w:val="20"/>
                <w:lang w:val="de-AT"/>
              </w:rPr>
              <w:t>S, uS, sU, U, lS</w:t>
            </w:r>
          </w:p>
        </w:tc>
        <w:tc>
          <w:tcPr>
            <w:tcW w:w="16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101 bis 231</w:t>
            </w:r>
          </w:p>
        </w:tc>
        <w:tc>
          <w:tcPr>
            <w:tcW w:w="22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0</w:t>
            </w:r>
          </w:p>
        </w:tc>
      </w:tr>
      <w:tr>
        <w:trPr>
          <w:trHeight w:val="290" w:hRule="atLeast"/>
          <w:cantSplit w:val="false"/>
        </w:trPr>
        <w:tc>
          <w:tcPr>
            <w:tcW w:w="192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ascii="Symbol" w:hAnsi="Symbol"/>
                <w:szCs w:val="20"/>
              </w:rPr>
              <w:t></w:t>
            </w:r>
            <w:r>
              <w:rPr>
                <w:rFonts w:cs="Arial"/>
                <w:szCs w:val="20"/>
              </w:rPr>
              <w:t>12</w:t>
            </w:r>
          </w:p>
        </w:tc>
        <w:tc>
          <w:tcPr>
            <w:tcW w:w="24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rPr>
                <w:rFonts w:cs="Arial"/>
                <w:szCs w:val="20"/>
                <w:lang w:val="de-AT"/>
              </w:rPr>
            </w:pPr>
            <w:r>
              <w:rPr>
                <w:rFonts w:cs="Arial"/>
                <w:szCs w:val="20"/>
                <w:lang w:val="de-AT"/>
              </w:rPr>
              <w:t>lU, tS, sL, uL, L, sT, lT, T</w:t>
            </w:r>
          </w:p>
        </w:tc>
        <w:tc>
          <w:tcPr>
            <w:tcW w:w="16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3</w:t>
            </w:r>
            <w:r>
              <w:rPr>
                <w:rFonts w:cs="Arial"/>
                <w:color w:val="9900FF"/>
                <w:szCs w:val="20"/>
              </w:rPr>
              <w:t xml:space="preserve">13 </w:t>
            </w:r>
            <w:r>
              <w:rPr>
                <w:rFonts w:cs="Arial"/>
                <w:szCs w:val="20"/>
              </w:rPr>
              <w:t>bis 534</w:t>
            </w:r>
          </w:p>
        </w:tc>
        <w:tc>
          <w:tcPr>
            <w:tcW w:w="22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+0,5</w:t>
            </w:r>
          </w:p>
        </w:tc>
      </w:tr>
    </w:tbl>
    <w:p>
      <w:pPr>
        <w:pStyle w:val="Normal"/>
        <w:rPr>
          <w:rFonts w:cs="Arial"/>
          <w:szCs w:val="20"/>
        </w:rPr>
      </w:pPr>
      <w:r>
        <w:rPr>
          <w:rFonts w:cs="Arial"/>
          <w:szCs w:val="20"/>
        </w:rPr>
      </w:r>
    </w:p>
    <w:p>
      <w:pPr>
        <w:pStyle w:val="Normal"/>
        <w:rPr>
          <w:rFonts w:cs="Arial"/>
          <w:szCs w:val="20"/>
        </w:rPr>
      </w:pPr>
      <w:r>
        <w:rPr>
          <w:rFonts w:cs="Arial"/>
          <w:szCs w:val="20"/>
        </w:rPr>
      </w:r>
    </w:p>
    <w:p>
      <w:pPr>
        <w:pStyle w:val="Normal"/>
        <w:spacing w:before="0" w:after="120"/>
        <w:rPr>
          <w:rFonts w:cs="Arial"/>
          <w:bCs/>
          <w:color w:val="000000"/>
          <w:szCs w:val="20"/>
          <w:u w:val="single"/>
        </w:rPr>
      </w:pPr>
      <w:r>
        <w:rPr>
          <w:rFonts w:cs="Arial"/>
          <w:szCs w:val="20"/>
          <w:u w:val="single"/>
        </w:rPr>
        <w:t xml:space="preserve">Schritt 4 – </w:t>
      </w:r>
      <w:r>
        <w:rPr>
          <w:rFonts w:cs="Arial"/>
          <w:bCs/>
          <w:color w:val="000000"/>
          <w:szCs w:val="20"/>
          <w:u w:val="single"/>
        </w:rPr>
        <w:t>Modifikation der relativen Bindungsstärke für Cadmium nach Grobanteil des Bodens</w:t>
      </w:r>
    </w:p>
    <w:p>
      <w:pPr>
        <w:pStyle w:val="Normal"/>
        <w:jc w:val="both"/>
        <w:rPr>
          <w:rFonts w:cs="Arial"/>
          <w:szCs w:val="20"/>
        </w:rPr>
      </w:pPr>
      <w:r>
        <w:rPr>
          <w:rFonts w:cs="Arial"/>
          <w:szCs w:val="20"/>
        </w:rPr>
        <w:t>Da nur der Feinboden als Puffer fungieren kann, wird die relative Bindungsstärke um den prozentuellen Anteil des Bodenskeletts (Px02) reduziert:</w:t>
      </w:r>
    </w:p>
    <w:p>
      <w:pPr>
        <w:pStyle w:val="Normal"/>
        <w:tabs>
          <w:tab w:val="left" w:pos="3916" w:leader="none"/>
        </w:tabs>
        <w:ind w:left="1069" w:right="0" w:hanging="0"/>
        <w:rPr>
          <w:rFonts w:cs="Arial"/>
          <w:szCs w:val="20"/>
          <w:lang w:val="de-AT"/>
        </w:rPr>
      </w:pPr>
      <w:r>
        <w:rPr>
          <w:rFonts w:cs="Arial"/>
          <w:szCs w:val="20"/>
          <w:lang w:val="de-AT"/>
        </w:rPr>
      </w:r>
    </w:p>
    <w:p>
      <w:pPr>
        <w:pStyle w:val="Normal"/>
        <w:tabs>
          <w:tab w:val="left" w:pos="3916" w:leader="none"/>
        </w:tabs>
        <w:ind w:left="1069" w:right="0" w:hanging="0"/>
        <w:rPr>
          <w:rFonts w:cs="Arial"/>
          <w:szCs w:val="20"/>
          <w:lang w:val="en-GB"/>
        </w:rPr>
      </w:pPr>
      <w:r>
        <w:rPr>
          <w:rFonts w:cs="Arial"/>
          <w:szCs w:val="20"/>
          <w:lang w:val="en-GB"/>
        </w:rPr>
        <w:t>Cd_rel_mod = Cd_rel * (100 - Px02) / 100</w:t>
      </w:r>
    </w:p>
    <w:p>
      <w:pPr>
        <w:pStyle w:val="Normal"/>
        <w:tabs>
          <w:tab w:val="left" w:pos="709" w:leader="none"/>
        </w:tabs>
        <w:rPr>
          <w:rFonts w:cs="Arial"/>
          <w:sz w:val="18"/>
          <w:szCs w:val="20"/>
          <w:lang w:val="en-GB"/>
        </w:rPr>
      </w:pPr>
      <w:r>
        <w:rPr>
          <w:rFonts w:cs="Arial"/>
          <w:sz w:val="18"/>
          <w:szCs w:val="20"/>
          <w:lang w:val="en-GB"/>
        </w:rPr>
      </w:r>
    </w:p>
    <w:p>
      <w:pPr>
        <w:pStyle w:val="Normal"/>
        <w:spacing w:before="0" w:after="120"/>
        <w:rPr>
          <w:rFonts w:cs="Arial"/>
          <w:szCs w:val="20"/>
          <w:u w:val="single"/>
        </w:rPr>
      </w:pPr>
      <w:r>
        <w:rPr>
          <w:rFonts w:cs="Arial"/>
          <w:szCs w:val="20"/>
          <w:u w:val="single"/>
        </w:rPr>
      </w:r>
    </w:p>
    <w:p>
      <w:pPr>
        <w:pStyle w:val="Normal"/>
        <w:spacing w:before="0" w:after="120"/>
        <w:rPr>
          <w:rFonts w:cs="Arial"/>
          <w:bCs/>
          <w:color w:val="000000"/>
          <w:szCs w:val="20"/>
          <w:u w:val="single"/>
        </w:rPr>
      </w:pPr>
      <w:r>
        <w:rPr>
          <w:rFonts w:cs="Arial"/>
          <w:szCs w:val="20"/>
          <w:u w:val="single"/>
        </w:rPr>
        <w:t xml:space="preserve">Schritt 5 – </w:t>
      </w:r>
      <w:r>
        <w:rPr>
          <w:rFonts w:cs="Arial"/>
          <w:bCs/>
          <w:color w:val="000000"/>
          <w:szCs w:val="20"/>
          <w:u w:val="single"/>
        </w:rPr>
        <w:t>Bestimmung der relativen Bindungsstärke für Cadmium für das Gesamtprofil</w:t>
      </w:r>
    </w:p>
    <w:p>
      <w:pPr>
        <w:pStyle w:val="Normal"/>
        <w:jc w:val="both"/>
        <w:rPr>
          <w:rFonts w:cs="Arial"/>
          <w:szCs w:val="20"/>
        </w:rPr>
      </w:pPr>
      <w:r>
        <w:rPr>
          <w:rFonts w:cs="Arial"/>
          <w:szCs w:val="20"/>
        </w:rPr>
        <w:t>Die Bewertungsschritte 1 bis 4 werden für alle relevanten Horizonte im Profil durchgeführt (idR. bis zur Bewertungstiefe von 100 cm; davon ausgenommen sind grundwasserbeeinflusste Böden, die bis zur Obergrenze des Gr- bzw. G2-Horizontes oder – falls bekannt – bis zur in S153 angegebenen Tiefe des Grundwasserspiegels bewertet werden).</w:t>
      </w:r>
    </w:p>
    <w:p>
      <w:pPr>
        <w:pStyle w:val="Normal"/>
        <w:jc w:val="both"/>
        <w:rPr>
          <w:rFonts w:cs="Arial"/>
          <w:szCs w:val="20"/>
        </w:rPr>
      </w:pPr>
      <w:r>
        <w:rPr>
          <w:rFonts w:cs="Arial"/>
          <w:szCs w:val="20"/>
        </w:rPr>
        <w:t xml:space="preserve">Anschließend werden die horizontbezogenen Werte gewichtet nach der jeweiligen Mächtigkeit der Horizonte 1 bis </w:t>
      </w:r>
      <w:r>
        <w:rPr>
          <w:rFonts w:cs="Arial"/>
          <w:i/>
          <w:szCs w:val="20"/>
        </w:rPr>
        <w:t>n</w:t>
      </w:r>
      <w:r>
        <w:rPr>
          <w:rFonts w:cs="Arial"/>
          <w:szCs w:val="20"/>
        </w:rPr>
        <w:t xml:space="preserve"> aufsummiert.</w:t>
      </w:r>
    </w:p>
    <w:p>
      <w:pPr>
        <w:pStyle w:val="Normal"/>
        <w:tabs>
          <w:tab w:val="left" w:pos="4996" w:leader="none"/>
        </w:tabs>
        <w:ind w:left="1429" w:right="0" w:hanging="360"/>
        <w:rPr>
          <w:rFonts w:cs="Arial"/>
          <w:sz w:val="18"/>
          <w:szCs w:val="20"/>
        </w:rPr>
      </w:pPr>
      <w:r>
        <w:rPr>
          <w:rFonts w:cs="Arial"/>
          <w:sz w:val="18"/>
          <w:szCs w:val="20"/>
        </w:rPr>
      </w:r>
    </w:p>
    <w:p>
      <w:pPr>
        <w:pStyle w:val="Normal"/>
        <w:tabs>
          <w:tab w:val="left" w:pos="3916" w:leader="none"/>
        </w:tabs>
        <w:ind w:left="1069" w:right="0" w:hanging="0"/>
        <w:jc w:val="both"/>
        <w:rPr>
          <w:rFonts w:cs="Arial"/>
          <w:szCs w:val="20"/>
        </w:rPr>
      </w:pPr>
      <w:r>
        <w:rPr>
          <w:rFonts w:cs="Arial"/>
          <w:szCs w:val="20"/>
        </w:rPr>
        <w:t>Cd_rel_ges = Σ (Cd_rel_mod (</w:t>
      </w:r>
      <w:r>
        <w:rPr>
          <w:rFonts w:cs="Arial"/>
          <w:i/>
          <w:iCs/>
          <w:szCs w:val="20"/>
        </w:rPr>
        <w:t>n</w:t>
      </w:r>
      <w:r>
        <w:rPr>
          <w:rFonts w:cs="Arial"/>
          <w:iCs/>
          <w:szCs w:val="20"/>
        </w:rPr>
        <w:t>)</w:t>
      </w:r>
      <w:r>
        <w:rPr>
          <w:rFonts w:cs="Arial"/>
          <w:szCs w:val="20"/>
        </w:rPr>
        <w:t xml:space="preserve"> * Mächtigkeit (</w:t>
      </w:r>
      <w:r>
        <w:rPr>
          <w:rFonts w:cs="Arial"/>
          <w:i/>
          <w:iCs/>
          <w:szCs w:val="20"/>
        </w:rPr>
        <w:t>n</w:t>
      </w:r>
      <w:r>
        <w:rPr>
          <w:rFonts w:cs="Arial"/>
          <w:szCs w:val="20"/>
        </w:rPr>
        <w:t xml:space="preserve">) [cm] / 100)  </w:t>
      </w:r>
    </w:p>
    <w:p>
      <w:pPr>
        <w:pStyle w:val="Normal"/>
        <w:tabs>
          <w:tab w:val="left" w:pos="3916" w:leader="none"/>
        </w:tabs>
        <w:ind w:left="1069" w:right="0" w:hanging="0"/>
        <w:jc w:val="both"/>
        <w:rPr>
          <w:rFonts w:cs="Arial"/>
          <w:sz w:val="18"/>
          <w:szCs w:val="20"/>
        </w:rPr>
      </w:pPr>
      <w:r>
        <w:rPr>
          <w:rFonts w:cs="Arial"/>
          <w:sz w:val="18"/>
          <w:szCs w:val="20"/>
        </w:rPr>
      </w:r>
    </w:p>
    <w:p>
      <w:pPr>
        <w:pStyle w:val="Normal"/>
        <w:tabs>
          <w:tab w:val="left" w:pos="3916" w:leader="none"/>
        </w:tabs>
        <w:ind w:left="1069" w:right="0" w:hanging="0"/>
        <w:jc w:val="both"/>
        <w:rPr>
          <w:rFonts w:cs="Arial"/>
          <w:sz w:val="18"/>
          <w:szCs w:val="20"/>
        </w:rPr>
      </w:pPr>
      <w:r>
        <w:rPr>
          <w:rFonts w:cs="Arial"/>
          <w:sz w:val="18"/>
          <w:szCs w:val="20"/>
        </w:rPr>
      </w:r>
    </w:p>
    <w:p>
      <w:pPr>
        <w:pStyle w:val="Normal"/>
        <w:spacing w:before="0" w:after="120"/>
        <w:rPr>
          <w:rFonts w:cs="Arial"/>
          <w:bCs/>
          <w:color w:val="000000"/>
          <w:szCs w:val="20"/>
          <w:u w:val="single"/>
        </w:rPr>
      </w:pPr>
      <w:r>
        <w:rPr>
          <w:rFonts w:cs="Arial"/>
          <w:szCs w:val="20"/>
          <w:u w:val="single"/>
        </w:rPr>
        <w:t xml:space="preserve">Schritt 6 – </w:t>
      </w:r>
      <w:r>
        <w:rPr>
          <w:rFonts w:cs="Arial"/>
          <w:bCs/>
          <w:color w:val="000000"/>
          <w:szCs w:val="20"/>
          <w:u w:val="single"/>
        </w:rPr>
        <w:t xml:space="preserve">Gesamtbewertung </w:t>
      </w:r>
    </w:p>
    <w:p>
      <w:pPr>
        <w:pStyle w:val="Normal"/>
        <w:jc w:val="both"/>
        <w:rPr>
          <w:rFonts w:cs="Arial"/>
          <w:szCs w:val="20"/>
        </w:rPr>
      </w:pPr>
      <w:r>
        <w:rPr>
          <w:rFonts w:cs="Arial"/>
          <w:szCs w:val="20"/>
        </w:rPr>
        <w:t>Zur Gesamtbewertung des Filter- und Pufferpotenzials für Schwermetalle wird die relative Bindungs</w:t>
        <w:softHyphen/>
        <w:t>stärke für Cadmium für das Gesamtprofil (Schritt 5) gemäß folgender Tabelle kategorisiert:</w:t>
      </w:r>
    </w:p>
    <w:p>
      <w:pPr>
        <w:pStyle w:val="Normal"/>
        <w:tabs>
          <w:tab w:val="left" w:pos="3916" w:leader="none"/>
        </w:tabs>
        <w:ind w:left="1069" w:right="0" w:hanging="0"/>
        <w:rPr>
          <w:rFonts w:cs="Arial"/>
          <w:sz w:val="18"/>
          <w:szCs w:val="20"/>
        </w:rPr>
      </w:pPr>
      <w:r>
        <w:rPr>
          <w:rFonts w:cs="Arial"/>
          <w:sz w:val="18"/>
          <w:szCs w:val="2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268"/>
        <w:gridCol w:w="2268"/>
      </w:tblGrid>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i/>
                <w:szCs w:val="20"/>
              </w:rPr>
            </w:pPr>
            <w:r>
              <w:rPr>
                <w:rFonts w:cs="Arial"/>
                <w:b/>
                <w:szCs w:val="20"/>
              </w:rPr>
              <w:t>rel. Bindungsstärke</w:t>
              <w:br/>
            </w:r>
            <w:r>
              <w:rPr>
                <w:rFonts w:cs="Arial"/>
                <w:i/>
                <w:szCs w:val="20"/>
              </w:rPr>
              <w:t>(Schritt 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Bewertung</w:t>
            </w:r>
          </w:p>
          <w:p>
            <w:pPr>
              <w:pStyle w:val="Normal"/>
              <w:spacing w:before="60" w:after="60"/>
              <w:jc w:val="center"/>
              <w:rPr>
                <w:rFonts w:cs="Arial"/>
                <w:b/>
                <w:szCs w:val="20"/>
              </w:rPr>
            </w:pPr>
            <w:r>
              <w:rPr>
                <w:rFonts w:cs="Arial"/>
                <w:b/>
                <w:szCs w:val="20"/>
              </w:rPr>
              <w:t>FiltPuff</w:t>
            </w:r>
          </w:p>
        </w:tc>
      </w:tr>
      <w:tr>
        <w:trPr>
          <w:trHeight w:val="40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ascii="Symbol" w:hAnsi="Symbol"/>
                <w:bCs/>
                <w:szCs w:val="20"/>
              </w:rPr>
              <w:t></w:t>
            </w:r>
            <w:r>
              <w:rPr>
                <w:rFonts w:cs="Arial"/>
                <w:szCs w:val="20"/>
              </w:rPr>
              <w:t>4,5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1</w:t>
            </w:r>
          </w:p>
        </w:tc>
      </w:tr>
      <w:tr>
        <w:trPr>
          <w:trHeight w:val="40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3,5 bis &lt;4,5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2</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2,5 bis &lt;3,5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3</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1,5 bis &lt;2,5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4</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&lt;1,5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5</w:t>
            </w:r>
          </w:p>
        </w:tc>
      </w:tr>
    </w:tbl>
    <w:p>
      <w:pPr>
        <w:pStyle w:val="Normal"/>
        <w:tabs>
          <w:tab w:val="left" w:pos="3916" w:leader="none"/>
        </w:tabs>
        <w:ind w:left="1069" w:right="0" w:hanging="0"/>
        <w:rPr/>
      </w:pPr>
      <w:r>
        <w:rPr/>
      </w:r>
    </w:p>
    <w:p>
      <w:pPr>
        <w:pStyle w:val="Normal"/>
        <w:rPr>
          <w:rFonts w:cs="Arial"/>
          <w:b/>
          <w:i/>
          <w:szCs w:val="20"/>
        </w:rPr>
      </w:pPr>
      <w:r>
        <w:rPr>
          <w:rFonts w:cs="Arial"/>
          <w:b/>
          <w:i/>
          <w:szCs w:val="20"/>
        </w:rPr>
        <w:tab/>
      </w:r>
    </w:p>
    <w:p>
      <w:pPr>
        <w:pStyle w:val="Heading3"/>
        <w:pageBreakBefore/>
        <w:rPr>
          <w:szCs w:val="20"/>
        </w:rPr>
      </w:pPr>
      <w:r>
        <w:rPr/>
        <w:t xml:space="preserve">1d.2) </w:t>
      </w:r>
      <w:r>
        <w:rPr>
          <w:szCs w:val="20"/>
        </w:rPr>
        <w:t>Transformationspotenzial (Abbaupotenzial) für organische Schadstoffe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pH-Wert (P149 oder B105)</w:t>
      </w:r>
    </w:p>
    <w:p>
      <w:pPr>
        <w:pStyle w:val="Normal"/>
        <w:ind w:left="142" w:right="0" w:hanging="0"/>
        <w:rPr>
          <w:rFonts w:cs="Arial"/>
          <w:i/>
          <w:szCs w:val="20"/>
        </w:rPr>
      </w:pPr>
      <w:r>
        <w:rPr>
          <w:rFonts w:cs="Arial"/>
          <w:i/>
          <w:szCs w:val="20"/>
        </w:rPr>
        <w:t>Humusform (P151)</w:t>
      </w:r>
    </w:p>
    <w:p>
      <w:pPr>
        <w:pStyle w:val="Normal"/>
        <w:ind w:left="142" w:right="0" w:hanging="0"/>
        <w:rPr>
          <w:rFonts w:cs="Arial"/>
          <w:i/>
          <w:szCs w:val="20"/>
        </w:rPr>
      </w:pPr>
      <w:r>
        <w:rPr>
          <w:rFonts w:cs="Arial"/>
          <w:i/>
          <w:szCs w:val="20"/>
        </w:rPr>
        <w:t>Humusgehalt (Px01)</w:t>
      </w:r>
    </w:p>
    <w:p>
      <w:pPr>
        <w:pStyle w:val="Normal"/>
        <w:ind w:left="142" w:right="0" w:hanging="0"/>
        <w:rPr>
          <w:rFonts w:cs="Arial"/>
          <w:i/>
          <w:szCs w:val="20"/>
        </w:rPr>
      </w:pPr>
      <w:r>
        <w:rPr>
          <w:rFonts w:cs="Arial"/>
          <w:i/>
          <w:szCs w:val="20"/>
        </w:rPr>
        <w:t>Feinbodenmenge (Px04)</w:t>
      </w:r>
    </w:p>
    <w:p>
      <w:pPr>
        <w:pStyle w:val="Normal"/>
        <w:ind w:left="142" w:right="0" w:hanging="0"/>
        <w:rPr>
          <w:rFonts w:cs="Arial"/>
          <w:i/>
          <w:szCs w:val="20"/>
        </w:rPr>
      </w:pPr>
      <w:r>
        <w:rPr>
          <w:rFonts w:cs="Arial"/>
          <w:i/>
          <w:szCs w:val="20"/>
        </w:rPr>
        <w:t>Tonmenge (Px05)</w:t>
      </w:r>
    </w:p>
    <w:p>
      <w:pPr>
        <w:pStyle w:val="Normal"/>
        <w:ind w:left="142" w:right="0" w:hanging="0"/>
        <w:rPr>
          <w:rFonts w:cs="Arial"/>
          <w:i/>
          <w:szCs w:val="20"/>
        </w:rPr>
      </w:pPr>
      <w:r>
        <w:rPr>
          <w:rFonts w:cs="Arial"/>
          <w:i/>
          <w:szCs w:val="20"/>
        </w:rPr>
        <w:t>Humusmenge (Px06)</w:t>
      </w:r>
    </w:p>
    <w:p>
      <w:pPr>
        <w:pStyle w:val="Normal"/>
        <w:rPr>
          <w:rFonts w:cs="Arial"/>
          <w:i/>
          <w:szCs w:val="20"/>
        </w:rPr>
      </w:pPr>
      <w:r>
        <w:rPr>
          <w:rFonts w:cs="Arial"/>
          <w:i/>
          <w:szCs w:val="20"/>
        </w:rPr>
      </w:r>
    </w:p>
    <w:p>
      <w:pPr>
        <w:pStyle w:val="Normal"/>
        <w:rPr>
          <w:rFonts w:cs="Arial"/>
          <w:i/>
          <w:szCs w:val="20"/>
        </w:rPr>
      </w:pPr>
      <w:r>
        <w:rPr>
          <w:rFonts w:cs="Arial"/>
          <w:b/>
          <w:i/>
          <w:szCs w:val="20"/>
          <w:lang w:val="de-AT"/>
        </w:rPr>
        <w:t>Methodik:</w:t>
      </w:r>
      <w:r>
        <w:rPr>
          <w:rFonts w:cs="Arial"/>
          <w:i/>
          <w:szCs w:val="20"/>
          <w:lang w:val="de-AT"/>
        </w:rPr>
        <w:t xml:space="preserve"> </w:t>
      </w:r>
      <w:r>
        <w:rPr>
          <w:rFonts w:cs="Arial"/>
          <w:i/>
          <w:szCs w:val="20"/>
        </w:rPr>
        <w:t>Umweltministerium Baden-Württemberg (1995: 27ff.) – modifiziert</w:t>
      </w:r>
    </w:p>
    <w:p>
      <w:pPr>
        <w:pStyle w:val="Normal"/>
        <w:jc w:val="both"/>
        <w:rPr/>
      </w:pPr>
      <w:r>
        <w:rPr/>
      </w:r>
    </w:p>
    <w:p>
      <w:pPr>
        <w:pStyle w:val="Normal"/>
        <w:jc w:val="both"/>
        <w:rPr>
          <w:rFonts w:cs="Arial"/>
          <w:szCs w:val="20"/>
        </w:rPr>
      </w:pPr>
      <w:r>
        <w:rPr>
          <w:rFonts w:cs="Arial"/>
          <w:szCs w:val="20"/>
        </w:rPr>
        <w:t>Organische Schadstoffe im Boden werden zu einem geringen Teil von Säuren, zum weitaus größeren Teil jedoch von Mikroorganismen zersetzt und abgebaut. Da das Potenzial für mikrobiellen Abbau mit zunehmender biologischer Aktivität im Oberboden steigt kann die Bewertung des Transformations</w:t>
        <w:softHyphen/>
        <w:t>potenzials indirekt anhand einer Beurteilung der Lebensbedingungen für Bodenmikroorganismen erfolgen.</w:t>
      </w:r>
    </w:p>
    <w:p>
      <w:pPr>
        <w:pStyle w:val="Normal"/>
        <w:jc w:val="both"/>
        <w:rPr>
          <w:rFonts w:cs="Arial"/>
          <w:szCs w:val="20"/>
        </w:rPr>
      </w:pPr>
      <w:r>
        <w:rPr>
          <w:rFonts w:cs="Arial"/>
          <w:szCs w:val="20"/>
        </w:rPr>
        <w:t>Diese Lebensbedingungen hängen von verschiedenen Faktoren wie z.B. Temperatur, Feuchtigkeit, Acidität (pH-Wert) und Humusgehalt sowie Bodenart, Struktur und Porösität im Hinblick auf die Luft- und Wasserversorgung des Bodens ab. Wie in 1a.3 („Lebensraum für Bodenmikroorganismen“) bereits erwähnt gibt es bislang nur erste Ansätze zur Bewertung dieses Potenzials. In einigen, in der Praxis bereits verwendeten Methoden wird als integrierendes Kriterium und Indikator für den bodenbiologischen Zustand die Humusform betrachtet (vgl. Hochfeld et al. 2003: 17, 67f.). Aus der Humusform können Rückschlüsse darauf gezogen werden, wie schnell organische Substanz umgesetzt und eingearbeitet wird. Im vorliegenden Verfahren (vgl. Umweltministerium Baden-Württemberg 1995: 27ff.)</w:t>
      </w:r>
      <w:r>
        <w:rPr>
          <w:rFonts w:cs="Arial"/>
          <w:i/>
          <w:szCs w:val="20"/>
        </w:rPr>
        <w:t xml:space="preserve"> </w:t>
      </w:r>
      <w:r>
        <w:rPr>
          <w:rFonts w:cs="Arial"/>
          <w:szCs w:val="20"/>
        </w:rPr>
        <w:t>wird die Humusform ebenfalls als zentrales Bewertungskriterium verwendet.</w:t>
      </w:r>
    </w:p>
    <w:p>
      <w:pPr>
        <w:pStyle w:val="Normal"/>
        <w:jc w:val="both"/>
        <w:rPr>
          <w:szCs w:val="20"/>
        </w:rPr>
      </w:pPr>
      <w:r>
        <w:rPr>
          <w:szCs w:val="20"/>
        </w:rPr>
      </w:r>
    </w:p>
    <w:p>
      <w:pPr>
        <w:pStyle w:val="Normal"/>
        <w:jc w:val="both"/>
        <w:rPr>
          <w:szCs w:val="20"/>
        </w:rPr>
      </w:pPr>
      <w:r>
        <w:rPr>
          <w:szCs w:val="20"/>
        </w:rPr>
        <w:t xml:space="preserve">Für die Beurteilung in Planungsverfahren spielt diese Potenzialbewertung besonders dann eine Rolle, wenn über Pläne / Projekte entschieden werden soll, von denen eine Emission organischer Schadstoffe zu erwarten ist (z.B. Straßenverkehr, bestimmte Industriezweige). Das hier beschriebene Verfahren ist aufgrund der mangelnden Differenzierung nach Stoffgruppen allerdings nur für eine grobe Einschätzung der grundsätzlichen Fähigkeit eines Bodens, organische Schadstoffe abzubauen, zu verwenden. </w:t>
      </w:r>
    </w:p>
    <w:p>
      <w:pPr>
        <w:pStyle w:val="Normal"/>
        <w:jc w:val="both"/>
        <w:rPr>
          <w:szCs w:val="20"/>
        </w:rPr>
      </w:pPr>
      <w:r>
        <w:rPr>
          <w:szCs w:val="20"/>
        </w:rPr>
      </w:r>
    </w:p>
    <w:p>
      <w:pPr>
        <w:pStyle w:val="Normal"/>
        <w:jc w:val="both"/>
        <w:rPr>
          <w:i/>
          <w:szCs w:val="20"/>
        </w:rPr>
      </w:pPr>
      <w:r>
        <w:rPr>
          <w:i/>
          <w:szCs w:val="20"/>
        </w:rPr>
        <w:t>Anm.: Das in Müller (2004: 289ff., VKR 6.7.1.2.) beschriebene, detailliertere Verfahren nach Litz &amp; Blume (1989) wird nicht umgesetzt, da darin zwar nach rund 50 verschiedenen Stoffen unterschieden wird, jedoch keine Differenzierung nach Bodeneigenschaften (Ton- und Humusgehalt bzw. pH-Wert) stattfindet. Für den Abbau wird ein „normaler Ackerboden (lockere, feuchte lehmige Krume mit 2 bis 4 % Humus und pH 5.5 bis 6.5 sowie eine mittlere Lufttemperatur von 11 bis 16 °C)“ betrachtet (Müller 2004: 293). Allerdings wird empfohlen, die dortigen Angaben für eine vergleichende Beurteilung heranzuziehen, falls in einem konkreten Planungsverfahren die potenziell emittierten Stoffgruppen bekannt sind.</w:t>
      </w:r>
    </w:p>
    <w:p>
      <w:pPr>
        <w:pStyle w:val="Normal"/>
        <w:jc w:val="both"/>
        <w:rPr/>
      </w:pPr>
      <w:r>
        <w:rPr/>
      </w:r>
    </w:p>
    <w:p>
      <w:pPr>
        <w:pStyle w:val="Normal"/>
        <w:spacing w:before="0" w:after="120"/>
        <w:rPr>
          <w:rFonts w:cs="Arial"/>
          <w:bCs/>
          <w:color w:val="000000"/>
          <w:szCs w:val="20"/>
          <w:u w:val="single"/>
        </w:rPr>
      </w:pPr>
      <w:r>
        <w:rPr>
          <w:rFonts w:cs="Arial"/>
          <w:szCs w:val="20"/>
          <w:u w:val="single"/>
        </w:rPr>
        <w:t xml:space="preserve">Schritt 1 – </w:t>
      </w:r>
      <w:r>
        <w:rPr>
          <w:rFonts w:cs="Arial"/>
          <w:bCs/>
          <w:color w:val="000000"/>
          <w:szCs w:val="20"/>
          <w:u w:val="single"/>
        </w:rPr>
        <w:t>Berechnung der Humusmenge im Oberboden (HM_ges)</w:t>
      </w:r>
    </w:p>
    <w:p>
      <w:pPr>
        <w:pStyle w:val="Normal"/>
        <w:jc w:val="both"/>
        <w:rPr>
          <w:rFonts w:cs="Arial"/>
          <w:szCs w:val="20"/>
        </w:rPr>
      </w:pPr>
      <w:r>
        <w:rPr>
          <w:rFonts w:cs="Arial"/>
          <w:szCs w:val="20"/>
        </w:rPr>
        <w:t>Die in Px06 für jeden Horizont ermittelte Humusmenge in kg/m² wird für alle Horizonte aufsummiert, die eines der beiden folgenden Kriterien erfüllen:</w:t>
      </w:r>
    </w:p>
    <w:p>
      <w:pPr>
        <w:pStyle w:val="ListParagraph"/>
        <w:numPr>
          <w:ilvl w:val="0"/>
          <w:numId w:val="5"/>
        </w:numPr>
        <w:jc w:val="both"/>
        <w:rPr>
          <w:rFonts w:cs="Arial"/>
          <w:szCs w:val="20"/>
        </w:rPr>
      </w:pPr>
      <w:r>
        <w:rPr>
          <w:rFonts w:cs="Arial"/>
          <w:szCs w:val="20"/>
        </w:rPr>
        <w:t>Horizontbezeichnung = „O“, „H“ oder „A“ (mit beliebigem Pre- und Suffix)</w:t>
      </w:r>
    </w:p>
    <w:p>
      <w:pPr>
        <w:pStyle w:val="ListParagraph"/>
        <w:numPr>
          <w:ilvl w:val="0"/>
          <w:numId w:val="5"/>
        </w:numPr>
        <w:jc w:val="both"/>
        <w:rPr>
          <w:rFonts w:cs="Arial"/>
          <w:szCs w:val="20"/>
        </w:rPr>
      </w:pPr>
      <w:r>
        <w:rPr>
          <w:rFonts w:cs="Arial"/>
          <w:szCs w:val="20"/>
        </w:rPr>
        <w:t>Humusgehalt (Px01) von mehr als 2,0 % (</w:t>
      </w:r>
      <w:r>
        <w:rPr>
          <w:rFonts w:cs="Arial"/>
          <w:i/>
          <w:szCs w:val="20"/>
        </w:rPr>
        <w:t>Einschränkung: bei Grundwassereinfluss werden jedenfalls nur Horizonte oberhalb von Gr/G2, bei Stauwassereinfluss oberhalb von Sd/S berücksichtigt</w:t>
      </w:r>
      <w:r>
        <w:rPr>
          <w:rFonts w:cs="Arial"/>
          <w:szCs w:val="20"/>
        </w:rPr>
        <w:t>)</w:t>
      </w:r>
    </w:p>
    <w:p>
      <w:pPr>
        <w:pStyle w:val="ListParagraph"/>
        <w:jc w:val="both"/>
        <w:rPr>
          <w:rFonts w:cs="Arial"/>
          <w:szCs w:val="20"/>
        </w:rPr>
      </w:pPr>
      <w:r>
        <w:rPr>
          <w:rFonts w:cs="Arial"/>
          <w:szCs w:val="20"/>
        </w:rPr>
      </w:r>
    </w:p>
    <w:p>
      <w:pPr>
        <w:pStyle w:val="Normal"/>
        <w:spacing w:before="0" w:after="120"/>
        <w:rPr>
          <w:rFonts w:cs="Arial"/>
          <w:bCs/>
          <w:color w:val="000000"/>
          <w:szCs w:val="20"/>
          <w:u w:val="single"/>
        </w:rPr>
      </w:pPr>
      <w:r>
        <w:rPr>
          <w:rFonts w:cs="Arial"/>
          <w:szCs w:val="20"/>
          <w:u w:val="single"/>
        </w:rPr>
        <w:t xml:space="preserve">Schritt 2 – </w:t>
      </w:r>
      <w:r>
        <w:rPr>
          <w:rFonts w:cs="Arial"/>
          <w:bCs/>
          <w:color w:val="000000"/>
          <w:szCs w:val="20"/>
          <w:u w:val="single"/>
        </w:rPr>
        <w:t>Berechnung der Tonmenge im Oberboden (TM_ges)</w:t>
      </w:r>
    </w:p>
    <w:p>
      <w:pPr>
        <w:pStyle w:val="Normal"/>
        <w:jc w:val="both"/>
        <w:rPr>
          <w:rFonts w:cs="Arial"/>
          <w:szCs w:val="20"/>
        </w:rPr>
      </w:pPr>
      <w:r>
        <w:rPr>
          <w:rFonts w:cs="Arial"/>
          <w:szCs w:val="20"/>
        </w:rPr>
        <w:t>Die in Px05 für jeden Horizont ermittelte Tonmenge in kg/m² wird für alle Horizonte aufsummiert, die auch in Schritt 1 berücksichtigt wurden.</w:t>
      </w:r>
    </w:p>
    <w:p>
      <w:pPr>
        <w:pStyle w:val="ListParagraph"/>
        <w:jc w:val="both"/>
        <w:rPr>
          <w:rFonts w:cs="Arial"/>
          <w:szCs w:val="20"/>
        </w:rPr>
      </w:pPr>
      <w:r>
        <w:rPr>
          <w:rFonts w:cs="Arial"/>
          <w:szCs w:val="20"/>
        </w:rPr>
      </w:r>
    </w:p>
    <w:p>
      <w:pPr>
        <w:pStyle w:val="Normal"/>
        <w:spacing w:before="0" w:after="120"/>
        <w:rPr>
          <w:rFonts w:cs="Arial"/>
          <w:bCs/>
          <w:color w:val="000000"/>
          <w:szCs w:val="20"/>
          <w:u w:val="single"/>
        </w:rPr>
      </w:pPr>
      <w:r>
        <w:rPr>
          <w:rFonts w:cs="Arial"/>
          <w:szCs w:val="20"/>
          <w:u w:val="single"/>
        </w:rPr>
        <w:t xml:space="preserve">Schritt 3 – </w:t>
      </w:r>
      <w:r>
        <w:rPr>
          <w:rFonts w:cs="Arial"/>
          <w:bCs/>
          <w:color w:val="000000"/>
          <w:szCs w:val="20"/>
          <w:u w:val="single"/>
        </w:rPr>
        <w:t>Berechnung des mittleren pH-Wertes im Oberboden (pH_mitt)</w:t>
      </w:r>
    </w:p>
    <w:p>
      <w:pPr>
        <w:pStyle w:val="Normal"/>
        <w:jc w:val="both"/>
        <w:rPr>
          <w:rFonts w:cs="Arial"/>
          <w:szCs w:val="20"/>
        </w:rPr>
      </w:pPr>
      <w:r>
        <w:rPr>
          <w:rFonts w:cs="Arial"/>
          <w:szCs w:val="20"/>
        </w:rPr>
        <w:t>Für den pH-Wert können entweder exakte Labormesswerte (B105) oder – falls diese nicht verfügbar sind – näherungsweise im Feld erhobene Werte (P149) verwendet werden. Wurde in den Bewertungs</w:t>
        <w:softHyphen/>
        <w:t xml:space="preserve">schritten 1 und 2 mehr als ein Oberbodenhorizont berücksichtigt, so ist der pH-Wert für diese </w:t>
      </w:r>
      <w:r>
        <w:rPr>
          <w:rFonts w:cs="Arial"/>
          <w:i/>
          <w:szCs w:val="20"/>
        </w:rPr>
        <w:t>n</w:t>
      </w:r>
      <w:r>
        <w:rPr>
          <w:rFonts w:cs="Arial"/>
          <w:szCs w:val="20"/>
        </w:rPr>
        <w:t xml:space="preserve"> Horizonte gewichtet nach ihrer Feinbodenmenge (Px04) zu mitteln: </w:t>
      </w:r>
    </w:p>
    <w:p>
      <w:pPr>
        <w:pStyle w:val="Normal"/>
        <w:tabs>
          <w:tab w:val="left" w:pos="3916" w:leader="none"/>
        </w:tabs>
        <w:ind w:left="1069" w:right="0" w:hanging="0"/>
        <w:jc w:val="both"/>
        <w:rPr>
          <w:rFonts w:cs="Arial"/>
          <w:szCs w:val="20"/>
        </w:rPr>
      </w:pPr>
      <w:r>
        <w:rPr>
          <w:rFonts w:cs="Arial"/>
          <w:szCs w:val="20"/>
        </w:rPr>
      </w:r>
    </w:p>
    <w:p>
      <w:pPr>
        <w:pStyle w:val="Normal"/>
        <w:tabs>
          <w:tab w:val="left" w:pos="3916" w:leader="none"/>
        </w:tabs>
        <w:ind w:left="1069" w:right="0" w:hanging="0"/>
        <w:jc w:val="both"/>
        <w:rPr>
          <w:rFonts w:cs="Arial"/>
          <w:szCs w:val="20"/>
        </w:rPr>
      </w:pPr>
      <w:r>
        <w:rPr>
          <w:rFonts w:cs="Arial"/>
          <w:szCs w:val="20"/>
        </w:rPr>
        <w:t>pH_mitt = Σ (FB (</w:t>
      </w:r>
      <w:r>
        <w:rPr>
          <w:rFonts w:cs="Arial"/>
          <w:i/>
          <w:iCs/>
          <w:szCs w:val="20"/>
        </w:rPr>
        <w:t>n</w:t>
      </w:r>
      <w:r>
        <w:rPr>
          <w:rFonts w:cs="Arial"/>
          <w:iCs/>
          <w:szCs w:val="20"/>
        </w:rPr>
        <w:t>)</w:t>
      </w:r>
      <w:r>
        <w:rPr>
          <w:rFonts w:cs="Arial"/>
          <w:szCs w:val="20"/>
        </w:rPr>
        <w:t xml:space="preserve"> / FB_</w:t>
      </w:r>
      <w:r>
        <w:rPr>
          <w:rFonts w:cs="Arial"/>
          <w:color w:val="9900FF"/>
          <w:szCs w:val="20"/>
        </w:rPr>
        <w:t>Oberboden</w:t>
      </w:r>
      <w:r>
        <w:rPr>
          <w:rFonts w:cs="Arial"/>
          <w:szCs w:val="20"/>
        </w:rPr>
        <w:t xml:space="preserve"> * pH (</w:t>
      </w:r>
      <w:r>
        <w:rPr>
          <w:rFonts w:cs="Arial"/>
          <w:i/>
          <w:szCs w:val="20"/>
        </w:rPr>
        <w:t>n</w:t>
      </w:r>
      <w:r>
        <w:rPr>
          <w:rFonts w:cs="Arial"/>
          <w:szCs w:val="20"/>
        </w:rPr>
        <w:t xml:space="preserve">))  </w:t>
      </w:r>
    </w:p>
    <w:p>
      <w:pPr>
        <w:pStyle w:val="Normal"/>
        <w:tabs>
          <w:tab w:val="left" w:pos="3916" w:leader="none"/>
        </w:tabs>
        <w:ind w:left="1069" w:right="0" w:hanging="0"/>
        <w:jc w:val="both"/>
        <w:rPr>
          <w:rFonts w:cs="Arial"/>
          <w:szCs w:val="20"/>
        </w:rPr>
      </w:pPr>
      <w:r>
        <w:rPr>
          <w:rFonts w:cs="Arial"/>
          <w:szCs w:val="20"/>
        </w:rPr>
        <w:t>pH_mitt = Σ (Px04 (</w:t>
      </w:r>
      <w:r>
        <w:rPr>
          <w:rFonts w:cs="Arial"/>
          <w:i/>
          <w:iCs/>
          <w:szCs w:val="20"/>
        </w:rPr>
        <w:t>n</w:t>
      </w:r>
      <w:r>
        <w:rPr>
          <w:rFonts w:cs="Arial"/>
          <w:iCs/>
          <w:szCs w:val="20"/>
        </w:rPr>
        <w:t>)</w:t>
      </w:r>
      <w:r>
        <w:rPr>
          <w:rFonts w:cs="Arial"/>
          <w:szCs w:val="20"/>
        </w:rPr>
        <w:t xml:space="preserve"> / Σ (Px04) * B105 bzw. P149 (</w:t>
      </w:r>
      <w:r>
        <w:rPr>
          <w:rFonts w:cs="Arial"/>
          <w:i/>
          <w:szCs w:val="20"/>
        </w:rPr>
        <w:t>n</w:t>
      </w:r>
      <w:r>
        <w:rPr>
          <w:rFonts w:cs="Arial"/>
          <w:szCs w:val="20"/>
        </w:rPr>
        <w:t xml:space="preserve">))  </w:t>
      </w:r>
    </w:p>
    <w:p>
      <w:pPr>
        <w:pStyle w:val="Normal"/>
        <w:tabs>
          <w:tab w:val="left" w:pos="3916" w:leader="none"/>
        </w:tabs>
        <w:ind w:left="1069" w:right="0" w:hanging="0"/>
        <w:jc w:val="both"/>
        <w:rPr>
          <w:rFonts w:cs="Arial"/>
          <w:szCs w:val="20"/>
        </w:rPr>
      </w:pPr>
      <w:r>
        <w:rPr>
          <w:rFonts w:cs="Arial"/>
          <w:szCs w:val="20"/>
        </w:rPr>
      </w:r>
    </w:p>
    <w:p>
      <w:pPr>
        <w:pStyle w:val="Normal"/>
        <w:tabs>
          <w:tab w:val="left" w:pos="3916" w:leader="none"/>
        </w:tabs>
        <w:ind w:left="1069" w:right="0" w:hanging="0"/>
        <w:jc w:val="both"/>
        <w:rPr>
          <w:rFonts w:cs="Arial"/>
          <w:szCs w:val="20"/>
        </w:rPr>
      </w:pPr>
      <w:r>
        <w:rPr>
          <w:rFonts w:cs="Arial"/>
          <w:szCs w:val="20"/>
        </w:rPr>
        <w:t xml:space="preserve"> </w:t>
      </w:r>
    </w:p>
    <w:p>
      <w:pPr>
        <w:pStyle w:val="Normal"/>
        <w:spacing w:before="0" w:after="120"/>
        <w:rPr>
          <w:rFonts w:cs="Arial"/>
          <w:bCs/>
          <w:color w:val="000000"/>
          <w:szCs w:val="20"/>
          <w:u w:val="single"/>
        </w:rPr>
      </w:pPr>
      <w:r>
        <w:rPr>
          <w:rFonts w:cs="Arial"/>
          <w:szCs w:val="20"/>
          <w:u w:val="single"/>
        </w:rPr>
        <w:t xml:space="preserve">Schritt 4 – </w:t>
      </w:r>
      <w:r>
        <w:rPr>
          <w:rFonts w:cs="Arial"/>
          <w:bCs/>
          <w:color w:val="000000"/>
          <w:szCs w:val="20"/>
          <w:u w:val="single"/>
        </w:rPr>
        <w:t>Einstufung der mikrobiellen Abbauleistung nach Humusform und pH-Wert</w:t>
      </w:r>
    </w:p>
    <w:p>
      <w:pPr>
        <w:pStyle w:val="Normal"/>
        <w:widowControl w:val="false"/>
        <w:tabs>
          <w:tab w:val="left" w:pos="4996" w:leader="none"/>
        </w:tabs>
        <w:spacing w:lineRule="auto" w:line="240"/>
        <w:jc w:val="both"/>
        <w:rPr>
          <w:rFonts w:cs="Arial"/>
          <w:szCs w:val="20"/>
        </w:rPr>
      </w:pPr>
      <w:r>
        <w:rPr>
          <w:rFonts w:cs="Arial"/>
          <w:szCs w:val="20"/>
        </w:rPr>
        <w:t>Die mikrobielle Abbauleistung wird gemäß folgender Tabelle in drei Kategorien eingestuft, wobei für einzelne Humusformen saure Bodenverhältnisse (pH-Wert &lt;5,0) eine schlechtere Beurteilung ergibt.</w:t>
      </w:r>
    </w:p>
    <w:p>
      <w:pPr>
        <w:pStyle w:val="Normal"/>
        <w:widowControl w:val="false"/>
        <w:tabs>
          <w:tab w:val="left" w:pos="4996" w:leader="none"/>
        </w:tabs>
        <w:spacing w:lineRule="auto" w:line="240"/>
        <w:jc w:val="both"/>
        <w:rPr>
          <w:rFonts w:cs="Arial"/>
          <w:szCs w:val="20"/>
        </w:rPr>
      </w:pPr>
      <w:r>
        <w:rPr>
          <w:rFonts w:cs="Arial"/>
          <w:szCs w:val="2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3863"/>
        <w:gridCol w:w="2124"/>
        <w:gridCol w:w="2131"/>
      </w:tblGrid>
      <w:tr>
        <w:trPr>
          <w:trHeight w:val="290" w:hRule="atLeast"/>
          <w:cantSplit w:val="false"/>
        </w:trPr>
        <w:tc>
          <w:tcPr>
            <w:tcW w:w="386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i/>
                <w:szCs w:val="20"/>
              </w:rPr>
            </w:pPr>
            <w:r>
              <w:rPr>
                <w:rFonts w:cs="Arial"/>
                <w:b/>
                <w:szCs w:val="20"/>
              </w:rPr>
              <w:t xml:space="preserve">Humusform </w:t>
              <w:br/>
            </w:r>
            <w:r>
              <w:rPr>
                <w:rFonts w:cs="Arial"/>
                <w:i/>
                <w:szCs w:val="20"/>
              </w:rPr>
              <w:t>(P151)</w:t>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i/>
                <w:szCs w:val="20"/>
              </w:rPr>
            </w:pPr>
            <w:r>
              <w:rPr>
                <w:rFonts w:cs="Arial"/>
                <w:b/>
                <w:szCs w:val="20"/>
              </w:rPr>
              <w:t xml:space="preserve">mittlerer pH-Wert </w:t>
            </w:r>
            <w:r>
              <w:rPr>
                <w:rFonts w:cs="Arial"/>
                <w:i/>
                <w:szCs w:val="20"/>
              </w:rPr>
              <w:t>(Schritt 3)</w:t>
            </w:r>
          </w:p>
        </w:tc>
        <w:tc>
          <w:tcPr>
            <w:tcW w:w="21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mikro_abbau</w:t>
            </w:r>
          </w:p>
        </w:tc>
      </w:tr>
      <w:tr>
        <w:trPr>
          <w:trHeight w:val="290" w:hRule="atLeast"/>
          <w:cantSplit w:val="false"/>
        </w:trPr>
        <w:tc>
          <w:tcPr>
            <w:tcW w:w="386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Rohhumus (430)</w:t>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szCs w:val="20"/>
              </w:rPr>
            </w:pPr>
            <w:r>
              <w:rPr>
                <w:rFonts w:cs="Arial"/>
                <w:szCs w:val="20"/>
              </w:rPr>
              <w:t>-</w:t>
            </w:r>
          </w:p>
        </w:tc>
        <w:tc>
          <w:tcPr>
            <w:tcW w:w="2131" w:type="dxa"/>
            <w:vMerge w:val="restart"/>
            <w:tcBorders>
              <w:top w:val="single" w:sz="4" w:space="0" w:color="000001"/>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Gering</w:t>
            </w:r>
          </w:p>
        </w:tc>
      </w:tr>
      <w:tr>
        <w:trPr>
          <w:trHeight w:val="35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Feuchtmoder (520)</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szCs w:val="20"/>
              </w:rPr>
            </w:pPr>
            <w:r>
              <w:rPr>
                <w:rFonts w:cs="Arial"/>
                <w:szCs w:val="20"/>
              </w:rPr>
              <w:t>&lt;5,0</w:t>
            </w:r>
          </w:p>
        </w:tc>
        <w:tc>
          <w:tcPr>
            <w:tcW w:w="2131"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Feuchtrohhumus (530)</w:t>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szCs w:val="20"/>
              </w:rPr>
              <w:t>-</w:t>
            </w:r>
          </w:p>
        </w:tc>
        <w:tc>
          <w:tcPr>
            <w:tcW w:w="2131"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Hochmoortorf (540)</w:t>
            </w:r>
          </w:p>
          <w:p>
            <w:pPr>
              <w:pStyle w:val="Normal"/>
              <w:spacing w:before="60" w:after="60"/>
              <w:jc w:val="center"/>
              <w:rPr>
                <w:rFonts w:cs="Arial"/>
                <w:i/>
                <w:szCs w:val="20"/>
              </w:rPr>
            </w:pPr>
            <w:r>
              <w:rPr>
                <w:rFonts w:cs="Arial"/>
                <w:i/>
                <w:szCs w:val="20"/>
              </w:rPr>
              <w:t>Tangelhumus (KA5: 308)</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szCs w:val="20"/>
              </w:rPr>
              <w:t>-</w:t>
            </w:r>
          </w:p>
        </w:tc>
        <w:tc>
          <w:tcPr>
            <w:tcW w:w="2131"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Anmoorhumus (550)</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szCs w:val="20"/>
              </w:rPr>
              <w:t>&lt;5,0</w:t>
            </w:r>
          </w:p>
        </w:tc>
        <w:tc>
          <w:tcPr>
            <w:tcW w:w="2131" w:type="dxa"/>
            <w:vMerge w:val="continue"/>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r>
          </w:p>
        </w:tc>
      </w:tr>
      <w:tr>
        <w:trPr>
          <w:trHeight w:val="29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Mull (410)</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szCs w:val="20"/>
              </w:rPr>
              <w:t>-</w:t>
            </w:r>
          </w:p>
        </w:tc>
        <w:tc>
          <w:tcPr>
            <w:tcW w:w="2131" w:type="dxa"/>
            <w:vMerge w:val="restart"/>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Mittel</w:t>
            </w:r>
          </w:p>
        </w:tc>
      </w:tr>
      <w:tr>
        <w:trPr>
          <w:trHeight w:val="35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Modermull / mullartiger Humus (411)</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szCs w:val="20"/>
              </w:rPr>
              <w:t>-</w:t>
            </w:r>
          </w:p>
        </w:tc>
        <w:tc>
          <w:tcPr>
            <w:tcW w:w="2131"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Anmoormull (412)</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szCs w:val="20"/>
              </w:rPr>
              <w:t>&lt;5,0</w:t>
            </w:r>
          </w:p>
        </w:tc>
        <w:tc>
          <w:tcPr>
            <w:tcW w:w="2131"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Moder (420)</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szCs w:val="20"/>
              </w:rPr>
              <w:t>-</w:t>
            </w:r>
          </w:p>
        </w:tc>
        <w:tc>
          <w:tcPr>
            <w:tcW w:w="2131"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Feuchtmoder (520)</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ascii="Symbol" w:hAnsi="Symbol"/>
                <w:szCs w:val="20"/>
              </w:rPr>
              <w:t></w:t>
            </w:r>
            <w:r>
              <w:rPr>
                <w:rFonts w:cs="Arial"/>
                <w:szCs w:val="20"/>
              </w:rPr>
              <w:t>5,0</w:t>
            </w:r>
          </w:p>
        </w:tc>
        <w:tc>
          <w:tcPr>
            <w:tcW w:w="2131"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Anmoorhumus (550)</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ascii="Symbol" w:hAnsi="Symbol"/>
                <w:szCs w:val="20"/>
              </w:rPr>
              <w:t></w:t>
            </w:r>
            <w:r>
              <w:rPr>
                <w:rFonts w:cs="Arial"/>
                <w:szCs w:val="20"/>
              </w:rPr>
              <w:t>5,0</w:t>
            </w:r>
          </w:p>
        </w:tc>
        <w:tc>
          <w:tcPr>
            <w:tcW w:w="2131"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Niedermoortorf (610)</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ascii="Symbol" w:hAnsi="Symbol"/>
                <w:szCs w:val="20"/>
              </w:rPr>
              <w:t></w:t>
            </w:r>
            <w:r>
              <w:rPr>
                <w:rFonts w:cs="Arial"/>
                <w:szCs w:val="20"/>
              </w:rPr>
              <w:t>5,0</w:t>
            </w:r>
          </w:p>
        </w:tc>
        <w:tc>
          <w:tcPr>
            <w:tcW w:w="2131" w:type="dxa"/>
            <w:vMerge w:val="continue"/>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r>
          </w:p>
        </w:tc>
      </w:tr>
      <w:tr>
        <w:trPr>
          <w:trHeight w:val="29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Anmoormull (412)</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ascii="Symbol" w:hAnsi="Symbol"/>
                <w:szCs w:val="20"/>
              </w:rPr>
              <w:t></w:t>
            </w:r>
            <w:r>
              <w:rPr>
                <w:rFonts w:cs="Arial"/>
                <w:szCs w:val="20"/>
              </w:rPr>
              <w:t>5,0</w:t>
            </w:r>
          </w:p>
        </w:tc>
        <w:tc>
          <w:tcPr>
            <w:tcW w:w="2131" w:type="dxa"/>
            <w:vMerge w:val="restart"/>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hoch</w:t>
            </w:r>
          </w:p>
        </w:tc>
      </w:tr>
      <w:tr>
        <w:trPr>
          <w:trHeight w:val="35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Feuchtmull (510)</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szCs w:val="20"/>
              </w:rPr>
              <w:t>-</w:t>
            </w:r>
          </w:p>
        </w:tc>
        <w:tc>
          <w:tcPr>
            <w:tcW w:w="2131"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3"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Niedermoortorf (610)</w:t>
            </w:r>
          </w:p>
        </w:tc>
        <w:tc>
          <w:tcPr>
            <w:tcW w:w="212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ascii="Symbol" w:hAnsi="Symbol"/>
                <w:szCs w:val="20"/>
              </w:rPr>
              <w:t></w:t>
            </w:r>
            <w:r>
              <w:rPr>
                <w:rFonts w:cs="Arial"/>
                <w:szCs w:val="20"/>
              </w:rPr>
              <w:t>5,0</w:t>
            </w:r>
          </w:p>
        </w:tc>
        <w:tc>
          <w:tcPr>
            <w:tcW w:w="2131" w:type="dxa"/>
            <w:vMerge w:val="continue"/>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r>
          </w:p>
        </w:tc>
      </w:tr>
    </w:tbl>
    <w:p>
      <w:pPr>
        <w:pStyle w:val="Normal"/>
        <w:widowControl w:val="false"/>
        <w:tabs>
          <w:tab w:val="left" w:pos="4963" w:leader="none"/>
        </w:tabs>
        <w:spacing w:lineRule="auto" w:line="240"/>
        <w:rPr>
          <w:rFonts w:cs="Arial"/>
          <w:i/>
          <w:sz w:val="18"/>
          <w:szCs w:val="20"/>
        </w:rPr>
      </w:pPr>
      <w:r>
        <w:rPr>
          <w:rFonts w:cs="Arial"/>
          <w:i/>
          <w:sz w:val="18"/>
          <w:szCs w:val="20"/>
        </w:rPr>
      </w:r>
    </w:p>
    <w:p>
      <w:pPr>
        <w:pStyle w:val="Normal"/>
        <w:widowControl w:val="false"/>
        <w:tabs>
          <w:tab w:val="left" w:pos="4963" w:leader="none"/>
        </w:tabs>
        <w:spacing w:lineRule="auto" w:line="240"/>
        <w:rPr>
          <w:rFonts w:cs="Arial"/>
          <w:i/>
          <w:sz w:val="18"/>
          <w:szCs w:val="20"/>
        </w:rPr>
      </w:pPr>
      <w:r>
        <w:rPr>
          <w:rFonts w:cs="Arial"/>
          <w:i/>
          <w:sz w:val="18"/>
          <w:szCs w:val="20"/>
        </w:rPr>
        <w:t>Anm.: Die Angabe von „-“ bedeutet, dass der pH-Wert bei dieser Humusform für die Bewertung irrelevant ist.</w:t>
      </w:r>
    </w:p>
    <w:p>
      <w:pPr>
        <w:pStyle w:val="Normal"/>
        <w:spacing w:before="0" w:after="120"/>
        <w:jc w:val="both"/>
        <w:rPr>
          <w:rFonts w:cs="Arial"/>
          <w:szCs w:val="20"/>
          <w:u w:val="single"/>
        </w:rPr>
      </w:pPr>
      <w:r>
        <w:rPr>
          <w:rFonts w:cs="Arial"/>
          <w:szCs w:val="20"/>
          <w:u w:val="single"/>
        </w:rPr>
      </w:r>
    </w:p>
    <w:p>
      <w:pPr>
        <w:pStyle w:val="Normal"/>
        <w:spacing w:before="0" w:after="120"/>
        <w:jc w:val="both"/>
        <w:rPr>
          <w:rFonts w:cs="Arial"/>
          <w:bCs/>
          <w:color w:val="000000"/>
          <w:szCs w:val="20"/>
          <w:u w:val="single"/>
        </w:rPr>
      </w:pPr>
      <w:r>
        <w:rPr>
          <w:rFonts w:cs="Arial"/>
          <w:szCs w:val="20"/>
          <w:u w:val="single"/>
        </w:rPr>
        <w:t xml:space="preserve">Schritt 5 – </w:t>
      </w:r>
      <w:r>
        <w:rPr>
          <w:rFonts w:cs="Arial"/>
          <w:bCs/>
          <w:color w:val="000000"/>
          <w:szCs w:val="20"/>
          <w:u w:val="single"/>
        </w:rPr>
        <w:t>Gesamtbewertung</w:t>
      </w:r>
    </w:p>
    <w:p>
      <w:pPr>
        <w:pStyle w:val="Normal"/>
        <w:tabs>
          <w:tab w:val="left" w:pos="4996" w:leader="none"/>
        </w:tabs>
        <w:jc w:val="both"/>
        <w:rPr/>
      </w:pPr>
      <w:r>
        <w:rPr/>
        <w:t>Die Gesamtbewertung des Transformationspotenzials für organische Schadstoffe (</w:t>
      </w:r>
      <w:r>
        <w:rPr>
          <w:b/>
        </w:rPr>
        <w:t>TransOrg</w:t>
      </w:r>
      <w:r>
        <w:rPr/>
        <w:t>) ergibt sich aus der Zusammenschau von Humusmenge, Tonmenge und mikrobieller Abbauleistung auf Basis von Humusform und pH-Wert (Bewertungsschritte 1 bis 4):</w:t>
      </w:r>
    </w:p>
    <w:p>
      <w:pPr>
        <w:pStyle w:val="Normal"/>
        <w:tabs>
          <w:tab w:val="left" w:pos="4963" w:leader="none"/>
        </w:tabs>
        <w:ind w:left="1418" w:right="0" w:hanging="360"/>
        <w:jc w:val="both"/>
        <w:rPr/>
      </w:pPr>
      <w:r>
        <w:rPr/>
      </w:r>
    </w:p>
    <w:tbl>
      <w:tblPr>
        <w:jc w:val="left"/>
        <w:tblInd w:w="19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2161"/>
        <w:gridCol w:w="2162"/>
        <w:gridCol w:w="1485"/>
        <w:gridCol w:w="1557"/>
        <w:gridCol w:w="1565"/>
      </w:tblGrid>
      <w:tr>
        <w:trPr>
          <w:trHeight w:val="350" w:hRule="atLeast"/>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pacing w:before="60" w:after="60"/>
              <w:rPr>
                <w:szCs w:val="20"/>
              </w:rPr>
            </w:pPr>
            <w:r>
              <w:rPr>
                <w:szCs w:val="20"/>
              </w:rPr>
            </w:r>
          </w:p>
        </w:tc>
        <w:tc>
          <w:tcPr>
            <w:tcW w:w="216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pacing w:before="60" w:after="60"/>
              <w:rPr>
                <w:szCs w:val="20"/>
              </w:rPr>
            </w:pPr>
            <w:r>
              <w:rPr>
                <w:szCs w:val="20"/>
              </w:rPr>
            </w:r>
          </w:p>
        </w:tc>
        <w:tc>
          <w:tcPr>
            <w:tcW w:w="4607"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i/>
                <w:szCs w:val="20"/>
              </w:rPr>
            </w:pPr>
            <w:r>
              <w:rPr>
                <w:b/>
                <w:bCs/>
                <w:szCs w:val="20"/>
              </w:rPr>
              <w:t xml:space="preserve">mikrobielles Abbauvermögen </w:t>
              <w:br/>
            </w:r>
            <w:r>
              <w:rPr>
                <w:i/>
                <w:szCs w:val="20"/>
              </w:rPr>
              <w:t>(mikro_abbau, Schritt 4)</w:t>
            </w:r>
          </w:p>
        </w:tc>
      </w:tr>
      <w:tr>
        <w:trPr>
          <w:trHeight w:val="290" w:hRule="atLeast"/>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i/>
                <w:szCs w:val="20"/>
              </w:rPr>
            </w:pPr>
            <w:r>
              <w:rPr>
                <w:b/>
                <w:szCs w:val="20"/>
              </w:rPr>
              <w:t>Humusmenge</w:t>
            </w:r>
            <w:r>
              <w:rPr>
                <w:szCs w:val="20"/>
              </w:rPr>
              <w:t xml:space="preserve"> [kg/m²] </w:t>
            </w:r>
            <w:r>
              <w:rPr>
                <w:i/>
                <w:szCs w:val="20"/>
              </w:rPr>
              <w:t>(HM_ges, Schritt 1)</w:t>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i/>
                <w:szCs w:val="20"/>
              </w:rPr>
            </w:pPr>
            <w:r>
              <w:rPr>
                <w:b/>
                <w:szCs w:val="20"/>
              </w:rPr>
              <w:t>Tonmenge</w:t>
            </w:r>
            <w:r>
              <w:rPr>
                <w:szCs w:val="20"/>
              </w:rPr>
              <w:t xml:space="preserve"> [kg/m²] </w:t>
            </w:r>
            <w:r>
              <w:rPr>
                <w:i/>
                <w:szCs w:val="20"/>
              </w:rPr>
              <w:t>(TM_ges, Schritt 2)</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vAlign w:val="center"/>
          </w:tcPr>
          <w:p>
            <w:pPr>
              <w:pStyle w:val="TabellenInhalt"/>
              <w:suppressLineNumbers/>
              <w:spacing w:lineRule="auto" w:line="240" w:before="60" w:after="60"/>
              <w:jc w:val="center"/>
              <w:rPr>
                <w:bCs/>
                <w:color w:val="9900FF"/>
                <w:szCs w:val="20"/>
              </w:rPr>
            </w:pPr>
            <w:r>
              <w:rPr>
                <w:bCs/>
                <w:color w:val="9900FF"/>
                <w:szCs w:val="20"/>
              </w:rPr>
              <w:t>gering</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vAlign w:val="center"/>
          </w:tcPr>
          <w:p>
            <w:pPr>
              <w:pStyle w:val="TabellenInhalt"/>
              <w:suppressLineNumbers/>
              <w:spacing w:lineRule="auto" w:line="240" w:before="60" w:after="60"/>
              <w:jc w:val="center"/>
              <w:rPr>
                <w:bCs/>
                <w:szCs w:val="20"/>
              </w:rPr>
            </w:pPr>
            <w:r>
              <w:rPr>
                <w:bCs/>
                <w:szCs w:val="20"/>
              </w:rPr>
              <w:t>mittel</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vAlign w:val="center"/>
          </w:tcPr>
          <w:p>
            <w:pPr>
              <w:pStyle w:val="TabellenInhalt"/>
              <w:suppressLineNumbers/>
              <w:spacing w:lineRule="auto" w:line="240" w:before="60" w:after="60"/>
              <w:jc w:val="center"/>
              <w:rPr>
                <w:bCs/>
                <w:szCs w:val="20"/>
              </w:rPr>
            </w:pPr>
            <w:r>
              <w:rPr>
                <w:bCs/>
                <w:szCs w:val="20"/>
              </w:rPr>
              <w:t>hoch</w:t>
            </w:r>
          </w:p>
        </w:tc>
      </w:tr>
      <w:tr>
        <w:trPr>
          <w:trHeight w:val="290" w:hRule="atLeast"/>
          <w:cantSplit w:val="false"/>
        </w:trPr>
        <w:tc>
          <w:tcPr>
            <w:tcW w:w="2161" w:type="dxa"/>
            <w:vMerge w:val="restart"/>
            <w:tcBorders>
              <w:top w:val="nil"/>
              <w:left w:val="single" w:sz="2" w:space="0" w:color="000001"/>
              <w:bottom w:val="nil"/>
              <w:insideH w:val="nil"/>
              <w:right w:val="nil"/>
              <w:insideV w:val="nil"/>
            </w:tcBorders>
            <w:shd w:fill="FFFFFF" w:val="clear"/>
            <w:tcMar>
              <w:left w:w="45" w:type="dxa"/>
            </w:tcMar>
            <w:vAlign w:val="center"/>
          </w:tcPr>
          <w:p>
            <w:pPr>
              <w:pStyle w:val="TabellenInhalt"/>
              <w:suppressLineNumbers/>
              <w:spacing w:lineRule="auto" w:line="240" w:before="60" w:after="60"/>
              <w:jc w:val="center"/>
              <w:rPr>
                <w:szCs w:val="20"/>
              </w:rPr>
            </w:pPr>
            <w:r>
              <w:rPr>
                <w:szCs w:val="20"/>
              </w:rPr>
              <w:t>&lt;13</w:t>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&lt;100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5</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5</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5</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45"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100-300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5</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4</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3</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45"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&gt;300-450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5</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3</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3</w:t>
            </w:r>
          </w:p>
        </w:tc>
      </w:tr>
      <w:tr>
        <w:trPr>
          <w:trHeight w:val="350" w:hRule="atLeast"/>
          <w:cantSplit w:val="false"/>
        </w:trPr>
        <w:tc>
          <w:tcPr>
            <w:tcW w:w="2161"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&gt;450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4</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3</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2</w:t>
            </w:r>
          </w:p>
        </w:tc>
      </w:tr>
      <w:tr>
        <w:trPr>
          <w:trHeight w:val="290" w:hRule="atLeast"/>
          <w:cantSplit w:val="false"/>
        </w:trPr>
        <w:tc>
          <w:tcPr>
            <w:tcW w:w="2161" w:type="dxa"/>
            <w:vMerge w:val="restart"/>
            <w:tcBorders>
              <w:top w:val="nil"/>
              <w:left w:val="single" w:sz="2" w:space="0" w:color="000001"/>
              <w:bottom w:val="nil"/>
              <w:insideH w:val="nil"/>
              <w:right w:val="nil"/>
              <w:insideV w:val="nil"/>
            </w:tcBorders>
            <w:shd w:fill="FFFFFF" w:val="clear"/>
            <w:tcMar>
              <w:left w:w="45" w:type="dxa"/>
            </w:tcMar>
            <w:vAlign w:val="center"/>
          </w:tcPr>
          <w:p>
            <w:pPr>
              <w:pStyle w:val="TabellenInhalt"/>
              <w:suppressLineNumbers/>
              <w:spacing w:lineRule="auto" w:line="240" w:before="60" w:after="60"/>
              <w:jc w:val="center"/>
              <w:rPr>
                <w:szCs w:val="20"/>
              </w:rPr>
            </w:pPr>
            <w:r>
              <w:rPr>
                <w:szCs w:val="20"/>
              </w:rPr>
              <w:t>13 - 25</w:t>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&lt;100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5</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5</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4</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45"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100-300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4</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3</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3</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45"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&gt;300-450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3</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3</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2</w:t>
            </w:r>
          </w:p>
        </w:tc>
      </w:tr>
      <w:tr>
        <w:trPr>
          <w:trHeight w:val="350" w:hRule="atLeast"/>
          <w:cantSplit w:val="false"/>
        </w:trPr>
        <w:tc>
          <w:tcPr>
            <w:tcW w:w="2161"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&gt;450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3</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2</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1</w:t>
            </w:r>
          </w:p>
        </w:tc>
      </w:tr>
      <w:tr>
        <w:trPr>
          <w:trHeight w:val="290" w:hRule="atLeast"/>
          <w:cantSplit w:val="false"/>
        </w:trPr>
        <w:tc>
          <w:tcPr>
            <w:tcW w:w="2161" w:type="dxa"/>
            <w:vMerge w:val="restart"/>
            <w:tcBorders>
              <w:top w:val="nil"/>
              <w:left w:val="single" w:sz="2" w:space="0" w:color="000001"/>
              <w:bottom w:val="nil"/>
              <w:insideH w:val="nil"/>
              <w:right w:val="nil"/>
              <w:insideV w:val="nil"/>
            </w:tcBorders>
            <w:shd w:fill="FFFFFF" w:val="clear"/>
            <w:tcMar>
              <w:left w:w="45" w:type="dxa"/>
            </w:tcMar>
            <w:vAlign w:val="center"/>
          </w:tcPr>
          <w:p>
            <w:pPr>
              <w:pStyle w:val="TabellenInhalt"/>
              <w:suppressLineNumbers/>
              <w:spacing w:lineRule="auto" w:line="240" w:before="60" w:after="60"/>
              <w:jc w:val="center"/>
              <w:rPr>
                <w:szCs w:val="20"/>
              </w:rPr>
            </w:pPr>
            <w:r>
              <w:rPr>
                <w:szCs w:val="20"/>
              </w:rPr>
              <w:t>&gt;25 - 40</w:t>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&lt;100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5</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4</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3</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45"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100-300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3</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3</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2</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45"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&gt;300-450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3</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2</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1</w:t>
            </w:r>
          </w:p>
        </w:tc>
      </w:tr>
      <w:tr>
        <w:trPr>
          <w:trHeight w:val="350" w:hRule="atLeast"/>
          <w:cantSplit w:val="false"/>
        </w:trPr>
        <w:tc>
          <w:tcPr>
            <w:tcW w:w="2161"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&gt;450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2</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1</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1</w:t>
            </w:r>
          </w:p>
        </w:tc>
      </w:tr>
      <w:tr>
        <w:trPr>
          <w:trHeight w:val="290" w:hRule="atLeast"/>
          <w:cantSplit w:val="false"/>
        </w:trPr>
        <w:tc>
          <w:tcPr>
            <w:tcW w:w="2161" w:type="dxa"/>
            <w:vMerge w:val="restart"/>
            <w:tcBorders>
              <w:top w:val="nil"/>
              <w:left w:val="single" w:sz="2" w:space="0" w:color="000001"/>
              <w:bottom w:val="nil"/>
              <w:insideH w:val="nil"/>
              <w:right w:val="nil"/>
              <w:insideV w:val="nil"/>
            </w:tcBorders>
            <w:shd w:fill="FFFFFF" w:val="clear"/>
            <w:tcMar>
              <w:left w:w="45" w:type="dxa"/>
            </w:tcMar>
            <w:vAlign w:val="center"/>
          </w:tcPr>
          <w:p>
            <w:pPr>
              <w:pStyle w:val="TabellenInhalt"/>
              <w:suppressLineNumbers/>
              <w:spacing w:lineRule="auto" w:line="240" w:before="60" w:after="60"/>
              <w:jc w:val="center"/>
              <w:rPr>
                <w:szCs w:val="20"/>
              </w:rPr>
            </w:pPr>
            <w:r>
              <w:rPr>
                <w:szCs w:val="20"/>
              </w:rPr>
              <w:t>&gt;40</w:t>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&lt;100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4</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3</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2</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45" w:type="dxa"/>
            </w:tcMar>
            <w:vAlign w:val="center"/>
          </w:tcPr>
          <w:p>
            <w:pPr>
              <w:pStyle w:val="TabellenInhalt"/>
              <w:spacing w:before="60" w:after="60"/>
              <w:rPr>
                <w:rFonts w:cs="Arial"/>
                <w:szCs w:val="20"/>
              </w:rPr>
            </w:pPr>
            <w:r>
              <w:rPr>
                <w:rFonts w:cs="Arial"/>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100-300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2</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2</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1</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45" w:type="dxa"/>
            </w:tcMar>
            <w:vAlign w:val="center"/>
          </w:tcPr>
          <w:p>
            <w:pPr>
              <w:pStyle w:val="TabellenInhalt"/>
              <w:spacing w:before="60" w:after="60"/>
              <w:rPr>
                <w:rFonts w:cs="Arial"/>
                <w:szCs w:val="20"/>
              </w:rPr>
            </w:pPr>
            <w:r>
              <w:rPr>
                <w:rFonts w:cs="Arial"/>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&gt;300-450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2</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1</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1</w:t>
            </w:r>
          </w:p>
        </w:tc>
      </w:tr>
      <w:tr>
        <w:trPr>
          <w:trHeight w:val="350" w:hRule="atLeast"/>
          <w:cantSplit w:val="false"/>
        </w:trPr>
        <w:tc>
          <w:tcPr>
            <w:tcW w:w="2161" w:type="dxa"/>
            <w:vMerge w:val="continue"/>
            <w:tcBorders>
              <w:top w:val="nil"/>
              <w:left w:val="single" w:sz="2" w:space="0" w:color="000001"/>
              <w:bottom w:val="single" w:sz="2" w:space="0" w:color="000001"/>
              <w:insideH w:val="single" w:sz="2" w:space="0" w:color="000001"/>
              <w:right w:val="nil"/>
              <w:insideV w:val="nil"/>
            </w:tcBorders>
            <w:shd w:fill="FFFFFF" w:val="clear"/>
            <w:tcMar>
              <w:left w:w="45" w:type="dxa"/>
            </w:tcMar>
            <w:vAlign w:val="center"/>
          </w:tcPr>
          <w:p>
            <w:pPr>
              <w:pStyle w:val="TabellenInhalt"/>
              <w:spacing w:before="60" w:after="60"/>
              <w:rPr>
                <w:rFonts w:cs="Arial"/>
                <w:szCs w:val="20"/>
              </w:rPr>
            </w:pPr>
            <w:r>
              <w:rPr>
                <w:rFonts w:cs="Arial"/>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szCs w:val="20"/>
              </w:rPr>
            </w:pPr>
            <w:r>
              <w:rPr>
                <w:szCs w:val="20"/>
              </w:rPr>
              <w:t>&gt;450</w:t>
            </w:r>
          </w:p>
        </w:tc>
        <w:tc>
          <w:tcPr>
            <w:tcW w:w="148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1</w:t>
            </w:r>
          </w:p>
        </w:tc>
        <w:tc>
          <w:tcPr>
            <w:tcW w:w="1557"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ellenInhalt"/>
              <w:suppressLineNumbers/>
              <w:spacing w:lineRule="auto" w:line="240" w:before="60" w:after="60"/>
              <w:jc w:val="center"/>
              <w:rPr>
                <w:b/>
                <w:szCs w:val="20"/>
              </w:rPr>
            </w:pPr>
            <w:r>
              <w:rPr>
                <w:b/>
                <w:szCs w:val="20"/>
              </w:rPr>
              <w:t>1</w:t>
            </w:r>
          </w:p>
        </w:tc>
        <w:tc>
          <w:tcPr>
            <w:tcW w:w="156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ellenInhalt"/>
              <w:suppressLineNumbers/>
              <w:spacing w:lineRule="auto" w:line="240" w:before="60" w:after="60"/>
              <w:jc w:val="center"/>
              <w:rPr>
                <w:b/>
                <w:szCs w:val="20"/>
              </w:rPr>
            </w:pPr>
            <w:r>
              <w:rPr>
                <w:b/>
                <w:szCs w:val="20"/>
              </w:rPr>
              <w:t>1</w:t>
            </w:r>
          </w:p>
        </w:tc>
      </w:tr>
    </w:tbl>
    <w:p>
      <w:pPr>
        <w:pStyle w:val="Normal"/>
        <w:tabs>
          <w:tab w:val="left" w:pos="4963" w:leader="none"/>
        </w:tabs>
        <w:ind w:left="1418" w:right="0" w:hanging="360"/>
        <w:jc w:val="both"/>
        <w:rPr/>
      </w:pPr>
      <w:r>
        <w:rPr/>
      </w:r>
    </w:p>
    <w:p>
      <w:pPr>
        <w:pStyle w:val="Normal"/>
        <w:jc w:val="both"/>
        <w:rPr/>
      </w:pPr>
      <w:r>
        <w:rPr/>
      </w:r>
    </w:p>
    <w:p>
      <w:pPr>
        <w:pStyle w:val="Heading3"/>
        <w:pageBreakBefore/>
        <w:rPr>
          <w:szCs w:val="20"/>
        </w:rPr>
      </w:pPr>
      <w:r>
        <w:rPr/>
        <w:t xml:space="preserve">1d.3) </w:t>
      </w:r>
      <w:r>
        <w:rPr>
          <w:szCs w:val="20"/>
        </w:rPr>
        <w:t>Filter- und Pufferpotenzial (Rückhaltepotenzial) für organische Schadstoffe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Horizontmächtigkeit</w:t>
      </w:r>
    </w:p>
    <w:p>
      <w:pPr>
        <w:pStyle w:val="Normal"/>
        <w:ind w:left="142" w:right="0" w:hanging="0"/>
        <w:rPr>
          <w:rFonts w:cs="Arial"/>
          <w:i/>
          <w:szCs w:val="20"/>
        </w:rPr>
      </w:pPr>
      <w:r>
        <w:rPr>
          <w:rFonts w:cs="Arial"/>
          <w:i/>
          <w:szCs w:val="20"/>
        </w:rPr>
        <w:t>pH-Wert (P149 oder B105)</w:t>
      </w:r>
    </w:p>
    <w:p>
      <w:pPr>
        <w:pStyle w:val="Normal"/>
        <w:ind w:left="142" w:right="0" w:hanging="0"/>
        <w:rPr>
          <w:rFonts w:cs="Arial"/>
          <w:i/>
          <w:szCs w:val="20"/>
        </w:rPr>
      </w:pPr>
      <w:r>
        <w:rPr>
          <w:rFonts w:cs="Arial"/>
          <w:i/>
          <w:szCs w:val="20"/>
        </w:rPr>
        <w:t>Tongehalt (B200 oder Ableitung aus P140 oder B209)</w:t>
      </w:r>
    </w:p>
    <w:p>
      <w:pPr>
        <w:pStyle w:val="Normal"/>
        <w:ind w:left="142" w:right="0" w:hanging="0"/>
        <w:rPr>
          <w:rFonts w:cs="Arial"/>
          <w:i/>
          <w:szCs w:val="20"/>
        </w:rPr>
      </w:pPr>
      <w:r>
        <w:rPr>
          <w:rFonts w:cs="Arial"/>
          <w:i/>
          <w:szCs w:val="20"/>
        </w:rPr>
        <w:t>Grundwasserflurabstand (S153)</w:t>
      </w:r>
    </w:p>
    <w:p>
      <w:pPr>
        <w:pStyle w:val="Normal"/>
        <w:ind w:left="142" w:right="0" w:hanging="0"/>
        <w:rPr>
          <w:rFonts w:cs="Arial"/>
          <w:i/>
          <w:szCs w:val="20"/>
        </w:rPr>
      </w:pPr>
      <w:r>
        <w:rPr>
          <w:rFonts w:cs="Arial"/>
          <w:i/>
          <w:szCs w:val="20"/>
        </w:rPr>
        <w:t>Bodentyp (</w:t>
      </w:r>
      <w:r>
        <w:rPr>
          <w:rFonts w:cs="Arial"/>
          <w:i/>
          <w:color w:val="000000"/>
          <w:szCs w:val="20"/>
        </w:rPr>
        <w:t>S322</w:t>
      </w:r>
      <w:r>
        <w:rPr>
          <w:rFonts w:cs="Arial"/>
          <w:i/>
          <w:szCs w:val="20"/>
        </w:rPr>
        <w:t>)</w:t>
      </w:r>
    </w:p>
    <w:p>
      <w:pPr>
        <w:pStyle w:val="Normal"/>
        <w:ind w:left="142" w:right="0" w:hanging="0"/>
        <w:rPr>
          <w:rFonts w:cs="Arial"/>
          <w:i/>
          <w:szCs w:val="20"/>
        </w:rPr>
      </w:pPr>
      <w:r>
        <w:rPr>
          <w:rFonts w:cs="Arial"/>
          <w:i/>
          <w:szCs w:val="20"/>
        </w:rPr>
        <w:t>Torfzersetzungsstufe (aus S327)</w:t>
      </w:r>
    </w:p>
    <w:p>
      <w:pPr>
        <w:pStyle w:val="Normal"/>
        <w:ind w:left="142" w:right="0" w:hanging="0"/>
        <w:rPr>
          <w:rFonts w:cs="Arial"/>
          <w:i/>
          <w:szCs w:val="20"/>
        </w:rPr>
      </w:pPr>
      <w:r>
        <w:rPr>
          <w:rFonts w:cs="Arial"/>
          <w:i/>
          <w:szCs w:val="20"/>
        </w:rPr>
        <w:t>Humusgehalt (Px01)</w:t>
      </w:r>
    </w:p>
    <w:p>
      <w:pPr>
        <w:pStyle w:val="Normal"/>
        <w:ind w:left="142" w:right="0" w:hanging="0"/>
        <w:rPr>
          <w:rFonts w:cs="Arial"/>
          <w:i/>
          <w:szCs w:val="20"/>
        </w:rPr>
      </w:pPr>
      <w:r>
        <w:rPr>
          <w:rFonts w:cs="Arial"/>
          <w:i/>
          <w:szCs w:val="20"/>
        </w:rPr>
        <w:t>Skelettgehalt (Px02)</w:t>
      </w:r>
    </w:p>
    <w:p>
      <w:pPr>
        <w:pStyle w:val="Normal"/>
        <w:ind w:left="142" w:right="0" w:hanging="0"/>
        <w:rPr>
          <w:rFonts w:cs="Arial"/>
          <w:i/>
          <w:szCs w:val="20"/>
        </w:rPr>
      </w:pPr>
      <w:r>
        <w:rPr>
          <w:rFonts w:cs="Arial"/>
          <w:i/>
          <w:szCs w:val="20"/>
        </w:rPr>
        <w:t>Feinbodenmenge (Px04)</w:t>
      </w:r>
    </w:p>
    <w:p>
      <w:pPr>
        <w:pStyle w:val="Normal"/>
        <w:rPr>
          <w:rFonts w:cs="Arial"/>
          <w:i/>
          <w:szCs w:val="20"/>
        </w:rPr>
      </w:pPr>
      <w:r>
        <w:rPr>
          <w:rFonts w:cs="Arial"/>
          <w:i/>
          <w:szCs w:val="20"/>
        </w:rPr>
      </w:r>
    </w:p>
    <w:p>
      <w:pPr>
        <w:pStyle w:val="Normal"/>
        <w:rPr>
          <w:rFonts w:cs="Arial"/>
          <w:i/>
          <w:szCs w:val="20"/>
        </w:rPr>
      </w:pPr>
      <w:r>
        <w:rPr>
          <w:rFonts w:cs="Arial"/>
          <w:b/>
          <w:i/>
          <w:szCs w:val="20"/>
          <w:lang w:val="de-AT"/>
        </w:rPr>
        <w:t>Methodik:</w:t>
      </w:r>
      <w:r>
        <w:rPr>
          <w:rFonts w:cs="Arial"/>
          <w:i/>
          <w:szCs w:val="20"/>
          <w:lang w:val="de-AT"/>
        </w:rPr>
        <w:t xml:space="preserve"> </w:t>
      </w:r>
      <w:r>
        <w:rPr>
          <w:rFonts w:cs="Arial"/>
          <w:i/>
          <w:szCs w:val="20"/>
        </w:rPr>
        <w:t>Müller (2004: 283ff.) - modifiziert</w:t>
      </w:r>
    </w:p>
    <w:p>
      <w:pPr>
        <w:pStyle w:val="Normal"/>
        <w:rPr>
          <w:rFonts w:cs="Arial"/>
          <w:b/>
          <w:i/>
          <w:szCs w:val="20"/>
          <w:lang w:val="de-AT"/>
        </w:rPr>
      </w:pPr>
      <w:r>
        <w:rPr>
          <w:rFonts w:cs="Arial"/>
          <w:b/>
          <w:i/>
          <w:szCs w:val="20"/>
          <w:lang w:val="de-AT"/>
        </w:rPr>
      </w:r>
    </w:p>
    <w:p>
      <w:pPr>
        <w:pStyle w:val="Normal"/>
        <w:jc w:val="both"/>
        <w:rPr>
          <w:szCs w:val="20"/>
        </w:rPr>
      </w:pPr>
      <w:r>
        <w:rPr>
          <w:szCs w:val="20"/>
        </w:rPr>
        <w:t xml:space="preserve">Die worst-case-Betrachtung von „Leitelementen“, die in besonders geringem Maße gebunden werden können (vgl. Cadmium in 1.d1), ist hier schwierig, da die Bewertungsspannen sehr weit auseinander gehen und z.B. Benzol oder Dichlormethan nur in extrem humosen (&gt;15 % Humusgehalt) und/oder sehr tonigen Böden gefiltert und gepuffert werden. </w:t>
      </w:r>
    </w:p>
    <w:p>
      <w:pPr>
        <w:pStyle w:val="Normal"/>
        <w:jc w:val="both"/>
        <w:rPr>
          <w:szCs w:val="20"/>
        </w:rPr>
      </w:pPr>
      <w:r>
        <w:rPr>
          <w:szCs w:val="20"/>
        </w:rPr>
        <w:t>Daher wird als alternativer, vereinfachter Ansatz sowohl für den Ton- als auch den Humusanteil ein „mittleres“ Bindungsvermögen für organische Schadstoffe angenommen.</w:t>
      </w:r>
    </w:p>
    <w:p>
      <w:pPr>
        <w:pStyle w:val="Normal"/>
        <w:jc w:val="both"/>
        <w:rPr>
          <w:rFonts w:cs="Arial"/>
          <w:i/>
          <w:szCs w:val="20"/>
        </w:rPr>
      </w:pPr>
      <w:r>
        <w:rPr>
          <w:rFonts w:cs="Arial"/>
          <w:i/>
          <w:szCs w:val="20"/>
        </w:rPr>
      </w:r>
    </w:p>
    <w:p>
      <w:pPr>
        <w:pStyle w:val="Normal"/>
        <w:jc w:val="both"/>
        <w:rPr>
          <w:rFonts w:cs="Arial"/>
          <w:i/>
          <w:szCs w:val="20"/>
        </w:rPr>
      </w:pPr>
      <w:r>
        <w:rPr>
          <w:rFonts w:cs="Arial"/>
          <w:i/>
          <w:szCs w:val="20"/>
        </w:rPr>
      </w:r>
    </w:p>
    <w:p>
      <w:pPr>
        <w:pStyle w:val="Normal"/>
        <w:spacing w:before="0" w:after="120"/>
        <w:jc w:val="both"/>
        <w:rPr>
          <w:rFonts w:cs="Arial"/>
          <w:bCs/>
          <w:color w:val="000000"/>
          <w:szCs w:val="20"/>
          <w:u w:val="single"/>
        </w:rPr>
      </w:pPr>
      <w:r>
        <w:rPr>
          <w:rFonts w:cs="Arial"/>
          <w:szCs w:val="20"/>
          <w:u w:val="single"/>
        </w:rPr>
        <w:t xml:space="preserve">Schritt 1 – </w:t>
      </w:r>
      <w:r>
        <w:rPr>
          <w:rFonts w:cs="Arial"/>
          <w:bCs/>
          <w:color w:val="000000"/>
          <w:szCs w:val="20"/>
          <w:u w:val="single"/>
        </w:rPr>
        <w:t>Bestimmung der „mittleren“ Bindungsstärke für organische Schadstoffe durch den Humus</w:t>
        <w:softHyphen/>
        <w:t>anteil (</w:t>
      </w:r>
      <w:r>
        <w:rPr>
          <w:rFonts w:cs="Arial"/>
          <w:bCs/>
          <w:i/>
          <w:color w:val="000000"/>
          <w:szCs w:val="20"/>
          <w:u w:val="single"/>
        </w:rPr>
        <w:t>Org_rel_hum</w:t>
      </w:r>
      <w:r>
        <w:rPr>
          <w:rFonts w:cs="Arial"/>
          <w:bCs/>
          <w:color w:val="000000"/>
          <w:szCs w:val="20"/>
          <w:u w:val="single"/>
        </w:rPr>
        <w:t>)</w:t>
      </w:r>
    </w:p>
    <w:p>
      <w:pPr>
        <w:pStyle w:val="Normal"/>
        <w:spacing w:before="0" w:after="120"/>
        <w:jc w:val="both"/>
        <w:rPr>
          <w:szCs w:val="20"/>
        </w:rPr>
      </w:pPr>
      <w:r>
        <w:rPr>
          <w:szCs w:val="20"/>
        </w:rPr>
        <w:t>Für Mineralböden wird die „mittlere“ relative Bindungsstärke in Abhängigkeit vom Humusgehalt (Px01) nach folgender Tabelle für jeden Horizont festgelegt:</w:t>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268"/>
        <w:gridCol w:w="2268"/>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i/>
                <w:szCs w:val="20"/>
              </w:rPr>
            </w:pPr>
            <w:r>
              <w:rPr>
                <w:rFonts w:cs="Arial"/>
                <w:b/>
                <w:szCs w:val="20"/>
              </w:rPr>
              <w:t xml:space="preserve">Humusgehalt </w:t>
            </w:r>
            <w:r>
              <w:rPr>
                <w:rFonts w:cs="Arial"/>
                <w:szCs w:val="20"/>
              </w:rPr>
              <w:t>[%]</w:t>
            </w:r>
            <w:r>
              <w:rPr>
                <w:rFonts w:cs="Arial"/>
                <w:b/>
                <w:szCs w:val="20"/>
              </w:rPr>
              <w:t xml:space="preserve"> </w:t>
            </w:r>
            <w:r>
              <w:rPr>
                <w:rFonts w:cs="Arial"/>
                <w:i/>
                <w:szCs w:val="20"/>
              </w:rPr>
              <w:t>(Px01)</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Org_rel_hum</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 xml:space="preserve">&lt;1 </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1,0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1 bis &lt;2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1,5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2 bis &lt;4</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2,0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4 bis &lt;8</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2,0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8 bis &lt;15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2,5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15 bis &lt;30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3,0</w:t>
            </w:r>
          </w:p>
        </w:tc>
      </w:tr>
    </w:tbl>
    <w:p>
      <w:pPr>
        <w:pStyle w:val="Normal"/>
        <w:rPr/>
      </w:pPr>
      <w:r>
        <w:rPr/>
      </w:r>
    </w:p>
    <w:p>
      <w:pPr>
        <w:pStyle w:val="Normal"/>
        <w:spacing w:before="0" w:after="120"/>
        <w:jc w:val="both"/>
        <w:rPr>
          <w:szCs w:val="20"/>
        </w:rPr>
      </w:pPr>
      <w:r>
        <w:rPr>
          <w:szCs w:val="20"/>
        </w:rPr>
        <w:t xml:space="preserve">Für Auflagehorizonte und Moorböden (Torfe, Px01 </w:t>
      </w:r>
      <w:r>
        <w:rPr>
          <w:rFonts w:cs="Arial" w:ascii="Symbol" w:hAnsi="Symbol"/>
          <w:szCs w:val="20"/>
        </w:rPr>
        <w:t></w:t>
      </w:r>
      <w:r>
        <w:rPr>
          <w:rFonts w:cs="Arial"/>
          <w:szCs w:val="20"/>
        </w:rPr>
        <w:t>30)</w:t>
      </w:r>
      <w:r>
        <w:rPr>
          <w:szCs w:val="20"/>
        </w:rPr>
        <w:t xml:space="preserve"> wird für den ersten Bewertungsschritt folgende Tabelle herangezogen:</w:t>
      </w:r>
    </w:p>
    <w:p>
      <w:pPr>
        <w:pStyle w:val="Normal"/>
        <w:rPr>
          <w:rFonts w:cs="Arial"/>
          <w:b/>
          <w:bCs/>
          <w:color w:val="000000"/>
          <w:sz w:val="18"/>
          <w:szCs w:val="18"/>
        </w:rPr>
      </w:pPr>
      <w:r>
        <w:rPr>
          <w:rFonts w:cs="Arial"/>
          <w:b/>
          <w:bCs/>
          <w:color w:val="000000"/>
          <w:sz w:val="18"/>
          <w:szCs w:val="18"/>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609"/>
        <w:gridCol w:w="1927"/>
        <w:gridCol w:w="2269"/>
      </w:tblGrid>
      <w:tr>
        <w:trPr>
          <w:trHeight w:val="290" w:hRule="atLeast"/>
          <w:cantSplit w:val="false"/>
        </w:trPr>
        <w:tc>
          <w:tcPr>
            <w:tcW w:w="26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i/>
                <w:szCs w:val="20"/>
              </w:rPr>
            </w:pPr>
            <w:r>
              <w:rPr>
                <w:rFonts w:cs="Arial"/>
                <w:b/>
                <w:szCs w:val="20"/>
              </w:rPr>
              <w:t xml:space="preserve">Torfzersetzungsstufe </w:t>
            </w:r>
            <w:r>
              <w:rPr>
                <w:rFonts w:cs="Arial"/>
                <w:i/>
                <w:szCs w:val="20"/>
              </w:rPr>
              <w:t>(S327)</w:t>
            </w:r>
          </w:p>
        </w:tc>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b/>
                <w:szCs w:val="20"/>
              </w:rPr>
            </w:pPr>
            <w:r>
              <w:rPr>
                <w:rFonts w:cs="Arial"/>
                <w:b/>
                <w:szCs w:val="20"/>
              </w:rPr>
              <w:t>Auflagehorizont</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Org_rel_hum</w:t>
            </w:r>
          </w:p>
        </w:tc>
      </w:tr>
      <w:tr>
        <w:trPr>
          <w:trHeight w:val="290" w:hRule="atLeast"/>
          <w:cantSplit w:val="false"/>
        </w:trPr>
        <w:tc>
          <w:tcPr>
            <w:tcW w:w="26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Vererdet (18)</w:t>
            </w:r>
          </w:p>
          <w:p>
            <w:pPr>
              <w:pStyle w:val="Normal"/>
              <w:spacing w:before="60" w:after="60"/>
              <w:jc w:val="center"/>
              <w:rPr>
                <w:rFonts w:cs="Arial"/>
                <w:color w:val="9900FF"/>
                <w:szCs w:val="20"/>
              </w:rPr>
            </w:pPr>
            <w:r>
              <w:rPr>
                <w:rFonts w:cs="Arial"/>
                <w:color w:val="9900FF"/>
                <w:szCs w:val="20"/>
              </w:rPr>
              <w:t>stark, sehr stark</w:t>
            </w:r>
          </w:p>
        </w:tc>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Oh</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3,0</w:t>
            </w:r>
          </w:p>
        </w:tc>
      </w:tr>
      <w:tr>
        <w:trPr>
          <w:trHeight w:val="290" w:hRule="atLeast"/>
          <w:cantSplit w:val="false"/>
        </w:trPr>
        <w:tc>
          <w:tcPr>
            <w:tcW w:w="26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Zersetzt (17)</w:t>
            </w:r>
          </w:p>
          <w:p>
            <w:pPr>
              <w:pStyle w:val="Normal"/>
              <w:spacing w:before="60" w:after="60"/>
              <w:jc w:val="center"/>
              <w:rPr>
                <w:rFonts w:cs="Arial"/>
                <w:color w:val="9900FF"/>
                <w:szCs w:val="20"/>
              </w:rPr>
            </w:pPr>
            <w:r>
              <w:rPr>
                <w:rFonts w:cs="Arial"/>
                <w:color w:val="9900FF"/>
                <w:szCs w:val="20"/>
              </w:rPr>
              <w:t>mittel</w:t>
            </w:r>
          </w:p>
        </w:tc>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Of</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2,5</w:t>
            </w:r>
          </w:p>
        </w:tc>
      </w:tr>
      <w:tr>
        <w:trPr>
          <w:trHeight w:val="290" w:hRule="atLeast"/>
          <w:cantSplit w:val="false"/>
        </w:trPr>
        <w:tc>
          <w:tcPr>
            <w:tcW w:w="26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i/>
                <w:szCs w:val="20"/>
              </w:rPr>
            </w:pPr>
            <w:r>
              <w:rPr>
                <w:rFonts w:cs="Arial"/>
                <w:szCs w:val="20"/>
              </w:rPr>
              <w:t xml:space="preserve">unzersetzt (&lt;&gt;17 UND &lt;&gt;18 UND </w:t>
            </w:r>
            <w:r>
              <w:rPr>
                <w:rFonts w:cs="Arial"/>
                <w:i/>
                <w:szCs w:val="20"/>
              </w:rPr>
              <w:t>S322 = 2100 – 2120)</w:t>
            </w:r>
          </w:p>
          <w:p>
            <w:pPr>
              <w:pStyle w:val="Normal"/>
              <w:spacing w:before="60" w:after="60"/>
              <w:jc w:val="center"/>
              <w:rPr>
                <w:rFonts w:cs="Arial"/>
                <w:i/>
                <w:color w:val="9900FF"/>
                <w:szCs w:val="20"/>
              </w:rPr>
            </w:pPr>
            <w:r>
              <w:rPr>
                <w:rFonts w:cs="Arial"/>
                <w:i/>
                <w:color w:val="9900FF"/>
                <w:szCs w:val="20"/>
              </w:rPr>
              <w:t>sehr schwach, schwach</w:t>
            </w:r>
          </w:p>
        </w:tc>
        <w:tc>
          <w:tcPr>
            <w:tcW w:w="192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Ol / L</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2,0</w:t>
            </w:r>
          </w:p>
        </w:tc>
      </w:tr>
    </w:tbl>
    <w:p>
      <w:pPr>
        <w:pStyle w:val="Normal"/>
        <w:rPr>
          <w:rFonts w:cs="Arial"/>
          <w:b/>
          <w:bCs/>
          <w:color w:val="000000"/>
          <w:sz w:val="18"/>
          <w:szCs w:val="18"/>
        </w:rPr>
      </w:pPr>
      <w:r>
        <w:rPr>
          <w:rFonts w:cs="Arial"/>
          <w:b/>
          <w:bCs/>
          <w:color w:val="000000"/>
          <w:sz w:val="18"/>
          <w:szCs w:val="18"/>
        </w:rPr>
      </w:r>
    </w:p>
    <w:p>
      <w:pPr>
        <w:pStyle w:val="Normal"/>
        <w:rPr>
          <w:rFonts w:cs="Arial"/>
          <w:b/>
          <w:bCs/>
          <w:color w:val="000000"/>
          <w:sz w:val="18"/>
          <w:szCs w:val="18"/>
        </w:rPr>
      </w:pPr>
      <w:r>
        <w:rPr>
          <w:rFonts w:cs="Arial"/>
          <w:b/>
          <w:bCs/>
          <w:color w:val="000000"/>
          <w:sz w:val="18"/>
          <w:szCs w:val="18"/>
        </w:rPr>
      </w:r>
    </w:p>
    <w:p>
      <w:pPr>
        <w:pStyle w:val="Normal"/>
        <w:spacing w:before="0" w:after="120"/>
        <w:jc w:val="both"/>
        <w:rPr>
          <w:rFonts w:cs="Arial"/>
          <w:bCs/>
          <w:color w:val="000000"/>
          <w:szCs w:val="20"/>
          <w:u w:val="single"/>
        </w:rPr>
      </w:pPr>
      <w:r>
        <w:rPr>
          <w:rFonts w:cs="Arial"/>
          <w:szCs w:val="20"/>
          <w:u w:val="single"/>
        </w:rPr>
        <w:t xml:space="preserve">Schritt 2 – </w:t>
      </w:r>
      <w:r>
        <w:rPr>
          <w:rFonts w:cs="Arial"/>
          <w:bCs/>
          <w:color w:val="000000"/>
          <w:szCs w:val="20"/>
          <w:u w:val="single"/>
        </w:rPr>
        <w:t>Bestimmung der „mittleren“ Bindungsstärke für organische Schadstoffe durch den Tonanteil (</w:t>
      </w:r>
      <w:r>
        <w:rPr>
          <w:rFonts w:cs="Arial"/>
          <w:bCs/>
          <w:i/>
          <w:color w:val="000000"/>
          <w:szCs w:val="20"/>
          <w:u w:val="single"/>
        </w:rPr>
        <w:t>Org_rel_ton</w:t>
      </w:r>
      <w:r>
        <w:rPr>
          <w:rFonts w:cs="Arial"/>
          <w:bCs/>
          <w:color w:val="000000"/>
          <w:szCs w:val="20"/>
          <w:u w:val="single"/>
        </w:rPr>
        <w:t>)</w:t>
      </w:r>
    </w:p>
    <w:p>
      <w:pPr>
        <w:pStyle w:val="Normal"/>
        <w:jc w:val="both"/>
        <w:rPr>
          <w:rFonts w:cs="Arial"/>
          <w:szCs w:val="20"/>
        </w:rPr>
      </w:pPr>
      <w:r>
        <w:rPr>
          <w:rFonts w:cs="Arial"/>
          <w:szCs w:val="20"/>
        </w:rPr>
        <w:t>Bei exakt im Labor bestimmtem Tongehalt ist der Wert aus B200 heranzuziehen. Ansonsten kann der Tongehalt näherungsweise nach folgender Tabelle aus der Bodenart (per Messung im Labor: B209, per Fingerprobe im Gelände: P140) abgeleitet werden (vgl. Bestimmung Px05):</w:t>
      </w:r>
    </w:p>
    <w:p>
      <w:pPr>
        <w:pStyle w:val="Normal"/>
        <w:rPr/>
      </w:pPr>
      <w:r>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700"/>
        <w:gridCol w:w="1984"/>
        <w:gridCol w:w="1700"/>
        <w:gridCol w:w="1702"/>
      </w:tblGrid>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berschrift"/>
              <w:spacing w:before="120" w:after="60"/>
              <w:rPr/>
            </w:pPr>
            <w:r>
              <w:rPr/>
              <w:t>Code P140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berschrift"/>
              <w:spacing w:before="120" w:after="60"/>
              <w:rPr/>
            </w:pPr>
            <w:r>
              <w:rPr/>
              <w:t>Bodenart</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berschrift"/>
              <w:spacing w:before="120" w:after="60"/>
              <w:rPr/>
            </w:pPr>
            <w:r>
              <w:rPr/>
              <w:t>Kürzel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berschrift"/>
              <w:spacing w:before="120" w:after="60"/>
              <w:rPr/>
            </w:pPr>
            <w:r>
              <w:rPr/>
              <w:t>Ton%=</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101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2,5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121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schluffiger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uS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2,5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212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sandiger 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sU</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7,5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202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U</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10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231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lehmiger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10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332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lehmiger 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lU</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20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341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toniger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tS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20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313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sandiger 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20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423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schluffiger 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uL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30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403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30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414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sandiger 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sT</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30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534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lehmiger 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lT</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45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504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T</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b/>
              </w:rPr>
            </w:pPr>
            <w:r>
              <w:rPr>
                <w:b/>
              </w:rPr>
              <w:t>70</w:t>
            </w:r>
          </w:p>
        </w:tc>
      </w:tr>
    </w:tbl>
    <w:p>
      <w:pPr>
        <w:pStyle w:val="Bildunterschrift"/>
        <w:rPr/>
      </w:pPr>
      <w:r>
        <w:rPr/>
        <w:t>Quelle: eigene Zuordnung aus Mittelwerten der (analysierten) Korngrößenverteilung aus der Bodenkarte Kufstein (KB 211 und 198) und Körnungsdiagramm Österreich (Geologischer Dienst NRW, http://www.gd.nrw.de/l_bartaut.htm, 16.7.2009)</w:t>
      </w:r>
    </w:p>
    <w:p>
      <w:pPr>
        <w:pStyle w:val="Normal"/>
        <w:tabs>
          <w:tab w:val="left" w:pos="4276" w:leader="none"/>
        </w:tabs>
        <w:ind w:left="1069" w:right="0" w:hanging="0"/>
        <w:jc w:val="both"/>
        <w:rPr>
          <w:rFonts w:cs="Arial"/>
          <w:sz w:val="18"/>
          <w:szCs w:val="18"/>
        </w:rPr>
      </w:pPr>
      <w:r>
        <w:rPr>
          <w:rFonts w:cs="Arial"/>
          <w:sz w:val="18"/>
          <w:szCs w:val="18"/>
        </w:rPr>
      </w:r>
    </w:p>
    <w:p>
      <w:pPr>
        <w:pStyle w:val="Normal"/>
        <w:tabs>
          <w:tab w:val="left" w:pos="4276" w:leader="none"/>
        </w:tabs>
        <w:jc w:val="both"/>
        <w:rPr>
          <w:rFonts w:cs="Arial"/>
          <w:szCs w:val="20"/>
        </w:rPr>
      </w:pPr>
      <w:r>
        <w:rPr>
          <w:rFonts w:cs="Arial"/>
          <w:szCs w:val="20"/>
        </w:rPr>
        <w:t>Anschließend erfolgt die Zuweisung der „mittleren“ relativen Bindungsstärke nach folgender Tabelle (Müller 2004: 288, modifziert):</w:t>
      </w:r>
    </w:p>
    <w:p>
      <w:pPr>
        <w:pStyle w:val="Normal"/>
        <w:tabs>
          <w:tab w:val="left" w:pos="4276" w:leader="none"/>
        </w:tabs>
        <w:ind w:left="1069" w:right="0" w:hanging="0"/>
        <w:rPr>
          <w:rFonts w:cs="Arial"/>
          <w:sz w:val="18"/>
          <w:szCs w:val="18"/>
        </w:rPr>
      </w:pPr>
      <w:r>
        <w:rPr>
          <w:rFonts w:cs="Arial"/>
          <w:sz w:val="18"/>
          <w:szCs w:val="18"/>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268"/>
        <w:gridCol w:w="2268"/>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b/>
                <w:szCs w:val="20"/>
              </w:rPr>
              <w:t xml:space="preserve">Tongehalt </w:t>
            </w:r>
            <w:r>
              <w:rPr>
                <w:rFonts w:cs="Arial"/>
                <w:szCs w:val="20"/>
              </w:rPr>
              <w:t>[%]</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Org_rel_ton</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 xml:space="preserve">&lt;5 </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1,0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5 bis &lt;15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1,5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15 bis &lt;25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2,0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szCs w:val="20"/>
              </w:rPr>
              <w:t>25 bis &lt;50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2,5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Normal"/>
              <w:spacing w:before="60" w:after="60"/>
              <w:jc w:val="center"/>
              <w:rPr>
                <w:rFonts w:cs="Arial"/>
                <w:szCs w:val="20"/>
              </w:rPr>
            </w:pPr>
            <w:r>
              <w:rPr>
                <w:rFonts w:cs="Arial" w:ascii="Symbol" w:hAnsi="Symbol"/>
                <w:szCs w:val="20"/>
              </w:rPr>
              <w:t></w:t>
            </w:r>
            <w:r>
              <w:rPr>
                <w:rFonts w:cs="Arial"/>
                <w:szCs w:val="20"/>
              </w:rPr>
              <w:t>50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
                <w:szCs w:val="20"/>
              </w:rPr>
            </w:pPr>
            <w:r>
              <w:rPr>
                <w:rFonts w:cs="Arial"/>
                <w:b/>
                <w:szCs w:val="20"/>
              </w:rPr>
              <w:t>3,0</w:t>
            </w:r>
          </w:p>
        </w:tc>
      </w:tr>
    </w:tbl>
    <w:p>
      <w:pPr>
        <w:pStyle w:val="Normal"/>
        <w:tabs>
          <w:tab w:val="left" w:pos="4276" w:leader="none"/>
        </w:tabs>
        <w:ind w:left="1069" w:right="0" w:hanging="0"/>
        <w:rPr>
          <w:rFonts w:cs="Arial"/>
          <w:sz w:val="18"/>
          <w:szCs w:val="18"/>
        </w:rPr>
      </w:pPr>
      <w:r>
        <w:rPr>
          <w:rFonts w:cs="Arial"/>
          <w:sz w:val="18"/>
          <w:szCs w:val="18"/>
        </w:rPr>
      </w:r>
    </w:p>
    <w:p>
      <w:pPr>
        <w:pStyle w:val="Normal"/>
        <w:rPr>
          <w:rFonts w:cs="Arial"/>
          <w:b/>
          <w:bCs/>
          <w:color w:val="000000"/>
          <w:sz w:val="18"/>
          <w:szCs w:val="18"/>
        </w:rPr>
      </w:pPr>
      <w:r>
        <w:rPr>
          <w:rFonts w:cs="Arial"/>
          <w:b/>
          <w:bCs/>
          <w:color w:val="000000"/>
          <w:sz w:val="18"/>
          <w:szCs w:val="18"/>
        </w:rPr>
      </w:r>
    </w:p>
    <w:p>
      <w:pPr>
        <w:pStyle w:val="Normal"/>
        <w:spacing w:before="0" w:after="120"/>
        <w:jc w:val="both"/>
        <w:rPr>
          <w:rFonts w:cs="Arial"/>
          <w:bCs/>
          <w:color w:val="000000"/>
          <w:szCs w:val="20"/>
          <w:u w:val="single"/>
        </w:rPr>
      </w:pPr>
      <w:r>
        <w:rPr>
          <w:rFonts w:cs="Arial"/>
          <w:szCs w:val="20"/>
          <w:u w:val="single"/>
        </w:rPr>
        <w:t xml:space="preserve">Schritt 3 – </w:t>
      </w:r>
      <w:r>
        <w:rPr>
          <w:rFonts w:cs="Arial"/>
          <w:bCs/>
          <w:color w:val="000000"/>
          <w:szCs w:val="20"/>
          <w:u w:val="single"/>
        </w:rPr>
        <w:t xml:space="preserve">Bestimmung der „mittleren“ Bindungsstärke für organische Schadstoffe für jeden Horizont </w:t>
      </w:r>
    </w:p>
    <w:p>
      <w:pPr>
        <w:pStyle w:val="Normal"/>
        <w:widowControl w:val="false"/>
        <w:tabs>
          <w:tab w:val="left" w:pos="4996" w:leader="none"/>
        </w:tabs>
        <w:spacing w:lineRule="auto" w:line="240"/>
        <w:rPr>
          <w:rFonts w:cs="Arial"/>
          <w:szCs w:val="20"/>
        </w:rPr>
      </w:pPr>
      <w:r>
        <w:rPr>
          <w:rFonts w:cs="Arial"/>
          <w:szCs w:val="20"/>
        </w:rPr>
        <w:t xml:space="preserve">In diesem Schritt werden die Teilergebnisse aus Schritt 1 und 2 aufsummiert: </w:t>
      </w:r>
    </w:p>
    <w:p>
      <w:pPr>
        <w:pStyle w:val="Normal"/>
        <w:widowControl w:val="false"/>
        <w:tabs>
          <w:tab w:val="left" w:pos="993" w:leader="none"/>
          <w:tab w:val="left" w:pos="4996" w:leader="none"/>
        </w:tabs>
        <w:spacing w:lineRule="auto" w:line="240"/>
        <w:rPr>
          <w:rFonts w:cs="Arial"/>
          <w:szCs w:val="20"/>
          <w:lang w:val="de-AT"/>
        </w:rPr>
      </w:pPr>
      <w:r>
        <w:rPr>
          <w:rFonts w:cs="Arial"/>
          <w:szCs w:val="20"/>
          <w:lang w:val="en-US"/>
        </w:rPr>
        <w:tab/>
      </w:r>
      <w:r>
        <w:rPr>
          <w:rFonts w:cs="Arial"/>
          <w:szCs w:val="20"/>
          <w:lang w:val="de-AT"/>
        </w:rPr>
        <w:t>Org_rel_ges = Org_rel_hum + Org_rel_ton</w:t>
      </w:r>
    </w:p>
    <w:p>
      <w:pPr>
        <w:pStyle w:val="Normal"/>
        <w:ind w:left="709" w:right="0" w:hanging="0"/>
        <w:rPr>
          <w:rFonts w:cs="Arial"/>
          <w:bCs/>
          <w:i/>
          <w:color w:val="000000"/>
          <w:sz w:val="18"/>
          <w:szCs w:val="18"/>
          <w:lang w:val="de-AT"/>
        </w:rPr>
      </w:pPr>
      <w:r>
        <w:rPr>
          <w:rFonts w:cs="Arial"/>
          <w:bCs/>
          <w:i/>
          <w:color w:val="000000"/>
          <w:sz w:val="18"/>
          <w:szCs w:val="18"/>
          <w:lang w:val="de-AT"/>
        </w:rPr>
      </w:r>
    </w:p>
    <w:p>
      <w:pPr>
        <w:pStyle w:val="Normal"/>
        <w:jc w:val="both"/>
        <w:rPr>
          <w:rFonts w:cs="Arial"/>
          <w:bCs/>
          <w:i/>
          <w:color w:val="000000"/>
          <w:szCs w:val="20"/>
        </w:rPr>
      </w:pPr>
      <w:r>
        <w:rPr>
          <w:rFonts w:cs="Arial"/>
          <w:bCs/>
          <w:i/>
          <w:color w:val="000000"/>
          <w:szCs w:val="20"/>
        </w:rPr>
        <w:t>Anm.: Der pH-Wert hat zwar ebenso Auswirkungen auf die Bindungsfähigkeit für organische Schadstoffe (vgl. 1d.1 Potenzial als Filter und Puffer für Schwermetalle), allerdings besteht kein „einfacher“ Zusammenhang: bei manchen Stoffen steigt die Bindungsfähigkeit mit zunehmendem pH-Wert, während sie bei anderen abnimmt und vice versa – für eine Beurteilung der „mittleren“ Bindungsfähigkeit kann der pH-Wert daher nicht berücksichtigt werden.</w:t>
      </w:r>
    </w:p>
    <w:p>
      <w:pPr>
        <w:pStyle w:val="Normal"/>
        <w:rPr>
          <w:rFonts w:cs="Arial"/>
          <w:b/>
          <w:bCs/>
          <w:color w:val="000000"/>
          <w:sz w:val="18"/>
          <w:szCs w:val="18"/>
        </w:rPr>
      </w:pPr>
      <w:r>
        <w:rPr>
          <w:rFonts w:cs="Arial"/>
          <w:b/>
          <w:bCs/>
          <w:color w:val="000000"/>
          <w:sz w:val="18"/>
          <w:szCs w:val="18"/>
        </w:rPr>
      </w:r>
    </w:p>
    <w:p>
      <w:pPr>
        <w:pStyle w:val="Normal"/>
        <w:rPr>
          <w:rFonts w:cs="Arial"/>
          <w:b/>
          <w:bCs/>
          <w:color w:val="000000"/>
          <w:sz w:val="18"/>
          <w:szCs w:val="18"/>
        </w:rPr>
      </w:pPr>
      <w:r>
        <w:rPr>
          <w:rFonts w:cs="Arial"/>
          <w:b/>
          <w:bCs/>
          <w:color w:val="000000"/>
          <w:sz w:val="18"/>
          <w:szCs w:val="18"/>
        </w:rPr>
      </w:r>
    </w:p>
    <w:p>
      <w:pPr>
        <w:pStyle w:val="Normal"/>
        <w:spacing w:before="0" w:after="120"/>
        <w:rPr>
          <w:rFonts w:cs="Arial"/>
          <w:bCs/>
          <w:color w:val="000000"/>
          <w:szCs w:val="20"/>
          <w:u w:val="single"/>
        </w:rPr>
      </w:pPr>
      <w:r>
        <w:rPr>
          <w:rFonts w:cs="Arial"/>
          <w:szCs w:val="20"/>
          <w:u w:val="single"/>
        </w:rPr>
        <w:t xml:space="preserve">Schritt 4 – </w:t>
      </w:r>
      <w:r>
        <w:rPr>
          <w:rFonts w:cs="Arial"/>
          <w:bCs/>
          <w:color w:val="000000"/>
          <w:szCs w:val="20"/>
          <w:u w:val="single"/>
        </w:rPr>
        <w:t>Modifikation der „mittleren“ Bindungsstärke für organische Schadstoffe nach Grobanteil des Bodens</w:t>
      </w:r>
    </w:p>
    <w:p>
      <w:pPr>
        <w:pStyle w:val="Normal"/>
        <w:jc w:val="both"/>
        <w:rPr>
          <w:rFonts w:cs="Arial"/>
          <w:szCs w:val="20"/>
        </w:rPr>
      </w:pPr>
      <w:r>
        <w:rPr>
          <w:rFonts w:cs="Arial"/>
          <w:szCs w:val="20"/>
        </w:rPr>
        <w:t>Da nur der Feinboden als Puffer fungieren kann, wird die relative Bindungsstärke um den prozentuellen Anteil des Bodenskeletts (Px02) reduziert:</w:t>
      </w:r>
    </w:p>
    <w:p>
      <w:pPr>
        <w:pStyle w:val="Normal"/>
        <w:tabs>
          <w:tab w:val="left" w:pos="3916" w:leader="none"/>
        </w:tabs>
        <w:ind w:left="1069" w:right="0" w:hanging="0"/>
        <w:rPr>
          <w:rFonts w:cs="Arial"/>
          <w:szCs w:val="20"/>
          <w:lang w:val="de-AT"/>
        </w:rPr>
      </w:pPr>
      <w:r>
        <w:rPr>
          <w:rFonts w:cs="Arial"/>
          <w:szCs w:val="20"/>
          <w:lang w:val="de-AT"/>
        </w:rPr>
      </w:r>
    </w:p>
    <w:p>
      <w:pPr>
        <w:pStyle w:val="Normal"/>
        <w:tabs>
          <w:tab w:val="left" w:pos="3916" w:leader="none"/>
        </w:tabs>
        <w:ind w:left="1069" w:right="0" w:hanging="0"/>
        <w:rPr>
          <w:rFonts w:cs="Arial"/>
          <w:szCs w:val="20"/>
          <w:lang w:val="en-GB"/>
        </w:rPr>
      </w:pPr>
      <w:r>
        <w:rPr>
          <w:rFonts w:cs="Arial"/>
          <w:szCs w:val="20"/>
          <w:lang w:val="en-GB"/>
        </w:rPr>
        <w:t>Org_rel_mod = Org_rel_ges * (100 - Px02) / 100</w:t>
      </w:r>
    </w:p>
    <w:p>
      <w:pPr>
        <w:pStyle w:val="Normal"/>
        <w:tabs>
          <w:tab w:val="left" w:pos="709" w:leader="none"/>
        </w:tabs>
        <w:rPr>
          <w:rFonts w:cs="Arial"/>
          <w:sz w:val="18"/>
          <w:szCs w:val="20"/>
          <w:lang w:val="en-GB"/>
        </w:rPr>
      </w:pPr>
      <w:r>
        <w:rPr>
          <w:rFonts w:cs="Arial"/>
          <w:sz w:val="18"/>
          <w:szCs w:val="20"/>
          <w:lang w:val="en-GB"/>
        </w:rPr>
      </w:r>
    </w:p>
    <w:p>
      <w:pPr>
        <w:pStyle w:val="Normal"/>
        <w:rPr>
          <w:rFonts w:cs="Arial"/>
          <w:b/>
          <w:bCs/>
          <w:color w:val="000000"/>
          <w:sz w:val="18"/>
          <w:szCs w:val="18"/>
        </w:rPr>
      </w:pPr>
      <w:r>
        <w:rPr>
          <w:rFonts w:cs="Arial"/>
          <w:b/>
          <w:bCs/>
          <w:color w:val="000000"/>
          <w:sz w:val="18"/>
          <w:szCs w:val="18"/>
        </w:rPr>
      </w:r>
    </w:p>
    <w:p>
      <w:pPr>
        <w:pStyle w:val="Normal"/>
        <w:spacing w:before="0" w:after="120"/>
        <w:rPr>
          <w:rFonts w:cs="Arial"/>
          <w:bCs/>
          <w:color w:val="000000"/>
          <w:szCs w:val="20"/>
          <w:u w:val="single"/>
        </w:rPr>
      </w:pPr>
      <w:r>
        <w:rPr>
          <w:rFonts w:cs="Arial"/>
          <w:szCs w:val="20"/>
          <w:u w:val="single"/>
        </w:rPr>
        <w:t xml:space="preserve">Schritt 5 – </w:t>
      </w:r>
      <w:r>
        <w:rPr>
          <w:rFonts w:cs="Arial"/>
          <w:bCs/>
          <w:color w:val="000000"/>
          <w:szCs w:val="20"/>
          <w:u w:val="single"/>
        </w:rPr>
        <w:t>Bestimmung der „mittleren“ Bindungsstärke für organische Schadstoffe für das Gesamt</w:t>
        <w:softHyphen/>
        <w:t>profil</w:t>
      </w:r>
    </w:p>
    <w:p>
      <w:pPr>
        <w:pStyle w:val="Normal"/>
        <w:jc w:val="both"/>
        <w:rPr>
          <w:rFonts w:cs="Arial"/>
          <w:szCs w:val="20"/>
        </w:rPr>
      </w:pPr>
      <w:r>
        <w:rPr>
          <w:rFonts w:cs="Arial"/>
          <w:szCs w:val="20"/>
        </w:rPr>
        <w:t xml:space="preserve">Die Bewertungsschritte 1 bis 4 werden für alle relevanten Horizonte im Profil durchgeführt. Bewertungsrelevant sind dabei </w:t>
      </w:r>
      <w:r>
        <w:rPr>
          <w:rFonts w:cs="Arial"/>
          <w:b/>
          <w:szCs w:val="20"/>
        </w:rPr>
        <w:t>alle Auflagehorizonte</w:t>
      </w:r>
      <w:r>
        <w:rPr>
          <w:rFonts w:cs="Arial"/>
          <w:szCs w:val="20"/>
        </w:rPr>
        <w:t xml:space="preserve"> sowie mineralische Oberbodenhorizonte, die wie folgt definiert werden:</w:t>
      </w:r>
    </w:p>
    <w:p>
      <w:pPr>
        <w:pStyle w:val="ListParagraph"/>
        <w:numPr>
          <w:ilvl w:val="0"/>
          <w:numId w:val="5"/>
        </w:numPr>
        <w:jc w:val="both"/>
        <w:rPr>
          <w:rFonts w:cs="Arial"/>
          <w:szCs w:val="20"/>
        </w:rPr>
      </w:pPr>
      <w:r>
        <w:rPr>
          <w:rFonts w:cs="Arial"/>
          <w:szCs w:val="20"/>
        </w:rPr>
        <w:t>Horizontbezeichnung = „O“, „H“ oder „A“ (mit beliebigem Pre- und Suffix)</w:t>
      </w:r>
    </w:p>
    <w:p>
      <w:pPr>
        <w:pStyle w:val="ListParagraph"/>
        <w:numPr>
          <w:ilvl w:val="0"/>
          <w:numId w:val="5"/>
        </w:numPr>
        <w:jc w:val="both"/>
        <w:rPr>
          <w:rFonts w:cs="Arial"/>
          <w:szCs w:val="20"/>
        </w:rPr>
      </w:pPr>
      <w:r>
        <w:rPr>
          <w:rFonts w:cs="Arial"/>
          <w:szCs w:val="20"/>
        </w:rPr>
        <w:t>Humusgehalt (Px01) von mehr als 2,0 % (</w:t>
      </w:r>
      <w:r>
        <w:rPr>
          <w:rFonts w:cs="Arial"/>
          <w:i/>
          <w:szCs w:val="20"/>
        </w:rPr>
        <w:t>Einschränkung: bei Grundwassereinfluss werden jedenfalls nur Horizonte oberhalb von Gr/G2, bei Stauwassereinfluss oberhalb von Sd/S berücksichtigt</w:t>
      </w:r>
      <w:r>
        <w:rPr>
          <w:rFonts w:cs="Arial"/>
          <w:szCs w:val="20"/>
        </w:rPr>
        <w:t>)</w:t>
      </w:r>
    </w:p>
    <w:p>
      <w:pPr>
        <w:pStyle w:val="Normal"/>
        <w:jc w:val="both"/>
        <w:rPr>
          <w:rFonts w:cs="Arial"/>
          <w:szCs w:val="20"/>
        </w:rPr>
      </w:pPr>
      <w:r>
        <w:rPr>
          <w:rFonts w:cs="Arial"/>
          <w:szCs w:val="20"/>
        </w:rPr>
      </w:r>
    </w:p>
    <w:p>
      <w:pPr>
        <w:pStyle w:val="Normal"/>
        <w:jc w:val="both"/>
        <w:rPr>
          <w:rFonts w:cs="Arial"/>
          <w:szCs w:val="20"/>
        </w:rPr>
      </w:pPr>
      <w:r>
        <w:rPr>
          <w:rFonts w:cs="Arial"/>
          <w:szCs w:val="20"/>
        </w:rPr>
        <w:t xml:space="preserve">Anschließend werden die horizontbezogenen Werte gewichtet nach der jeweiligen Mächtigkeit der Horizonte 1 bis </w:t>
      </w:r>
      <w:r>
        <w:rPr>
          <w:rFonts w:cs="Arial"/>
          <w:i/>
          <w:szCs w:val="20"/>
        </w:rPr>
        <w:t>n</w:t>
      </w:r>
      <w:r>
        <w:rPr>
          <w:rFonts w:cs="Arial"/>
          <w:szCs w:val="20"/>
        </w:rPr>
        <w:t xml:space="preserve"> aufsummiert, wobei die Auflagehorizonte in die Gesamtmächtigkeit des bewerteten Profils mit einbezogen werden.</w:t>
      </w:r>
    </w:p>
    <w:p>
      <w:pPr>
        <w:pStyle w:val="Normal"/>
        <w:tabs>
          <w:tab w:val="left" w:pos="4996" w:leader="none"/>
        </w:tabs>
        <w:ind w:left="1429" w:right="0" w:hanging="360"/>
        <w:rPr>
          <w:rFonts w:cs="Arial"/>
          <w:sz w:val="18"/>
          <w:szCs w:val="20"/>
        </w:rPr>
      </w:pPr>
      <w:r>
        <w:rPr>
          <w:rFonts w:cs="Arial"/>
          <w:sz w:val="18"/>
          <w:szCs w:val="20"/>
        </w:rPr>
      </w:r>
    </w:p>
    <w:p>
      <w:pPr>
        <w:pStyle w:val="Normal"/>
        <w:tabs>
          <w:tab w:val="left" w:pos="3916" w:leader="none"/>
        </w:tabs>
        <w:ind w:left="1069" w:right="0" w:hanging="0"/>
        <w:jc w:val="both"/>
        <w:rPr>
          <w:rFonts w:cs="Arial"/>
          <w:szCs w:val="20"/>
        </w:rPr>
      </w:pPr>
      <w:r>
        <w:rPr>
          <w:rFonts w:cs="Arial"/>
          <w:szCs w:val="20"/>
        </w:rPr>
        <w:t>Org_rel_Profil = Σ (Org_rel_mod (</w:t>
      </w:r>
      <w:r>
        <w:rPr>
          <w:rFonts w:cs="Arial"/>
          <w:i/>
          <w:iCs/>
          <w:szCs w:val="20"/>
        </w:rPr>
        <w:t>n</w:t>
      </w:r>
      <w:r>
        <w:rPr>
          <w:rFonts w:cs="Arial"/>
          <w:iCs/>
          <w:szCs w:val="20"/>
        </w:rPr>
        <w:t>)</w:t>
      </w:r>
      <w:r>
        <w:rPr>
          <w:rFonts w:cs="Arial"/>
          <w:szCs w:val="20"/>
        </w:rPr>
        <w:t xml:space="preserve"> * Mächtigkeit (</w:t>
      </w:r>
      <w:r>
        <w:rPr>
          <w:rFonts w:cs="Arial"/>
          <w:i/>
          <w:iCs/>
          <w:szCs w:val="20"/>
        </w:rPr>
        <w:t>n</w:t>
      </w:r>
      <w:r>
        <w:rPr>
          <w:rFonts w:cs="Arial"/>
          <w:szCs w:val="20"/>
        </w:rPr>
        <w:t xml:space="preserve">) [cm] / </w:t>
      </w:r>
      <w:r>
        <w:rPr>
          <w:rFonts w:cs="Arial"/>
          <w:iCs/>
          <w:color w:val="9900FF"/>
          <w:szCs w:val="20"/>
        </w:rPr>
        <w:t>100</w:t>
      </w:r>
      <w:r>
        <w:rPr>
          <w:rFonts w:cs="Arial"/>
          <w:szCs w:val="20"/>
        </w:rPr>
        <w:t xml:space="preserve">)  </w:t>
      </w:r>
    </w:p>
    <w:p>
      <w:pPr>
        <w:pStyle w:val="Normal"/>
        <w:tabs>
          <w:tab w:val="left" w:pos="3916" w:leader="none"/>
        </w:tabs>
        <w:ind w:left="1069" w:right="0" w:hanging="0"/>
        <w:jc w:val="both"/>
        <w:rPr>
          <w:rFonts w:cs="Arial"/>
          <w:color w:val="9900FF"/>
          <w:szCs w:val="20"/>
        </w:rPr>
      </w:pPr>
      <w:r>
        <w:rPr>
          <w:rFonts w:cs="Arial"/>
          <w:color w:val="9900FF"/>
          <w:szCs w:val="20"/>
        </w:rPr>
        <w:t>für die Vergleichbarkeit wird hier 100 cm anstatt der Gesamtmächtigkeit genommen aufgrund gewisser Unklarheit in Anleitung</w:t>
      </w:r>
    </w:p>
    <w:p>
      <w:pPr>
        <w:pStyle w:val="Normal"/>
        <w:tabs>
          <w:tab w:val="left" w:pos="3916" w:leader="none"/>
        </w:tabs>
        <w:ind w:left="1069" w:right="0" w:hanging="0"/>
        <w:jc w:val="both"/>
        <w:rPr>
          <w:rFonts w:cs="Arial"/>
          <w:sz w:val="18"/>
          <w:szCs w:val="20"/>
        </w:rPr>
      </w:pPr>
      <w:r>
        <w:rPr>
          <w:rFonts w:cs="Arial"/>
          <w:sz w:val="18"/>
          <w:szCs w:val="20"/>
        </w:rPr>
      </w:r>
    </w:p>
    <w:p>
      <w:pPr>
        <w:pStyle w:val="Normal"/>
        <w:spacing w:before="0" w:after="120"/>
        <w:rPr>
          <w:rFonts w:cs="Arial"/>
          <w:bCs/>
          <w:color w:val="000000"/>
          <w:szCs w:val="20"/>
          <w:u w:val="single"/>
        </w:rPr>
      </w:pPr>
      <w:r>
        <w:rPr>
          <w:rFonts w:cs="Arial"/>
          <w:szCs w:val="20"/>
          <w:u w:val="single"/>
        </w:rPr>
        <w:t xml:space="preserve">Schritt 6 – </w:t>
      </w:r>
      <w:r>
        <w:rPr>
          <w:rFonts w:cs="Arial"/>
          <w:bCs/>
          <w:color w:val="000000"/>
          <w:szCs w:val="20"/>
          <w:u w:val="single"/>
        </w:rPr>
        <w:t xml:space="preserve">Gesamtbewertung </w:t>
      </w:r>
    </w:p>
    <w:p>
      <w:pPr>
        <w:pStyle w:val="Normal"/>
        <w:jc w:val="both"/>
        <w:rPr>
          <w:rFonts w:cs="Arial"/>
          <w:szCs w:val="20"/>
        </w:rPr>
      </w:pPr>
      <w:r>
        <w:rPr>
          <w:rFonts w:cs="Arial"/>
          <w:szCs w:val="20"/>
        </w:rPr>
        <w:t xml:space="preserve">Zur Gesamtbewertung des Filter- und Pufferpotenzials für </w:t>
      </w:r>
      <w:r>
        <w:rPr>
          <w:rFonts w:cs="Arial"/>
          <w:color w:val="9900FF"/>
          <w:szCs w:val="20"/>
        </w:rPr>
        <w:t>organische Schadstoffe</w:t>
      </w:r>
      <w:r>
        <w:rPr>
          <w:rFonts w:cs="Arial"/>
          <w:szCs w:val="20"/>
        </w:rPr>
        <w:t xml:space="preserve"> wird die relative Bindungs</w:t>
        <w:softHyphen/>
        <w:t>stärke für das Gesamtprofil (Schritt 5) gemäß folgender Tabelle kategorisiert:</w:t>
      </w:r>
    </w:p>
    <w:p>
      <w:pPr>
        <w:pStyle w:val="Normal"/>
        <w:tabs>
          <w:tab w:val="left" w:pos="3916" w:leader="none"/>
        </w:tabs>
        <w:ind w:left="1069" w:right="0" w:hanging="0"/>
        <w:rPr>
          <w:rFonts w:cs="Arial"/>
          <w:sz w:val="18"/>
          <w:szCs w:val="20"/>
        </w:rPr>
      </w:pPr>
      <w:r>
        <w:rPr>
          <w:rFonts w:cs="Arial"/>
          <w:sz w:val="18"/>
          <w:szCs w:val="2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973"/>
        <w:gridCol w:w="1559"/>
      </w:tblGrid>
      <w:tr>
        <w:trPr>
          <w:trHeight w:val="340" w:hRule="atLeast"/>
          <w:cantSplit w:val="false"/>
        </w:trPr>
        <w:tc>
          <w:tcPr>
            <w:tcW w:w="29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i/>
                <w:szCs w:val="20"/>
              </w:rPr>
            </w:pPr>
            <w:r>
              <w:rPr>
                <w:rFonts w:cs="Arial"/>
                <w:b/>
                <w:szCs w:val="20"/>
              </w:rPr>
              <w:t>rel. Bindungsstärke</w:t>
              <w:br/>
            </w:r>
            <w:r>
              <w:rPr>
                <w:rFonts w:cs="Arial"/>
                <w:i/>
                <w:szCs w:val="20"/>
              </w:rPr>
              <w:t>(Org_rel_Proifil, Schritt 5)</w:t>
            </w:r>
          </w:p>
        </w:tc>
        <w:tc>
          <w:tcPr>
            <w:tcW w:w="15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Bewertung</w:t>
            </w:r>
          </w:p>
          <w:p>
            <w:pPr>
              <w:pStyle w:val="Normal"/>
              <w:spacing w:before="60" w:after="60"/>
              <w:jc w:val="center"/>
              <w:rPr>
                <w:rFonts w:cs="Arial"/>
                <w:b/>
                <w:szCs w:val="20"/>
              </w:rPr>
            </w:pPr>
            <w:r>
              <w:rPr>
                <w:rFonts w:cs="Arial"/>
                <w:b/>
                <w:szCs w:val="20"/>
              </w:rPr>
              <w:t>FiltPuffOrg</w:t>
            </w:r>
          </w:p>
        </w:tc>
      </w:tr>
      <w:tr>
        <w:trPr>
          <w:trHeight w:val="400" w:hRule="atLeast"/>
          <w:cantSplit w:val="false"/>
        </w:trPr>
        <w:tc>
          <w:tcPr>
            <w:tcW w:w="29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ascii="Symbol" w:hAnsi="Symbol"/>
                <w:bCs/>
                <w:szCs w:val="20"/>
              </w:rPr>
              <w:t></w:t>
            </w:r>
            <w:r>
              <w:rPr>
                <w:rFonts w:cs="Arial"/>
                <w:szCs w:val="20"/>
              </w:rPr>
              <w:t>5,0</w:t>
            </w:r>
          </w:p>
        </w:tc>
        <w:tc>
          <w:tcPr>
            <w:tcW w:w="15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1</w:t>
            </w:r>
          </w:p>
        </w:tc>
      </w:tr>
      <w:tr>
        <w:trPr>
          <w:trHeight w:val="400" w:hRule="atLeast"/>
          <w:cantSplit w:val="false"/>
        </w:trPr>
        <w:tc>
          <w:tcPr>
            <w:tcW w:w="29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4,3 bis &lt;5,0</w:t>
            </w:r>
          </w:p>
        </w:tc>
        <w:tc>
          <w:tcPr>
            <w:tcW w:w="15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2</w:t>
            </w:r>
          </w:p>
        </w:tc>
      </w:tr>
      <w:tr>
        <w:trPr>
          <w:trHeight w:val="340" w:hRule="atLeast"/>
          <w:cantSplit w:val="false"/>
        </w:trPr>
        <w:tc>
          <w:tcPr>
            <w:tcW w:w="29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3,7 bis &lt;4,3</w:t>
            </w:r>
          </w:p>
        </w:tc>
        <w:tc>
          <w:tcPr>
            <w:tcW w:w="15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3</w:t>
            </w:r>
          </w:p>
        </w:tc>
      </w:tr>
      <w:tr>
        <w:trPr>
          <w:trHeight w:val="340" w:hRule="atLeast"/>
          <w:cantSplit w:val="false"/>
        </w:trPr>
        <w:tc>
          <w:tcPr>
            <w:tcW w:w="29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3,0 bis &lt;3,7</w:t>
            </w:r>
          </w:p>
        </w:tc>
        <w:tc>
          <w:tcPr>
            <w:tcW w:w="15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4</w:t>
            </w:r>
          </w:p>
        </w:tc>
      </w:tr>
      <w:tr>
        <w:trPr>
          <w:trHeight w:val="340" w:hRule="atLeast"/>
          <w:cantSplit w:val="false"/>
        </w:trPr>
        <w:tc>
          <w:tcPr>
            <w:tcW w:w="29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&lt;3,0</w:t>
            </w:r>
          </w:p>
        </w:tc>
        <w:tc>
          <w:tcPr>
            <w:tcW w:w="15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5</w:t>
            </w:r>
          </w:p>
        </w:tc>
      </w:tr>
    </w:tbl>
    <w:p>
      <w:pPr>
        <w:pStyle w:val="Normal"/>
        <w:widowControl w:val="false"/>
        <w:tabs>
          <w:tab w:val="left" w:pos="5334" w:leader="none"/>
          <w:tab w:val="left" w:pos="6392" w:leader="none"/>
        </w:tabs>
        <w:spacing w:lineRule="auto" w:line="240"/>
        <w:ind w:left="1778" w:right="0" w:hanging="0"/>
        <w:jc w:val="both"/>
        <w:rPr>
          <w:rFonts w:cs="Arial"/>
          <w:sz w:val="18"/>
          <w:szCs w:val="18"/>
        </w:rPr>
      </w:pPr>
      <w:r>
        <w:rPr>
          <w:rFonts w:cs="Arial"/>
          <w:sz w:val="18"/>
          <w:szCs w:val="18"/>
        </w:rPr>
      </w:r>
    </w:p>
    <w:p>
      <w:pPr>
        <w:pStyle w:val="Normal"/>
        <w:tabs>
          <w:tab w:val="left" w:pos="1778" w:leader="none"/>
        </w:tabs>
        <w:jc w:val="both"/>
        <w:rPr>
          <w:szCs w:val="20"/>
        </w:rPr>
      </w:pPr>
      <w:r>
        <w:rPr>
          <w:szCs w:val="20"/>
        </w:rPr>
      </w:r>
    </w:p>
    <w:p>
      <w:pPr>
        <w:pStyle w:val="Normal"/>
        <w:tabs>
          <w:tab w:val="left" w:pos="1778" w:leader="none"/>
        </w:tabs>
        <w:jc w:val="both"/>
        <w:rPr>
          <w:szCs w:val="20"/>
        </w:rPr>
      </w:pPr>
      <w:r>
        <w:rPr>
          <w:szCs w:val="20"/>
        </w:rPr>
        <w:t>Bei der Betrachtung der Bewertungsergebnisse ist zu beachten, dass es sich nur um eine sehr grobe Einschätzung der grundsätzlichen Fähigkeit eines Bodens handelt, organische Schadstoffe zu filtern und zu puffern. Da sich das Verhaltenen verschiedener organischer Schadstoffe im Boden stark unterscheidet, können die tatsächlichen Verhältnisse für einzelne Stoffe stark von dieser Beurteilung abweichen.</w:t>
      </w:r>
    </w:p>
    <w:p>
      <w:pPr>
        <w:pStyle w:val="Normal"/>
        <w:tabs>
          <w:tab w:val="left" w:pos="1778" w:leader="none"/>
        </w:tabs>
        <w:jc w:val="both"/>
        <w:rPr>
          <w:b/>
          <w:szCs w:val="20"/>
        </w:rPr>
      </w:pPr>
      <w:r>
        <w:rPr>
          <w:b/>
          <w:szCs w:val="20"/>
        </w:rPr>
      </w:r>
    </w:p>
    <w:p>
      <w:pPr>
        <w:pStyle w:val="Normal"/>
        <w:tabs>
          <w:tab w:val="left" w:pos="1778" w:leader="none"/>
        </w:tabs>
        <w:jc w:val="both"/>
        <w:rPr>
          <w:b/>
          <w:szCs w:val="20"/>
        </w:rPr>
      </w:pPr>
      <w:r>
        <w:rPr>
          <w:b/>
          <w:szCs w:val="20"/>
        </w:rPr>
        <w:t>In noch größerem Maße als bei 1c.1 und 1c.2 gilt daher, dass für konkrete Planungsfälle die relevanten Stoffgruppen eruiert und eine vergleichende Bewertung gemäß den Angaben in Müller (2004: 283ff., VKR 6.7.1.1) durchgeführt werden muss.</w:t>
      </w:r>
    </w:p>
    <w:p>
      <w:pPr>
        <w:pStyle w:val="Normal"/>
        <w:tabs>
          <w:tab w:val="left" w:pos="1778" w:leader="none"/>
        </w:tabs>
        <w:jc w:val="both"/>
        <w:rPr>
          <w:rFonts w:cs="Arial"/>
          <w:sz w:val="18"/>
          <w:szCs w:val="20"/>
        </w:rPr>
      </w:pPr>
      <w:r>
        <w:rPr>
          <w:rFonts w:cs="Arial"/>
          <w:sz w:val="18"/>
          <w:szCs w:val="20"/>
        </w:rPr>
      </w:r>
    </w:p>
    <w:p>
      <w:pPr>
        <w:pStyle w:val="Heading3"/>
        <w:rPr>
          <w:szCs w:val="20"/>
        </w:rPr>
      </w:pPr>
      <w:r>
        <w:rPr/>
        <w:t xml:space="preserve">1d.4) </w:t>
      </w:r>
      <w:r>
        <w:rPr>
          <w:szCs w:val="20"/>
        </w:rPr>
        <w:t>Rückhaltepotenzial für wasserlösliche Schadstoffe (z.B. Nitrat)</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Bodenart (P140 oder B209)</w:t>
      </w:r>
    </w:p>
    <w:p>
      <w:pPr>
        <w:pStyle w:val="Normal"/>
        <w:ind w:left="142" w:right="0" w:hanging="0"/>
        <w:rPr>
          <w:rFonts w:cs="Arial"/>
          <w:i/>
          <w:szCs w:val="20"/>
        </w:rPr>
      </w:pPr>
      <w:r>
        <w:rPr>
          <w:rFonts w:cs="Arial"/>
          <w:i/>
          <w:szCs w:val="20"/>
        </w:rPr>
        <w:t>Feldkapazität (Sx05a)</w:t>
      </w:r>
    </w:p>
    <w:p>
      <w:pPr>
        <w:pStyle w:val="Normal"/>
        <w:ind w:left="142" w:right="0" w:hanging="0"/>
        <w:rPr>
          <w:rFonts w:cs="Arial"/>
          <w:i/>
          <w:szCs w:val="20"/>
        </w:rPr>
      </w:pPr>
      <w:r>
        <w:rPr>
          <w:rFonts w:cs="Arial"/>
          <w:i/>
          <w:szCs w:val="20"/>
        </w:rPr>
        <w:t>Jahresniederschlag (aus Hydrologischem Atlas Österreichs)</w:t>
      </w:r>
    </w:p>
    <w:p>
      <w:pPr>
        <w:pStyle w:val="Normal"/>
        <w:ind w:left="142" w:right="0" w:hanging="0"/>
        <w:rPr>
          <w:rFonts w:cs="Arial"/>
          <w:i/>
          <w:szCs w:val="20"/>
        </w:rPr>
      </w:pPr>
      <w:r>
        <w:rPr>
          <w:rFonts w:cs="Arial"/>
          <w:i/>
          <w:szCs w:val="20"/>
        </w:rPr>
        <w:t>mittlere jährliche Verdunstung (aus Hydrologischem Atlas Österreichs)</w:t>
      </w:r>
    </w:p>
    <w:p>
      <w:pPr>
        <w:pStyle w:val="Normal"/>
        <w:rPr>
          <w:rFonts w:cs="Arial"/>
          <w:i/>
          <w:szCs w:val="20"/>
        </w:rPr>
      </w:pPr>
      <w:r>
        <w:rPr>
          <w:rFonts w:cs="Arial"/>
          <w:i/>
          <w:szCs w:val="20"/>
        </w:rPr>
      </w:r>
    </w:p>
    <w:p>
      <w:pPr>
        <w:pStyle w:val="Normal"/>
        <w:rPr>
          <w:rFonts w:cs="Arial"/>
          <w:i/>
          <w:szCs w:val="20"/>
        </w:rPr>
      </w:pPr>
      <w:r>
        <w:rPr>
          <w:rFonts w:cs="Arial"/>
          <w:b/>
          <w:i/>
          <w:szCs w:val="20"/>
          <w:lang w:val="de-AT"/>
        </w:rPr>
        <w:t>Methodik:</w:t>
      </w:r>
      <w:r>
        <w:rPr>
          <w:rFonts w:cs="Arial"/>
          <w:i/>
          <w:szCs w:val="20"/>
          <w:lang w:val="de-AT"/>
        </w:rPr>
        <w:t xml:space="preserve"> </w:t>
      </w:r>
      <w:r>
        <w:rPr>
          <w:rFonts w:cs="Arial"/>
          <w:i/>
          <w:szCs w:val="20"/>
        </w:rPr>
        <w:t>BayGLA (2003: 44f.) nach DIN 19732 (vgl. Müller 2004: 325, VKR 6.7.3.2)</w:t>
      </w:r>
    </w:p>
    <w:p>
      <w:pPr>
        <w:pStyle w:val="Normal"/>
        <w:jc w:val="both"/>
        <w:rPr>
          <w:rFonts w:cs="Arial"/>
          <w:i/>
          <w:szCs w:val="20"/>
        </w:rPr>
      </w:pPr>
      <w:r>
        <w:rPr>
          <w:rFonts w:cs="Arial"/>
          <w:i/>
          <w:szCs w:val="20"/>
        </w:rPr>
      </w:r>
    </w:p>
    <w:p>
      <w:pPr>
        <w:pStyle w:val="Normal"/>
        <w:jc w:val="both"/>
        <w:rPr>
          <w:szCs w:val="20"/>
        </w:rPr>
      </w:pPr>
      <w:r>
        <w:rPr>
          <w:szCs w:val="20"/>
        </w:rPr>
        <w:t>Durch die Stickstoffdüngung landwirtschaftlicher Flächen, aber auch auf natürlichem Wege gelangt Nitrat (NO</w:t>
      </w:r>
      <w:r>
        <w:rPr>
          <w:szCs w:val="20"/>
          <w:vertAlign w:val="subscript"/>
        </w:rPr>
        <w:t>3</w:t>
      </w:r>
      <w:r>
        <w:rPr>
          <w:szCs w:val="20"/>
          <w:vertAlign w:val="superscript"/>
        </w:rPr>
        <w:t>-</w:t>
      </w:r>
      <w:r>
        <w:rPr>
          <w:szCs w:val="20"/>
        </w:rPr>
        <w:t xml:space="preserve">) in den Boden bzw. wird dort im Zuge der so genannten Nitrifikation durch Bakterien aus anderen Verbindungen gebildet. Nitrat ist wasserlöslich und somit besteht die Gefahr einer Auswaschung ins Grundwasser, falls der Nitratgehalt des Bodens jene Menge überschreitet, die von Pflanzen als Nährstoff aufgenommen werden kann. Risiko für die menschliche Gesundheit besteht bei der Nutzung des Grundwassers als Trinkwasser, da das Nitrat im menschlichen Darm zu Nitrit reduziert wird und krebserregende Nitrosamine bildet. </w:t>
      </w:r>
    </w:p>
    <w:p>
      <w:pPr>
        <w:pStyle w:val="Normal"/>
        <w:jc w:val="both"/>
        <w:rPr>
          <w:szCs w:val="20"/>
        </w:rPr>
      </w:pPr>
      <w:r>
        <w:rPr>
          <w:szCs w:val="20"/>
        </w:rPr>
        <w:t>Neben der ausgebrachten Menge an Düngemitteln in Abhängigkeit vom Stickstoffbedarf der Vegetation ist das Rückhaltevermögen des Bodens für das wasserlösliche Nitrat also der wichtigste Faktor zur Beurteilung, inwieweit die Gefahr eines Eintrags ins Grundwasser besteht. Konkret wird gemäß DIN 19732 beurteilt, wie lange Sickerwasser (mit den darin gelösten Stoffen, neben Nitrat z.B. auch Salze) im effektiven Wurzelraum verbleibt und dort von Pflanzen aufgenommen werden kann bevor es in tiefere Schichten versickert und zur Grundwasser</w:t>
        <w:softHyphen/>
        <w:t xml:space="preserve">neubildung beiträgt. Dabei werden auch hydrologische Kenngrößen (Niederschlag, Verdunstung, Abfluss) berücksichtigt und in Kombination mit der Feldkapazität des Wurzelraums die jährliche Austauschhäufigkeit des Bodenwassers [1/a] berechnet. </w:t>
      </w:r>
    </w:p>
    <w:p>
      <w:pPr>
        <w:pStyle w:val="Normal"/>
        <w:jc w:val="both"/>
        <w:rPr>
          <w:szCs w:val="20"/>
        </w:rPr>
      </w:pPr>
      <w:r>
        <w:rPr>
          <w:szCs w:val="20"/>
        </w:rPr>
      </w:r>
    </w:p>
    <w:p>
      <w:pPr>
        <w:pStyle w:val="Normal"/>
        <w:jc w:val="both"/>
        <w:rPr>
          <w:i/>
          <w:szCs w:val="20"/>
        </w:rPr>
      </w:pPr>
      <w:r>
        <w:rPr>
          <w:i/>
          <w:szCs w:val="20"/>
        </w:rPr>
        <w:t>Der in Wessolek &amp; Trinks (2002) sowie in Wessolek et al. (2004) beschriebene Algorithmus berücksichtigt zur Ermittlung der Sickerwasserrate auch den kapillaren Aufstieg und liefert somit bessere Ergebnisse. Allerdings wurden die zugrunde liegenden Regressionsgleichungen mit Daten aus Nord- und Mitteldeutschland ermittelt und es ist davon auszugehen, dass die klimatischen Verhältnisse im Alpenraum deutlich davon abweichen. Auf eine Anwendung dieser Methode wird daher verzichtet.</w:t>
      </w:r>
    </w:p>
    <w:p>
      <w:pPr>
        <w:pStyle w:val="Normal"/>
        <w:jc w:val="both"/>
        <w:rPr>
          <w:szCs w:val="20"/>
        </w:rPr>
      </w:pPr>
      <w:r>
        <w:rPr>
          <w:szCs w:val="20"/>
        </w:rPr>
      </w:r>
    </w:p>
    <w:p>
      <w:pPr>
        <w:pStyle w:val="Normal"/>
        <w:spacing w:before="0" w:after="120"/>
        <w:rPr>
          <w:rFonts w:cs="Arial"/>
          <w:bCs/>
          <w:color w:val="000000"/>
          <w:szCs w:val="20"/>
          <w:u w:val="single"/>
        </w:rPr>
      </w:pPr>
      <w:r>
        <w:rPr>
          <w:rFonts w:cs="Arial"/>
          <w:szCs w:val="20"/>
          <w:u w:val="single"/>
        </w:rPr>
        <w:t xml:space="preserve">Schritt 1 – </w:t>
      </w:r>
      <w:r>
        <w:rPr>
          <w:rFonts w:cs="Arial"/>
          <w:bCs/>
          <w:color w:val="000000"/>
          <w:szCs w:val="20"/>
          <w:u w:val="single"/>
        </w:rPr>
        <w:t>Bestimmung der Menge jährlichen Sickerwassers</w:t>
      </w:r>
    </w:p>
    <w:p>
      <w:pPr>
        <w:pStyle w:val="Normal"/>
        <w:spacing w:before="0" w:after="120"/>
        <w:jc w:val="both"/>
        <w:rPr>
          <w:rFonts w:cs="Arial"/>
          <w:szCs w:val="20"/>
        </w:rPr>
      </w:pPr>
      <w:r>
        <w:rPr>
          <w:rFonts w:cs="Arial"/>
          <w:szCs w:val="20"/>
        </w:rPr>
        <w:t>Die Menge jährlich anfallenden Sickerwassers lässt sich vereinfacht aus der jährlichen Niederschlags</w:t>
        <w:softHyphen/>
        <w:t>summe (</w:t>
      </w:r>
      <w:r>
        <w:rPr>
          <w:rFonts w:cs="Arial"/>
          <w:i/>
          <w:szCs w:val="20"/>
        </w:rPr>
        <w:t>JNS</w:t>
      </w:r>
      <w:r>
        <w:rPr>
          <w:rFonts w:cs="Arial"/>
          <w:szCs w:val="20"/>
        </w:rPr>
        <w:t>) abzüglich der mittleren jährlichen Verdunstung (</w:t>
      </w:r>
      <w:r>
        <w:rPr>
          <w:rFonts w:cs="Arial"/>
          <w:i/>
          <w:szCs w:val="20"/>
        </w:rPr>
        <w:t>MJV</w:t>
      </w:r>
      <w:r>
        <w:rPr>
          <w:rFonts w:cs="Arial"/>
          <w:szCs w:val="20"/>
        </w:rPr>
        <w:t xml:space="preserve">) abzüglich der Menge oberflächlich abfließenden Wassers ermitteln. </w:t>
      </w:r>
    </w:p>
    <w:p>
      <w:pPr>
        <w:pStyle w:val="Normal"/>
        <w:spacing w:before="0" w:after="120"/>
        <w:jc w:val="both"/>
        <w:rPr>
          <w:rFonts w:cs="Arial"/>
          <w:szCs w:val="20"/>
        </w:rPr>
      </w:pPr>
      <w:r>
        <w:rPr>
          <w:rFonts w:cs="Arial"/>
          <w:szCs w:val="20"/>
        </w:rPr>
        <w:t xml:space="preserve">Die Werte für den mittleren jährlichen Niederschlag sowie der mittleren jährlichen Verdunstung im Untersuchungsgebiet können aus dem Hydrologischen Atlas Österreichs entnommen werden. </w:t>
      </w:r>
    </w:p>
    <w:p>
      <w:pPr>
        <w:pStyle w:val="Normal"/>
        <w:spacing w:before="0" w:after="120"/>
        <w:jc w:val="both"/>
        <w:rPr>
          <w:rFonts w:cs="Arial"/>
          <w:szCs w:val="20"/>
        </w:rPr>
      </w:pPr>
      <w:r>
        <w:rPr>
          <w:rFonts w:cs="Arial"/>
          <w:szCs w:val="20"/>
        </w:rPr>
        <w:t>Für den Anteil des Oberflächenabflusses am Gesamtabfluss bei landwirtschaftlicher Nutzung unter Berücksichtigung der dominierenden Bodenart des Oberbodens werden in Ermangelung besserer Daten Näherungswerte verwendet, die aus den Messreihen von 7 Klimastationen in Bayern abgeleitet wurden (BayGLA 2003: 46). Eine weitgehende Übertragbarkeit auf den Tiroler Alpenraum wird dabei angenommen.</w:t>
      </w:r>
    </w:p>
    <w:p>
      <w:pPr>
        <w:pStyle w:val="Normal"/>
        <w:rPr/>
      </w:pPr>
      <w:r>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1698"/>
        <w:gridCol w:w="1984"/>
        <w:gridCol w:w="1700"/>
        <w:gridCol w:w="2836"/>
      </w:tblGrid>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berschrift"/>
              <w:spacing w:before="120" w:after="60"/>
              <w:rPr/>
            </w:pPr>
            <w:r>
              <w:rPr/>
              <w:t>Code P140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berschrift"/>
              <w:spacing w:before="120" w:after="60"/>
              <w:rPr/>
            </w:pPr>
            <w:r>
              <w:rPr/>
              <w:t>Bodenart</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berschrift"/>
              <w:spacing w:before="120" w:after="60"/>
              <w:rPr/>
            </w:pPr>
            <w:r>
              <w:rPr/>
              <w:t>Kürzel</w:t>
            </w:r>
          </w:p>
        </w:tc>
        <w:tc>
          <w:tcPr>
            <w:tcW w:w="28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berschrift"/>
              <w:spacing w:before="120" w:after="60"/>
              <w:rPr>
                <w:rFonts w:cs="Arial"/>
                <w:b w:val="false"/>
                <w:i/>
                <w:szCs w:val="20"/>
              </w:rPr>
            </w:pPr>
            <w:r>
              <w:rPr>
                <w:rFonts w:cs="Arial"/>
                <w:szCs w:val="20"/>
              </w:rPr>
              <w:t xml:space="preserve">Anteil Oberflächen- am Gesamtabfluss </w:t>
            </w:r>
            <w:r>
              <w:rPr>
                <w:rFonts w:cs="Arial"/>
                <w:b w:val="false"/>
                <w:szCs w:val="20"/>
              </w:rPr>
              <w:t xml:space="preserve">[%] </w:t>
            </w:r>
            <w:r>
              <w:rPr>
                <w:rFonts w:cs="Arial"/>
                <w:b w:val="false"/>
                <w:i/>
                <w:szCs w:val="20"/>
              </w:rPr>
              <w:t>(OFA)</w:t>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101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w:t>
            </w:r>
          </w:p>
        </w:tc>
        <w:tc>
          <w:tcPr>
            <w:tcW w:w="2836" w:type="dxa"/>
            <w:vMerge w:val="restart"/>
            <w:tcBorders>
              <w:top w:val="single" w:sz="4" w:space="0" w:color="000001"/>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color w:val="9900FF"/>
              </w:rPr>
            </w:pPr>
            <w:r>
              <w:rPr>
                <w:b/>
                <w:color w:val="9900FF"/>
              </w:rPr>
              <w:t>1,5</w:t>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121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schluffiger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uS</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TabellenInhalt"/>
              <w:spacing w:before="60" w:after="60"/>
              <w:rPr>
                <w:b/>
              </w:rPr>
            </w:pPr>
            <w:r>
              <w:rPr>
                <w:b/>
              </w:rPr>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231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lehmiger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LS</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TabellenInhalt"/>
              <w:spacing w:before="60" w:after="60"/>
              <w:rPr>
                <w:b/>
              </w:rPr>
            </w:pPr>
            <w:r>
              <w:rPr>
                <w:b/>
              </w:rPr>
            </w:r>
          </w:p>
        </w:tc>
      </w:tr>
      <w:tr>
        <w:trPr>
          <w:trHeight w:val="230" w:hRule="atLeast"/>
          <w:cantSplit w:val="false"/>
        </w:trPr>
        <w:tc>
          <w:tcPr>
            <w:tcW w:w="1698"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color w:val="9900FF"/>
              </w:rPr>
            </w:pPr>
            <w:r>
              <w:rPr>
                <w:color w:val="9900FF"/>
              </w:rPr>
              <w:t>341</w:t>
            </w:r>
          </w:p>
        </w:tc>
        <w:tc>
          <w:tcPr>
            <w:tcW w:w="1984"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color w:val="9900FF"/>
                <w:szCs w:val="20"/>
              </w:rPr>
            </w:pPr>
            <w:r>
              <w:rPr>
                <w:rFonts w:cs="Arial"/>
                <w:color w:val="9900FF"/>
                <w:szCs w:val="20"/>
              </w:rPr>
              <w:t>toniger Sand</w:t>
            </w:r>
          </w:p>
        </w:tc>
        <w:tc>
          <w:tcPr>
            <w:tcW w:w="1700" w:type="dxa"/>
            <w:tcBorders>
              <w:top w:val="nil"/>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color w:val="9900FF"/>
                <w:szCs w:val="20"/>
              </w:rPr>
            </w:pPr>
            <w:r>
              <w:rPr>
                <w:rFonts w:cs="Arial"/>
                <w:color w:val="9900FF"/>
                <w:szCs w:val="20"/>
              </w:rPr>
              <w:t>tS</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TabellenInhalt"/>
              <w:spacing w:before="60" w:after="60"/>
              <w:rPr>
                <w:b/>
              </w:rPr>
            </w:pPr>
            <w:r>
              <w:rPr>
                <w:b/>
              </w:rPr>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202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U</w:t>
            </w:r>
          </w:p>
        </w:tc>
        <w:tc>
          <w:tcPr>
            <w:tcW w:w="2836" w:type="dxa"/>
            <w:vMerge w:val="restart"/>
            <w:tcBorders>
              <w:top w:val="single" w:sz="4" w:space="0" w:color="000001"/>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rPr>
            </w:pPr>
            <w:r>
              <w:rPr>
                <w:b/>
              </w:rPr>
              <w:t>4,5</w:t>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pPr>
            <w:r>
              <w:rPr/>
              <w:t>212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sandiger 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TabellenInhalt"/>
              <w:suppressLineNumbers/>
              <w:spacing w:lineRule="auto" w:line="240" w:before="60" w:after="60"/>
              <w:jc w:val="center"/>
              <w:rPr>
                <w:rFonts w:cs="Arial"/>
                <w:szCs w:val="20"/>
              </w:rPr>
            </w:pPr>
            <w:r>
              <w:rPr>
                <w:rFonts w:cs="Arial"/>
                <w:szCs w:val="20"/>
              </w:rPr>
              <w:t>sU</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TabellenInhalt"/>
              <w:spacing w:before="60" w:after="60"/>
              <w:rPr>
                <w:b/>
              </w:rPr>
            </w:pPr>
            <w:r>
              <w:rPr>
                <w:b/>
              </w:rPr>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313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sandiger 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sL</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tcPr>
          <w:p>
            <w:pPr>
              <w:pStyle w:val="TabellenInhalt"/>
              <w:spacing w:before="60" w:after="60"/>
              <w:rPr>
                <w:b/>
              </w:rPr>
            </w:pPr>
            <w:r>
              <w:rPr>
                <w:b/>
              </w:rPr>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332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lehmiger 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lU</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tcPr>
          <w:p>
            <w:pPr>
              <w:pStyle w:val="TabellenInhalt"/>
              <w:spacing w:before="60" w:after="60"/>
              <w:rPr>
                <w:b/>
              </w:rPr>
            </w:pPr>
            <w:r>
              <w:rPr>
                <w:b/>
              </w:rPr>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341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toniger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tS</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tcPr>
          <w:p>
            <w:pPr>
              <w:pStyle w:val="TabellenInhalt"/>
              <w:spacing w:before="60" w:after="60"/>
              <w:rPr>
                <w:b/>
              </w:rPr>
            </w:pPr>
            <w:r>
              <w:rPr>
                <w:b/>
              </w:rPr>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403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tcPr>
          <w:p>
            <w:pPr>
              <w:pStyle w:val="TabellenInhalt"/>
              <w:spacing w:before="60" w:after="60"/>
              <w:rPr>
                <w:b/>
              </w:rPr>
            </w:pPr>
            <w:r>
              <w:rPr>
                <w:b/>
              </w:rPr>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423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schluffiger 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uL</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tcPr>
          <w:p>
            <w:pPr>
              <w:pStyle w:val="TabellenInhalt"/>
              <w:spacing w:before="60" w:after="60"/>
              <w:rPr>
                <w:b/>
              </w:rPr>
            </w:pPr>
            <w:r>
              <w:rPr>
                <w:b/>
              </w:rPr>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414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sandiger 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sT</w:t>
            </w:r>
          </w:p>
        </w:tc>
        <w:tc>
          <w:tcPr>
            <w:tcW w:w="2836" w:type="dxa"/>
            <w:vMerge w:val="restart"/>
            <w:tcBorders>
              <w:top w:val="single" w:sz="4" w:space="0" w:color="000001"/>
              <w:left w:val="single" w:sz="4" w:space="0" w:color="000001"/>
              <w:bottom w:val="nil"/>
              <w:insideH w:val="nil"/>
              <w:right w:val="single" w:sz="4" w:space="0" w:color="000001"/>
              <w:insideV w:val="single" w:sz="4" w:space="0" w:color="000001"/>
            </w:tcBorders>
            <w:shd w:fill="FFFFFF" w:val="clear"/>
            <w:tcMar>
              <w:left w:w="88" w:type="dxa"/>
            </w:tcMar>
            <w:vAlign w:val="center"/>
          </w:tcPr>
          <w:p>
            <w:pPr>
              <w:pStyle w:val="TabellenInhalt"/>
              <w:suppressLineNumbers/>
              <w:spacing w:lineRule="auto" w:line="240" w:before="60" w:after="60"/>
              <w:jc w:val="center"/>
              <w:rPr>
                <w:b/>
                <w:color w:val="9900FF"/>
              </w:rPr>
            </w:pPr>
            <w:r>
              <w:rPr>
                <w:b/>
                <w:color w:val="9900FF"/>
              </w:rPr>
              <w:t>8</w:t>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534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lehmiger 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lT</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88" w:type="dxa"/>
            </w:tcMar>
          </w:tcPr>
          <w:p>
            <w:pPr>
              <w:pStyle w:val="TabellenInhalt"/>
              <w:spacing w:before="60" w:after="60"/>
              <w:rPr>
                <w:b/>
              </w:rPr>
            </w:pPr>
            <w:r>
              <w:rPr>
                <w:b/>
              </w:rPr>
            </w:r>
          </w:p>
        </w:tc>
      </w:tr>
      <w:tr>
        <w:trPr>
          <w:trHeight w:val="230" w:hRule="atLeast"/>
          <w:cantSplit w:val="false"/>
        </w:trPr>
        <w:tc>
          <w:tcPr>
            <w:tcW w:w="169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pPr>
            <w:r>
              <w:rPr/>
              <w:t>504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tcPr>
          <w:p>
            <w:pPr>
              <w:pStyle w:val="TabellenInhalt"/>
              <w:suppressLineNumbers/>
              <w:spacing w:lineRule="auto" w:line="240" w:before="60" w:after="60"/>
              <w:jc w:val="center"/>
              <w:rPr>
                <w:rFonts w:cs="Arial"/>
                <w:szCs w:val="20"/>
              </w:rPr>
            </w:pPr>
            <w:r>
              <w:rPr>
                <w:rFonts w:cs="Arial"/>
                <w:szCs w:val="20"/>
              </w:rPr>
              <w:t>T</w:t>
            </w:r>
          </w:p>
        </w:tc>
        <w:tc>
          <w:tcPr>
            <w:tcW w:w="2836" w:type="dxa"/>
            <w:vMerge w:val="continue"/>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TabellenInhalt"/>
              <w:spacing w:before="60" w:after="60"/>
              <w:rPr>
                <w:b/>
              </w:rPr>
            </w:pPr>
            <w:r>
              <w:rPr>
                <w:b/>
              </w:rPr>
            </w:r>
          </w:p>
        </w:tc>
      </w:tr>
    </w:tbl>
    <w:p>
      <w:pPr>
        <w:pStyle w:val="ListParagraph"/>
        <w:rPr>
          <w:rFonts w:cs="Arial"/>
          <w:szCs w:val="20"/>
        </w:rPr>
      </w:pPr>
      <w:r>
        <w:rPr>
          <w:rFonts w:cs="Arial"/>
          <w:szCs w:val="20"/>
        </w:rPr>
      </w:r>
    </w:p>
    <w:p>
      <w:pPr>
        <w:pStyle w:val="ListParagraph"/>
        <w:ind w:left="0" w:right="0" w:hanging="0"/>
        <w:rPr>
          <w:rFonts w:cs="Arial"/>
          <w:szCs w:val="20"/>
        </w:rPr>
      </w:pPr>
      <w:r>
        <w:rPr>
          <w:rFonts w:cs="Arial"/>
          <w:szCs w:val="20"/>
        </w:rPr>
        <w:t>Die jährliche Sickerwasserrate ergibt sich dementsprechend aus der Formel:</w:t>
      </w:r>
    </w:p>
    <w:p>
      <w:pPr>
        <w:pStyle w:val="Normal"/>
        <w:widowControl w:val="false"/>
        <w:tabs>
          <w:tab w:val="left" w:pos="4996" w:leader="none"/>
        </w:tabs>
        <w:spacing w:lineRule="auto" w:line="240"/>
        <w:ind w:left="1429" w:right="0" w:hanging="0"/>
        <w:rPr>
          <w:rFonts w:cs="Arial"/>
          <w:sz w:val="16"/>
          <w:szCs w:val="18"/>
        </w:rPr>
      </w:pPr>
      <w:r>
        <w:rPr>
          <w:rFonts w:cs="Arial"/>
          <w:sz w:val="16"/>
          <w:szCs w:val="18"/>
        </w:rPr>
      </w:r>
    </w:p>
    <w:p>
      <w:pPr>
        <w:pStyle w:val="Normal"/>
        <w:widowControl w:val="false"/>
        <w:tabs>
          <w:tab w:val="left" w:pos="4996" w:leader="none"/>
        </w:tabs>
        <w:spacing w:lineRule="auto" w:line="240"/>
        <w:ind w:left="1134" w:right="0" w:hanging="0"/>
        <w:rPr>
          <w:rFonts w:cs="Arial"/>
          <w:szCs w:val="20"/>
          <w:lang w:val="en-US"/>
        </w:rPr>
      </w:pPr>
      <w:r>
        <w:rPr>
          <w:rFonts w:cs="Arial"/>
          <w:szCs w:val="20"/>
          <w:lang w:val="en-US"/>
        </w:rPr>
        <w:t>SW [mm/a] = (JNS - MJV) * (1 - OFA/100)</w:t>
      </w:r>
    </w:p>
    <w:p>
      <w:pPr>
        <w:pStyle w:val="Normal"/>
        <w:tabs>
          <w:tab w:val="left" w:pos="4996" w:leader="none"/>
        </w:tabs>
        <w:ind w:left="1069" w:right="0" w:hanging="0"/>
        <w:rPr>
          <w:rFonts w:cs="Arial"/>
          <w:sz w:val="16"/>
          <w:szCs w:val="18"/>
          <w:lang w:val="en-US"/>
        </w:rPr>
      </w:pPr>
      <w:r>
        <w:rPr>
          <w:rFonts w:cs="Arial"/>
          <w:sz w:val="16"/>
          <w:szCs w:val="18"/>
          <w:lang w:val="en-US"/>
        </w:rPr>
      </w:r>
    </w:p>
    <w:p>
      <w:pPr>
        <w:pStyle w:val="Normal"/>
        <w:spacing w:before="0" w:after="120"/>
        <w:rPr>
          <w:rFonts w:cs="Arial"/>
          <w:bCs/>
          <w:color w:val="000000"/>
          <w:szCs w:val="20"/>
          <w:u w:val="single"/>
        </w:rPr>
      </w:pPr>
      <w:r>
        <w:rPr>
          <w:rFonts w:cs="Arial"/>
          <w:szCs w:val="20"/>
          <w:u w:val="single"/>
        </w:rPr>
        <w:t xml:space="preserve">Schritt 2 – </w:t>
      </w:r>
      <w:r>
        <w:rPr>
          <w:rFonts w:cs="Arial"/>
          <w:bCs/>
          <w:color w:val="000000"/>
          <w:szCs w:val="20"/>
          <w:u w:val="single"/>
        </w:rPr>
        <w:t>Berechnung der jährlichen Austauschhäufigkeit des Bodenwassers</w:t>
      </w:r>
    </w:p>
    <w:p>
      <w:pPr>
        <w:pStyle w:val="Normal"/>
        <w:jc w:val="both"/>
        <w:rPr>
          <w:rFonts w:cs="Arial"/>
          <w:szCs w:val="20"/>
        </w:rPr>
      </w:pPr>
      <w:r>
        <w:rPr>
          <w:rFonts w:cs="Arial"/>
          <w:szCs w:val="20"/>
        </w:rPr>
        <w:t>Dazu werden die in Schritt 1 ermittelte Sickerwasserrate (</w:t>
      </w:r>
      <w:r>
        <w:rPr>
          <w:rFonts w:cs="Arial"/>
          <w:i/>
          <w:szCs w:val="20"/>
        </w:rPr>
        <w:t>SW</w:t>
      </w:r>
      <w:r>
        <w:rPr>
          <w:rFonts w:cs="Arial"/>
          <w:szCs w:val="20"/>
        </w:rPr>
        <w:t>) und die Feldkapazität im effektiven Wurzelraum (</w:t>
      </w:r>
      <w:r>
        <w:rPr>
          <w:rFonts w:cs="Arial"/>
          <w:i/>
          <w:szCs w:val="20"/>
        </w:rPr>
        <w:t>Sx05a</w:t>
      </w:r>
      <w:r>
        <w:rPr>
          <w:rFonts w:cs="Arial"/>
          <w:szCs w:val="20"/>
        </w:rPr>
        <w:t>) in Beziehung gesetzt. Es wird also beurteilt, wie oft im Jahr das pflanzenverfügbar in den Klein- und Mittelporen rückgehaltene Wasser getauscht wird bzw. in weiterer Folge welcher Teil des jährlich anfallenden Sickerwassers in den Grundwasserkörper gelangt.</w:t>
      </w:r>
    </w:p>
    <w:p>
      <w:pPr>
        <w:pStyle w:val="Normal"/>
        <w:widowControl w:val="false"/>
        <w:tabs>
          <w:tab w:val="left" w:pos="4996" w:leader="none"/>
        </w:tabs>
        <w:spacing w:lineRule="auto" w:line="240"/>
        <w:ind w:left="1429" w:right="0" w:hanging="0"/>
        <w:rPr>
          <w:rFonts w:cs="Arial"/>
          <w:b/>
          <w:sz w:val="18"/>
          <w:szCs w:val="18"/>
          <w:lang w:val="de-AT"/>
        </w:rPr>
      </w:pPr>
      <w:r>
        <w:rPr>
          <w:rFonts w:cs="Arial"/>
          <w:b/>
          <w:sz w:val="18"/>
          <w:szCs w:val="18"/>
          <w:lang w:val="de-AT"/>
        </w:rPr>
      </w:r>
    </w:p>
    <w:p>
      <w:pPr>
        <w:pStyle w:val="Normal"/>
        <w:widowControl w:val="false"/>
        <w:tabs>
          <w:tab w:val="left" w:pos="4996" w:leader="none"/>
        </w:tabs>
        <w:spacing w:lineRule="auto" w:line="240"/>
        <w:ind w:left="1134" w:right="0" w:hanging="0"/>
        <w:rPr>
          <w:rFonts w:cs="Arial"/>
          <w:szCs w:val="20"/>
          <w:lang w:val="en-US"/>
        </w:rPr>
      </w:pPr>
      <w:r>
        <w:rPr>
          <w:rFonts w:cs="Arial"/>
          <w:szCs w:val="20"/>
          <w:lang w:val="en-US"/>
        </w:rPr>
        <w:t>SW_aus [1/a] = SW / FK</w:t>
      </w:r>
      <w:r>
        <w:rPr>
          <w:rFonts w:cs="Arial"/>
          <w:szCs w:val="20"/>
          <w:vertAlign w:val="subscript"/>
          <w:lang w:val="en-US"/>
        </w:rPr>
        <w:t>We</w:t>
      </w:r>
      <w:r>
        <w:rPr>
          <w:rFonts w:cs="Arial"/>
          <w:szCs w:val="20"/>
          <w:lang w:val="en-US"/>
        </w:rPr>
        <w:t xml:space="preserve"> (</w:t>
      </w:r>
      <w:r>
        <w:rPr>
          <w:rFonts w:cs="Arial"/>
          <w:i/>
          <w:szCs w:val="20"/>
          <w:lang w:val="en-US"/>
        </w:rPr>
        <w:t>Sx05a</w:t>
      </w:r>
      <w:r>
        <w:rPr>
          <w:rFonts w:cs="Arial"/>
          <w:szCs w:val="20"/>
          <w:lang w:val="en-US"/>
        </w:rPr>
        <w:t>)</w:t>
      </w:r>
    </w:p>
    <w:p>
      <w:pPr>
        <w:pStyle w:val="Normal"/>
        <w:rPr>
          <w:rFonts w:cs="Arial"/>
          <w:b/>
          <w:sz w:val="18"/>
          <w:szCs w:val="18"/>
        </w:rPr>
      </w:pPr>
      <w:r>
        <w:rPr>
          <w:rFonts w:cs="Arial"/>
          <w:b/>
          <w:sz w:val="18"/>
          <w:szCs w:val="18"/>
        </w:rPr>
      </w:r>
    </w:p>
    <w:p>
      <w:pPr>
        <w:pStyle w:val="Normal"/>
        <w:spacing w:before="0" w:after="120"/>
        <w:rPr>
          <w:rFonts w:cs="Arial"/>
          <w:bCs/>
          <w:color w:val="000000"/>
          <w:szCs w:val="20"/>
          <w:u w:val="single"/>
        </w:rPr>
      </w:pPr>
      <w:r>
        <w:rPr>
          <w:rFonts w:cs="Arial"/>
          <w:szCs w:val="20"/>
          <w:u w:val="single"/>
        </w:rPr>
        <w:t xml:space="preserve">Schritt 3 – </w:t>
      </w:r>
      <w:r>
        <w:rPr>
          <w:rFonts w:cs="Arial"/>
          <w:bCs/>
          <w:color w:val="000000"/>
          <w:szCs w:val="20"/>
          <w:u w:val="single"/>
        </w:rPr>
        <w:t>Gesamtbewertung</w:t>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268"/>
        <w:gridCol w:w="2268"/>
      </w:tblGrid>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i/>
                <w:szCs w:val="20"/>
              </w:rPr>
            </w:pPr>
            <w:r>
              <w:rPr>
                <w:rFonts w:cs="Arial"/>
                <w:b/>
                <w:szCs w:val="20"/>
              </w:rPr>
              <w:t>Austauschhäufigkeit</w:t>
              <w:br/>
            </w:r>
            <w:r>
              <w:rPr>
                <w:rFonts w:cs="Arial"/>
                <w:i/>
                <w:szCs w:val="20"/>
              </w:rPr>
              <w:t>(SW_aus, Schritt 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Bewertung</w:t>
            </w:r>
          </w:p>
          <w:p>
            <w:pPr>
              <w:pStyle w:val="Normal"/>
              <w:spacing w:before="60" w:after="60"/>
              <w:jc w:val="center"/>
              <w:rPr>
                <w:rFonts w:cs="Arial"/>
                <w:b/>
                <w:szCs w:val="20"/>
              </w:rPr>
            </w:pPr>
            <w:r>
              <w:rPr>
                <w:rFonts w:cs="Arial"/>
                <w:b/>
                <w:szCs w:val="20"/>
              </w:rPr>
              <w:t>FiltPuffOrg</w:t>
            </w:r>
          </w:p>
        </w:tc>
      </w:tr>
      <w:tr>
        <w:trPr>
          <w:trHeight w:val="40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&lt;0,7</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1</w:t>
            </w:r>
          </w:p>
        </w:tc>
      </w:tr>
      <w:tr>
        <w:trPr>
          <w:trHeight w:val="40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0,7 bis &lt;1,0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2</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1,0 bis &lt;1,5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3</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1,5 bis &lt;2,5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4</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ascii="Symbol" w:hAnsi="Symbol"/>
                <w:bCs/>
                <w:szCs w:val="20"/>
              </w:rPr>
              <w:t></w:t>
            </w:r>
            <w:r>
              <w:rPr>
                <w:rFonts w:cs="Arial"/>
                <w:szCs w:val="20"/>
              </w:rPr>
              <w:t>2,5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5</w:t>
            </w:r>
          </w:p>
        </w:tc>
      </w:tr>
    </w:tbl>
    <w:p>
      <w:pPr>
        <w:pStyle w:val="Normal"/>
        <w:ind w:left="1069" w:right="0" w:hanging="0"/>
        <w:rPr>
          <w:rFonts w:cs="Arial"/>
          <w:sz w:val="18"/>
          <w:szCs w:val="20"/>
        </w:rPr>
      </w:pPr>
      <w:r>
        <w:rPr>
          <w:rFonts w:cs="Arial"/>
          <w:sz w:val="18"/>
          <w:szCs w:val="20"/>
        </w:rPr>
      </w:r>
    </w:p>
    <w:p>
      <w:pPr>
        <w:pStyle w:val="Heading3"/>
        <w:rPr>
          <w:szCs w:val="20"/>
        </w:rPr>
      </w:pPr>
      <w:r>
        <w:rPr/>
        <w:t xml:space="preserve">1d.5) </w:t>
      </w:r>
      <w:r>
        <w:rPr>
          <w:szCs w:val="20"/>
        </w:rPr>
        <w:t>Puffer für versauernd wirkende Einträge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Horizontmächtigkeit</w:t>
      </w:r>
    </w:p>
    <w:p>
      <w:pPr>
        <w:pStyle w:val="Normal"/>
        <w:ind w:left="142" w:right="0" w:hanging="0"/>
        <w:rPr>
          <w:rFonts w:cs="Arial"/>
          <w:i/>
          <w:szCs w:val="20"/>
        </w:rPr>
      </w:pPr>
      <w:r>
        <w:rPr>
          <w:rFonts w:cs="Arial"/>
          <w:i/>
          <w:szCs w:val="20"/>
        </w:rPr>
        <w:t>Carbonatgehalt (B100)</w:t>
      </w:r>
    </w:p>
    <w:p>
      <w:pPr>
        <w:pStyle w:val="Normal"/>
        <w:ind w:left="142" w:right="0" w:hanging="0"/>
        <w:rPr>
          <w:rFonts w:cs="Arial"/>
          <w:i/>
          <w:szCs w:val="20"/>
        </w:rPr>
      </w:pPr>
      <w:r>
        <w:rPr>
          <w:rFonts w:cs="Arial"/>
          <w:i/>
          <w:szCs w:val="20"/>
        </w:rPr>
        <w:t>textliche Ergänzungen zur organischen Auflage (S343)</w:t>
      </w:r>
    </w:p>
    <w:p>
      <w:pPr>
        <w:pStyle w:val="Normal"/>
        <w:ind w:left="142" w:right="0" w:hanging="0"/>
        <w:rPr>
          <w:rFonts w:cs="Arial"/>
          <w:i/>
          <w:szCs w:val="20"/>
        </w:rPr>
      </w:pPr>
      <w:r>
        <w:rPr>
          <w:rFonts w:cs="Arial"/>
          <w:i/>
          <w:szCs w:val="20"/>
        </w:rPr>
        <w:t>Skelettgehalt (Px02)</w:t>
      </w:r>
    </w:p>
    <w:p>
      <w:pPr>
        <w:pStyle w:val="Normal"/>
        <w:ind w:left="142" w:right="0" w:hanging="0"/>
        <w:rPr>
          <w:rFonts w:cs="Arial"/>
          <w:i/>
          <w:szCs w:val="20"/>
        </w:rPr>
      </w:pPr>
      <w:r>
        <w:rPr>
          <w:rFonts w:cs="Arial"/>
          <w:i/>
          <w:szCs w:val="20"/>
        </w:rPr>
        <w:t>Feinbodenmenge (Px04)</w:t>
      </w:r>
    </w:p>
    <w:p>
      <w:pPr>
        <w:pStyle w:val="Normal"/>
        <w:ind w:left="142" w:right="0" w:hanging="0"/>
        <w:rPr>
          <w:rFonts w:cs="Arial"/>
          <w:i/>
          <w:szCs w:val="20"/>
        </w:rPr>
      </w:pPr>
      <w:r>
        <w:rPr>
          <w:rFonts w:cs="Arial"/>
          <w:i/>
          <w:szCs w:val="20"/>
        </w:rPr>
        <w:t>KAK</w:t>
      </w:r>
      <w:r>
        <w:rPr>
          <w:rFonts w:cs="Arial"/>
          <w:i/>
          <w:szCs w:val="20"/>
          <w:vertAlign w:val="subscript"/>
        </w:rPr>
        <w:t>pot</w:t>
      </w:r>
      <w:r>
        <w:rPr>
          <w:rFonts w:cs="Arial"/>
          <w:i/>
          <w:szCs w:val="20"/>
        </w:rPr>
        <w:t xml:space="preserve"> (Px13)</w:t>
      </w:r>
    </w:p>
    <w:p>
      <w:pPr>
        <w:pStyle w:val="Normal"/>
        <w:ind w:left="142" w:right="0" w:hanging="0"/>
        <w:rPr>
          <w:rFonts w:cs="Arial"/>
          <w:i/>
          <w:szCs w:val="20"/>
        </w:rPr>
      </w:pPr>
      <w:r>
        <w:rPr>
          <w:rFonts w:cs="Arial"/>
          <w:i/>
          <w:szCs w:val="20"/>
        </w:rPr>
        <w:t>Basensättigung (Px15)</w:t>
      </w:r>
    </w:p>
    <w:p>
      <w:pPr>
        <w:pStyle w:val="Normal"/>
        <w:rPr>
          <w:rFonts w:cs="Arial"/>
          <w:i/>
          <w:szCs w:val="20"/>
        </w:rPr>
      </w:pPr>
      <w:r>
        <w:rPr>
          <w:rFonts w:cs="Arial"/>
          <w:i/>
          <w:szCs w:val="20"/>
        </w:rPr>
      </w:r>
    </w:p>
    <w:p>
      <w:pPr>
        <w:pStyle w:val="Normal"/>
        <w:rPr>
          <w:rFonts w:cs="Arial"/>
          <w:i/>
          <w:szCs w:val="20"/>
        </w:rPr>
      </w:pPr>
      <w:r>
        <w:rPr>
          <w:rFonts w:cs="Arial"/>
          <w:b/>
          <w:i/>
          <w:szCs w:val="20"/>
          <w:lang w:val="de-AT"/>
        </w:rPr>
        <w:t>Methodik:</w:t>
      </w:r>
      <w:r>
        <w:rPr>
          <w:rFonts w:cs="Arial"/>
          <w:i/>
          <w:szCs w:val="20"/>
          <w:lang w:val="de-AT"/>
        </w:rPr>
        <w:t xml:space="preserve"> </w:t>
      </w:r>
      <w:r>
        <w:rPr>
          <w:rFonts w:cs="Arial"/>
          <w:i/>
          <w:szCs w:val="20"/>
        </w:rPr>
        <w:t>BayGLA (2003: 50ff.)</w:t>
      </w:r>
    </w:p>
    <w:p>
      <w:pPr>
        <w:pStyle w:val="Normal"/>
        <w:jc w:val="both"/>
        <w:rPr>
          <w:rFonts w:cs="Arial"/>
          <w:i/>
          <w:szCs w:val="20"/>
        </w:rPr>
      </w:pPr>
      <w:r>
        <w:rPr>
          <w:rFonts w:cs="Arial"/>
          <w:i/>
          <w:szCs w:val="20"/>
        </w:rPr>
      </w:r>
    </w:p>
    <w:p>
      <w:pPr>
        <w:pStyle w:val="Normal"/>
        <w:jc w:val="both"/>
        <w:rPr>
          <w:rFonts w:cs="Arial"/>
          <w:bCs/>
          <w:color w:val="000000"/>
          <w:szCs w:val="18"/>
        </w:rPr>
      </w:pPr>
      <w:r>
        <w:rPr>
          <w:rFonts w:cs="Arial"/>
          <w:bCs/>
          <w:color w:val="000000"/>
          <w:szCs w:val="18"/>
        </w:rPr>
        <w:t>Die Pufferkapazität für Säuren (Pufferung von H</w:t>
      </w:r>
      <w:r>
        <w:rPr>
          <w:rFonts w:cs="Arial"/>
          <w:bCs/>
          <w:color w:val="000000"/>
          <w:szCs w:val="18"/>
          <w:vertAlign w:val="superscript"/>
        </w:rPr>
        <w:t>+</w:t>
      </w:r>
      <w:r>
        <w:rPr>
          <w:rFonts w:cs="Arial"/>
          <w:bCs/>
          <w:color w:val="000000"/>
          <w:szCs w:val="18"/>
        </w:rPr>
        <w:t>-Protonen) ist neben dem Basengehalt hauptsächlich vom Carbonatgehalt abhängig. Das CaCO</w:t>
      </w:r>
      <w:r>
        <w:rPr>
          <w:rFonts w:cs="Arial"/>
          <w:bCs/>
          <w:color w:val="000000"/>
          <w:szCs w:val="18"/>
          <w:vertAlign w:val="subscript"/>
        </w:rPr>
        <w:t>3</w:t>
      </w:r>
      <w:r>
        <w:rPr>
          <w:rFonts w:cs="Arial"/>
          <w:bCs/>
          <w:color w:val="000000"/>
          <w:szCs w:val="18"/>
        </w:rPr>
        <w:t>-Äquivalent des Feinbodens ist allerdings mit herkömm</w:t>
        <w:softHyphen/>
        <w:t xml:space="preserve">lichen Geländemethoden („HCl-Probe“, d.h. Beträufeln der Probe mit 10%-iger Salzsäure und Beobachten der Reaktion, siehe z.B. Ad-hoc-AG Boden 2005: 169) nur sehr ungenau zu bestimmen. Die Zugabe von HCl bewirkt bereits bei einem Carbonatgehalt von &gt;10% ein „starkes, anhaltendes Schäumen“, das keine weitere Unterteilung zulässt. </w:t>
      </w:r>
    </w:p>
    <w:p>
      <w:pPr>
        <w:pStyle w:val="Normal"/>
        <w:jc w:val="both"/>
        <w:rPr>
          <w:rFonts w:cs="Arial"/>
          <w:b/>
          <w:bCs/>
          <w:color w:val="000000"/>
          <w:szCs w:val="18"/>
        </w:rPr>
      </w:pPr>
      <w:r>
        <w:rPr>
          <w:rFonts w:cs="Arial"/>
          <w:b/>
          <w:bCs/>
          <w:color w:val="000000"/>
          <w:szCs w:val="18"/>
        </w:rPr>
        <w:t>Aus diesem Grund darf Bewertung 1d.5 nur durchgeführt werden, wenn die CaCO</w:t>
      </w:r>
      <w:r>
        <w:rPr>
          <w:rFonts w:cs="Arial"/>
          <w:b/>
          <w:bCs/>
          <w:color w:val="000000"/>
          <w:szCs w:val="18"/>
          <w:vertAlign w:val="subscript"/>
        </w:rPr>
        <w:t>3</w:t>
      </w:r>
      <w:r>
        <w:rPr>
          <w:rFonts w:cs="Arial"/>
          <w:b/>
          <w:bCs/>
          <w:color w:val="000000"/>
          <w:szCs w:val="18"/>
        </w:rPr>
        <w:t>-Werte nach Scheibler (gasvolumetrische Methode) bestimmt wurden und Parameter B100 verfügbar ist!</w:t>
      </w:r>
    </w:p>
    <w:p>
      <w:pPr>
        <w:pStyle w:val="Normal"/>
        <w:ind w:left="708" w:right="0" w:hanging="0"/>
        <w:rPr>
          <w:rFonts w:cs="Arial"/>
          <w:b/>
          <w:bCs/>
          <w:color w:val="000000"/>
          <w:sz w:val="18"/>
          <w:szCs w:val="18"/>
        </w:rPr>
      </w:pPr>
      <w:r>
        <w:rPr>
          <w:rFonts w:cs="Arial"/>
          <w:b/>
          <w:bCs/>
          <w:color w:val="000000"/>
          <w:sz w:val="18"/>
          <w:szCs w:val="18"/>
        </w:rPr>
      </w:r>
    </w:p>
    <w:p>
      <w:pPr>
        <w:pStyle w:val="Normal"/>
        <w:ind w:left="708" w:right="0" w:hanging="0"/>
        <w:rPr>
          <w:rFonts w:cs="Arial"/>
          <w:b/>
          <w:bCs/>
          <w:color w:val="000000"/>
          <w:sz w:val="18"/>
          <w:szCs w:val="18"/>
        </w:rPr>
      </w:pPr>
      <w:r>
        <w:rPr>
          <w:rFonts w:cs="Arial"/>
          <w:b/>
          <w:bCs/>
          <w:color w:val="000000"/>
          <w:sz w:val="18"/>
          <w:szCs w:val="18"/>
        </w:rPr>
      </w:r>
    </w:p>
    <w:p>
      <w:pPr>
        <w:pStyle w:val="Normal"/>
        <w:spacing w:before="0" w:after="120"/>
        <w:rPr>
          <w:rFonts w:cs="Arial"/>
          <w:bCs/>
          <w:color w:val="000000"/>
          <w:szCs w:val="20"/>
          <w:u w:val="single"/>
        </w:rPr>
      </w:pPr>
      <w:r>
        <w:rPr>
          <w:rFonts w:cs="Arial"/>
          <w:szCs w:val="20"/>
          <w:u w:val="single"/>
        </w:rPr>
        <w:t xml:space="preserve">Schritt 1 – </w:t>
      </w:r>
      <w:r>
        <w:rPr>
          <w:rFonts w:cs="Arial"/>
          <w:bCs/>
          <w:color w:val="000000"/>
          <w:szCs w:val="20"/>
          <w:u w:val="single"/>
        </w:rPr>
        <w:t>Berechnung der carbonatabhängigen Pufferkapazität für jeden (Mineralboden-)Horizont</w:t>
      </w:r>
    </w:p>
    <w:p>
      <w:pPr>
        <w:pStyle w:val="Normal"/>
        <w:tabs>
          <w:tab w:val="left" w:pos="993" w:leader="none"/>
        </w:tabs>
        <w:jc w:val="both"/>
        <w:rPr>
          <w:rFonts w:cs="Arial"/>
          <w:bCs/>
          <w:color w:val="000000"/>
          <w:szCs w:val="20"/>
        </w:rPr>
      </w:pPr>
      <w:r>
        <w:rPr>
          <w:rFonts w:cs="Arial"/>
          <w:bCs/>
          <w:color w:val="000000"/>
          <w:szCs w:val="20"/>
        </w:rPr>
        <w:t xml:space="preserve">Gemäß BayGLA (2003: 50) wird eine Pufferkapazität von 2 mol Protonen pro 1 mol Carbonat im Boden angenommen. Daraus ergibt sich: </w:t>
      </w:r>
    </w:p>
    <w:p>
      <w:pPr>
        <w:pStyle w:val="Normal"/>
        <w:tabs>
          <w:tab w:val="left" w:pos="4996" w:leader="none"/>
        </w:tabs>
        <w:ind w:left="1069" w:right="0" w:hanging="0"/>
        <w:rPr>
          <w:rFonts w:cs="Arial"/>
          <w:szCs w:val="20"/>
        </w:rPr>
      </w:pPr>
      <w:r>
        <w:rPr>
          <w:rFonts w:cs="Arial"/>
          <w:szCs w:val="20"/>
        </w:rPr>
      </w:r>
    </w:p>
    <w:p>
      <w:pPr>
        <w:pStyle w:val="Normal"/>
        <w:tabs>
          <w:tab w:val="left" w:pos="4996" w:leader="none"/>
        </w:tabs>
        <w:ind w:left="1069" w:right="0" w:hanging="0"/>
        <w:rPr>
          <w:rFonts w:cs="Arial"/>
          <w:szCs w:val="20"/>
        </w:rPr>
      </w:pPr>
      <w:r>
        <w:rPr>
          <w:rFonts w:cs="Arial"/>
          <w:szCs w:val="20"/>
        </w:rPr>
        <w:t xml:space="preserve">Carb_Puff </w:t>
      </w:r>
      <w:r>
        <w:rPr>
          <w:rFonts w:cs="Arial"/>
          <w:bCs/>
          <w:color w:val="000000"/>
          <w:szCs w:val="20"/>
        </w:rPr>
        <w:t>[mol H</w:t>
      </w:r>
      <w:r>
        <w:rPr>
          <w:rFonts w:cs="Arial"/>
          <w:bCs/>
          <w:color w:val="000000"/>
          <w:szCs w:val="20"/>
          <w:vertAlign w:val="superscript"/>
        </w:rPr>
        <w:t>+</w:t>
      </w:r>
      <w:r>
        <w:rPr>
          <w:rFonts w:cs="Arial"/>
          <w:bCs/>
          <w:color w:val="000000"/>
          <w:szCs w:val="20"/>
        </w:rPr>
        <w:t>/m²]</w:t>
      </w:r>
      <w:r>
        <w:rPr>
          <w:rFonts w:cs="Arial"/>
          <w:b/>
          <w:bCs/>
          <w:color w:val="000000"/>
          <w:szCs w:val="20"/>
        </w:rPr>
        <w:t xml:space="preserve"> </w:t>
      </w:r>
      <w:r>
        <w:rPr>
          <w:rFonts w:cs="Arial"/>
          <w:szCs w:val="20"/>
        </w:rPr>
        <w:t>= Feinbodenmenge (Px04) * Carbonatgehalt (B100) / 100 * 20 [mol H</w:t>
      </w:r>
      <w:r>
        <w:rPr>
          <w:rFonts w:cs="Arial"/>
          <w:szCs w:val="20"/>
          <w:vertAlign w:val="superscript"/>
        </w:rPr>
        <w:t>+</w:t>
      </w:r>
      <w:r>
        <w:rPr>
          <w:rFonts w:cs="Arial"/>
          <w:szCs w:val="20"/>
        </w:rPr>
        <w:t>/kg CaCO</w:t>
      </w:r>
      <w:r>
        <w:rPr>
          <w:rFonts w:cs="Arial"/>
          <w:szCs w:val="20"/>
          <w:vertAlign w:val="subscript"/>
        </w:rPr>
        <w:t>3</w:t>
      </w:r>
      <w:r>
        <w:rPr>
          <w:rFonts w:cs="Arial"/>
          <w:szCs w:val="20"/>
        </w:rPr>
        <w:t>]</w:t>
      </w:r>
    </w:p>
    <w:p>
      <w:pPr>
        <w:pStyle w:val="Normal"/>
        <w:tabs>
          <w:tab w:val="left" w:pos="4996" w:leader="none"/>
        </w:tabs>
        <w:ind w:left="1069" w:right="0" w:hanging="0"/>
        <w:rPr>
          <w:rFonts w:cs="Arial"/>
          <w:sz w:val="18"/>
          <w:szCs w:val="18"/>
        </w:rPr>
      </w:pPr>
      <w:r>
        <w:rPr>
          <w:rFonts w:cs="Arial"/>
          <w:sz w:val="18"/>
          <w:szCs w:val="18"/>
        </w:rPr>
      </w:r>
    </w:p>
    <w:p>
      <w:pPr>
        <w:pStyle w:val="Normal"/>
        <w:widowControl w:val="false"/>
        <w:spacing w:lineRule="auto" w:line="240"/>
        <w:jc w:val="both"/>
        <w:rPr>
          <w:rFonts w:cs="Arial"/>
          <w:szCs w:val="20"/>
          <w:u w:val="single"/>
        </w:rPr>
      </w:pPr>
      <w:r>
        <w:rPr>
          <w:rFonts w:cs="Arial"/>
          <w:szCs w:val="20"/>
          <w:u w:val="single"/>
        </w:rPr>
      </w:r>
    </w:p>
    <w:p>
      <w:pPr>
        <w:pStyle w:val="Normal"/>
        <w:widowControl w:val="false"/>
        <w:spacing w:lineRule="auto" w:line="240"/>
        <w:jc w:val="both"/>
        <w:rPr>
          <w:rFonts w:cs="Arial"/>
          <w:bCs/>
          <w:color w:val="000000"/>
          <w:szCs w:val="20"/>
          <w:u w:val="single"/>
        </w:rPr>
      </w:pPr>
      <w:r>
        <w:rPr>
          <w:rFonts w:cs="Arial"/>
          <w:szCs w:val="20"/>
          <w:u w:val="single"/>
        </w:rPr>
        <w:t xml:space="preserve">Schritt 2 – </w:t>
      </w:r>
      <w:r>
        <w:rPr>
          <w:rFonts w:cs="Arial"/>
          <w:bCs/>
          <w:color w:val="000000"/>
          <w:szCs w:val="20"/>
          <w:u w:val="single"/>
        </w:rPr>
        <w:t>Berechnung des Vorrates austauschbarer basischer Kationen an der KAK</w:t>
      </w:r>
      <w:r>
        <w:rPr>
          <w:rFonts w:cs="Arial"/>
          <w:bCs/>
          <w:color w:val="000000"/>
          <w:szCs w:val="20"/>
          <w:u w:val="single"/>
          <w:vertAlign w:val="subscript"/>
        </w:rPr>
        <w:t>pot</w:t>
      </w:r>
      <w:r>
        <w:rPr>
          <w:rFonts w:cs="Arial"/>
          <w:bCs/>
          <w:color w:val="000000"/>
          <w:szCs w:val="20"/>
          <w:u w:val="single"/>
        </w:rPr>
        <w:t xml:space="preserve"> für jeden (Mineralboden-)Horizont</w:t>
      </w:r>
    </w:p>
    <w:p>
      <w:pPr>
        <w:pStyle w:val="Normal"/>
        <w:jc w:val="both"/>
        <w:rPr/>
      </w:pPr>
      <w:r>
        <w:rPr>
          <w:rFonts w:cs="Arial"/>
          <w:bCs/>
          <w:color w:val="000000"/>
          <w:szCs w:val="20"/>
        </w:rPr>
        <w:t>Analog zu Bewertung 1a.4 (Potenzial als Lebensraum für Kulturpflanzen = Potenzial für landwirt</w:t>
        <w:softHyphen/>
        <w:t xml:space="preserve">schaftliche Produktion), Schritt D - Nährstoffversorgung wird der so genannte S-Wert aus </w:t>
      </w:r>
      <w:r>
        <w:rPr/>
        <w:t>der potentiellen Kationenaustauschkapazität (KAK</w:t>
      </w:r>
      <w:r>
        <w:rPr>
          <w:vertAlign w:val="subscript"/>
        </w:rPr>
        <w:t>pot</w:t>
      </w:r>
      <w:r>
        <w:rPr/>
        <w:t>), einem pH-abhängigen Umrechnungsfaktor und der Gesamtmenge an Feinboden bestimmt:</w:t>
      </w:r>
    </w:p>
    <w:p>
      <w:pPr>
        <w:pStyle w:val="Normal"/>
        <w:ind w:left="1134" w:right="0" w:hanging="0"/>
        <w:rPr>
          <w:rFonts w:cs="Arial"/>
          <w:bCs/>
          <w:i/>
          <w:color w:val="000000"/>
          <w:sz w:val="18"/>
          <w:szCs w:val="18"/>
        </w:rPr>
      </w:pPr>
      <w:r>
        <w:rPr>
          <w:rFonts w:cs="Arial"/>
          <w:bCs/>
          <w:i/>
          <w:color w:val="000000"/>
          <w:sz w:val="18"/>
          <w:szCs w:val="18"/>
        </w:rPr>
      </w:r>
    </w:p>
    <w:p>
      <w:pPr>
        <w:pStyle w:val="Normal"/>
        <w:ind w:left="1134" w:right="0" w:hanging="0"/>
        <w:rPr>
          <w:rFonts w:cs="Arial"/>
          <w:bCs/>
          <w:color w:val="000000"/>
          <w:szCs w:val="20"/>
        </w:rPr>
      </w:pPr>
      <w:r>
        <w:rPr>
          <w:rFonts w:cs="Arial"/>
          <w:bCs/>
          <w:color w:val="000000"/>
          <w:szCs w:val="20"/>
        </w:rPr>
        <w:t>Mb [cmol</w:t>
      </w:r>
      <w:r>
        <w:rPr>
          <w:rFonts w:cs="Arial"/>
          <w:bCs/>
          <w:color w:val="000000"/>
          <w:szCs w:val="20"/>
          <w:vertAlign w:val="subscript"/>
        </w:rPr>
        <w:t>c</w:t>
      </w:r>
      <w:r>
        <w:rPr>
          <w:rFonts w:cs="Arial"/>
          <w:bCs/>
          <w:color w:val="000000"/>
          <w:szCs w:val="20"/>
        </w:rPr>
        <w:t>/m²] = Feinbodenmenge (Px04) * (KAK</w:t>
      </w:r>
      <w:r>
        <w:rPr>
          <w:rFonts w:cs="Arial"/>
          <w:bCs/>
          <w:color w:val="000000"/>
          <w:szCs w:val="20"/>
          <w:vertAlign w:val="subscript"/>
        </w:rPr>
        <w:t>pot</w:t>
      </w:r>
      <w:r>
        <w:rPr>
          <w:rFonts w:cs="Arial"/>
          <w:bCs/>
          <w:color w:val="000000"/>
          <w:szCs w:val="20"/>
        </w:rPr>
        <w:t xml:space="preserve"> (Px13) * Basensättigung (Px15) / 100) </w:t>
      </w:r>
    </w:p>
    <w:p>
      <w:pPr>
        <w:pStyle w:val="Normal"/>
        <w:ind w:left="708" w:right="0" w:hanging="0"/>
        <w:rPr>
          <w:rFonts w:cs="Arial"/>
          <w:b/>
          <w:bCs/>
          <w:color w:val="000000"/>
          <w:sz w:val="18"/>
          <w:szCs w:val="18"/>
        </w:rPr>
      </w:pPr>
      <w:r>
        <w:rPr>
          <w:rFonts w:cs="Arial"/>
          <w:b/>
          <w:bCs/>
          <w:color w:val="000000"/>
          <w:sz w:val="18"/>
          <w:szCs w:val="18"/>
        </w:rPr>
      </w:r>
    </w:p>
    <w:p>
      <w:pPr>
        <w:pStyle w:val="Normal"/>
        <w:widowControl w:val="false"/>
        <w:spacing w:lineRule="auto" w:line="240"/>
        <w:jc w:val="both"/>
        <w:rPr>
          <w:rFonts w:cs="Arial"/>
          <w:szCs w:val="20"/>
          <w:u w:val="single"/>
        </w:rPr>
      </w:pPr>
      <w:r>
        <w:rPr>
          <w:rFonts w:cs="Arial"/>
          <w:szCs w:val="20"/>
          <w:u w:val="single"/>
        </w:rPr>
      </w:r>
    </w:p>
    <w:p>
      <w:pPr>
        <w:pStyle w:val="Normal"/>
        <w:widowControl w:val="false"/>
        <w:spacing w:lineRule="auto" w:line="240"/>
        <w:jc w:val="both"/>
        <w:rPr>
          <w:rFonts w:cs="Arial"/>
          <w:bCs/>
          <w:color w:val="000000"/>
          <w:szCs w:val="20"/>
          <w:u w:val="single"/>
        </w:rPr>
      </w:pPr>
      <w:r>
        <w:rPr>
          <w:rFonts w:cs="Arial"/>
          <w:szCs w:val="20"/>
          <w:u w:val="single"/>
        </w:rPr>
        <w:t xml:space="preserve">Schritt 3 – </w:t>
      </w:r>
      <w:r>
        <w:rPr>
          <w:rFonts w:cs="Arial"/>
          <w:bCs/>
          <w:color w:val="000000"/>
          <w:szCs w:val="20"/>
          <w:u w:val="single"/>
        </w:rPr>
        <w:t>Berechnung der Pufferkapazität des gesamten Mineralbodens</w:t>
      </w:r>
    </w:p>
    <w:p>
      <w:pPr>
        <w:pStyle w:val="Normal"/>
        <w:jc w:val="both"/>
        <w:rPr>
          <w:rFonts w:cs="Arial"/>
          <w:bCs/>
          <w:color w:val="000000"/>
          <w:szCs w:val="20"/>
        </w:rPr>
      </w:pPr>
      <w:r>
        <w:rPr>
          <w:rFonts w:cs="Arial"/>
          <w:bCs/>
          <w:color w:val="000000"/>
          <w:szCs w:val="20"/>
        </w:rPr>
        <w:t xml:space="preserve">Aufsummieren der carbonatabhängigen Pufferkapazität und der austauschbaren basischen Kationen für alle </w:t>
      </w:r>
      <w:r>
        <w:rPr>
          <w:rFonts w:cs="Arial"/>
          <w:bCs/>
          <w:i/>
          <w:color w:val="000000"/>
          <w:szCs w:val="20"/>
        </w:rPr>
        <w:t>n</w:t>
      </w:r>
      <w:r>
        <w:rPr>
          <w:rFonts w:cs="Arial"/>
          <w:bCs/>
          <w:color w:val="000000"/>
          <w:szCs w:val="20"/>
        </w:rPr>
        <w:t xml:space="preserve"> Mineralbodenhorizonte:</w:t>
      </w:r>
    </w:p>
    <w:p>
      <w:pPr>
        <w:pStyle w:val="Normal"/>
        <w:ind w:left="1134" w:right="0" w:hanging="0"/>
        <w:rPr>
          <w:rFonts w:cs="Arial"/>
          <w:b/>
          <w:bCs/>
          <w:color w:val="000000"/>
          <w:sz w:val="18"/>
          <w:szCs w:val="18"/>
        </w:rPr>
      </w:pPr>
      <w:r>
        <w:rPr>
          <w:rFonts w:cs="Arial"/>
          <w:b/>
          <w:bCs/>
          <w:color w:val="000000"/>
          <w:sz w:val="18"/>
          <w:szCs w:val="18"/>
        </w:rPr>
      </w:r>
    </w:p>
    <w:p>
      <w:pPr>
        <w:pStyle w:val="Normal"/>
        <w:ind w:left="1134" w:right="0" w:hanging="0"/>
        <w:rPr>
          <w:rFonts w:cs="Arial"/>
          <w:bCs/>
          <w:color w:val="000000"/>
          <w:szCs w:val="20"/>
        </w:rPr>
      </w:pPr>
      <w:r>
        <w:rPr>
          <w:rFonts w:cs="Arial"/>
          <w:bCs/>
          <w:color w:val="000000"/>
          <w:szCs w:val="20"/>
        </w:rPr>
        <w:t>Miner_Puff [cmol</w:t>
      </w:r>
      <w:r>
        <w:rPr>
          <w:rFonts w:cs="Arial"/>
          <w:bCs/>
          <w:color w:val="000000"/>
          <w:szCs w:val="20"/>
          <w:vertAlign w:val="subscript"/>
        </w:rPr>
        <w:t>c</w:t>
      </w:r>
      <w:r>
        <w:rPr>
          <w:rFonts w:cs="Arial"/>
          <w:bCs/>
          <w:color w:val="000000"/>
          <w:szCs w:val="20"/>
        </w:rPr>
        <w:t xml:space="preserve">/m²] = </w:t>
      </w:r>
      <w:bookmarkStart w:id="16" w:name="OLE_LINK9"/>
      <w:bookmarkStart w:id="17" w:name="OLE_LINK10"/>
      <w:r>
        <w:rPr>
          <w:rFonts w:cs="Arial" w:ascii="Symbol" w:hAnsi="Symbol"/>
          <w:bCs/>
          <w:color w:val="000000"/>
          <w:szCs w:val="20"/>
        </w:rPr>
        <w:t></w:t>
      </w:r>
      <w:bookmarkEnd w:id="16"/>
      <w:bookmarkEnd w:id="17"/>
      <w:r>
        <w:rPr>
          <w:rFonts w:cs="Arial"/>
          <w:bCs/>
          <w:color w:val="000000"/>
          <w:szCs w:val="20"/>
        </w:rPr>
        <w:t xml:space="preserve"> (Carb_Puff </w:t>
      </w:r>
      <w:r>
        <w:rPr>
          <w:rFonts w:cs="Arial"/>
          <w:bCs/>
          <w:i/>
          <w:color w:val="000000"/>
          <w:szCs w:val="20"/>
        </w:rPr>
        <w:t>(n)</w:t>
      </w:r>
      <w:r>
        <w:rPr>
          <w:rFonts w:cs="Arial"/>
          <w:bCs/>
          <w:color w:val="000000"/>
          <w:szCs w:val="20"/>
        </w:rPr>
        <w:t xml:space="preserve"> * 100 + Mb </w:t>
      </w:r>
      <w:r>
        <w:rPr>
          <w:rFonts w:cs="Arial"/>
          <w:bCs/>
          <w:i/>
          <w:color w:val="000000"/>
          <w:szCs w:val="20"/>
        </w:rPr>
        <w:t>(n)</w:t>
      </w:r>
      <w:r>
        <w:rPr>
          <w:rFonts w:cs="Arial"/>
          <w:bCs/>
          <w:color w:val="000000"/>
          <w:szCs w:val="20"/>
        </w:rPr>
        <w:t>)</w:t>
      </w:r>
    </w:p>
    <w:p>
      <w:pPr>
        <w:pStyle w:val="Normal"/>
        <w:widowControl w:val="false"/>
        <w:spacing w:lineRule="auto" w:line="240"/>
        <w:jc w:val="both"/>
        <w:rPr>
          <w:rFonts w:cs="Arial"/>
          <w:szCs w:val="20"/>
          <w:u w:val="single"/>
        </w:rPr>
      </w:pPr>
      <w:r>
        <w:rPr>
          <w:rFonts w:cs="Arial"/>
          <w:szCs w:val="20"/>
          <w:u w:val="single"/>
        </w:rPr>
      </w:r>
    </w:p>
    <w:p>
      <w:pPr>
        <w:pStyle w:val="Normal"/>
        <w:widowControl w:val="false"/>
        <w:spacing w:lineRule="auto" w:line="240"/>
        <w:jc w:val="both"/>
        <w:rPr>
          <w:rFonts w:cs="Arial"/>
          <w:szCs w:val="20"/>
          <w:u w:val="single"/>
        </w:rPr>
      </w:pPr>
      <w:r>
        <w:rPr>
          <w:rFonts w:cs="Arial"/>
          <w:szCs w:val="20"/>
          <w:u w:val="single"/>
        </w:rPr>
      </w:r>
    </w:p>
    <w:p>
      <w:pPr>
        <w:pStyle w:val="Normal"/>
        <w:widowControl w:val="false"/>
        <w:spacing w:lineRule="auto" w:line="240"/>
        <w:jc w:val="both"/>
        <w:rPr>
          <w:rFonts w:cs="Arial"/>
          <w:bCs/>
          <w:color w:val="000000"/>
          <w:szCs w:val="20"/>
          <w:u w:val="single"/>
        </w:rPr>
      </w:pPr>
      <w:r>
        <w:rPr>
          <w:rFonts w:cs="Arial"/>
          <w:szCs w:val="20"/>
          <w:u w:val="single"/>
        </w:rPr>
        <w:t xml:space="preserve">Schritt 4 – </w:t>
      </w:r>
      <w:r>
        <w:rPr>
          <w:rFonts w:cs="Arial"/>
          <w:bCs/>
          <w:color w:val="000000"/>
          <w:szCs w:val="20"/>
          <w:u w:val="single"/>
        </w:rPr>
        <w:t xml:space="preserve">Bestimmung von Basengehalt </w:t>
      </w:r>
      <w:r>
        <w:rPr>
          <w:rFonts w:cs="Arial"/>
          <w:bCs/>
          <w:i/>
          <w:color w:val="000000"/>
          <w:szCs w:val="20"/>
          <w:u w:val="single"/>
        </w:rPr>
        <w:t>(Ob)</w:t>
      </w:r>
      <w:r>
        <w:rPr>
          <w:rFonts w:cs="Arial"/>
          <w:bCs/>
          <w:color w:val="000000"/>
          <w:szCs w:val="20"/>
          <w:u w:val="single"/>
        </w:rPr>
        <w:t xml:space="preserve"> und Trockenrohdichte </w:t>
      </w:r>
      <w:r>
        <w:rPr>
          <w:rFonts w:cs="Arial"/>
          <w:bCs/>
          <w:i/>
          <w:color w:val="000000"/>
          <w:szCs w:val="20"/>
          <w:u w:val="single"/>
        </w:rPr>
        <w:t>(TRD)</w:t>
      </w:r>
      <w:r>
        <w:rPr>
          <w:rFonts w:cs="Arial"/>
          <w:bCs/>
          <w:color w:val="000000"/>
          <w:szCs w:val="20"/>
          <w:u w:val="single"/>
        </w:rPr>
        <w:t xml:space="preserve"> für jeden Auflagehorizont</w:t>
      </w:r>
    </w:p>
    <w:p>
      <w:pPr>
        <w:pStyle w:val="Normal"/>
        <w:rPr>
          <w:rFonts w:cs="Arial"/>
          <w:szCs w:val="20"/>
        </w:rPr>
      </w:pPr>
      <w:r>
        <w:rPr>
          <w:rFonts w:cs="Arial"/>
          <w:szCs w:val="20"/>
        </w:rPr>
        <w:t>In Abhängigkeit von der Humusform werden folgende Werte angesetzt (siehe BayGLA 2003: 61):</w:t>
      </w:r>
    </w:p>
    <w:p>
      <w:pPr>
        <w:pStyle w:val="Normal"/>
        <w:rPr>
          <w:rFonts w:cs="Arial"/>
          <w:szCs w:val="20"/>
        </w:rPr>
      </w:pPr>
      <w:r>
        <w:rPr>
          <w:rFonts w:cs="Arial"/>
          <w:szCs w:val="20"/>
        </w:rPr>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2268"/>
        <w:gridCol w:w="2268"/>
        <w:gridCol w:w="2269"/>
      </w:tblGrid>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b/>
                <w:szCs w:val="20"/>
              </w:rPr>
            </w:pPr>
            <w:r>
              <w:rPr>
                <w:rFonts w:cs="Arial"/>
                <w:b/>
                <w:szCs w:val="20"/>
              </w:rPr>
              <w:t>Humusform</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Cs/>
                <w:i/>
                <w:color w:val="000000"/>
                <w:szCs w:val="20"/>
              </w:rPr>
            </w:pPr>
            <w:r>
              <w:rPr>
                <w:rFonts w:cs="Arial"/>
                <w:b/>
                <w:szCs w:val="20"/>
              </w:rPr>
              <w:t>Basengehalte</w:t>
              <w:br/>
            </w:r>
            <w:r>
              <w:rPr>
                <w:rFonts w:cs="Arial"/>
                <w:bCs/>
                <w:color w:val="000000"/>
                <w:szCs w:val="20"/>
              </w:rPr>
              <w:t>[cmol</w:t>
            </w:r>
            <w:r>
              <w:rPr>
                <w:rFonts w:cs="Arial"/>
                <w:bCs/>
                <w:color w:val="000000"/>
                <w:szCs w:val="20"/>
                <w:vertAlign w:val="subscript"/>
              </w:rPr>
              <w:t>c</w:t>
            </w:r>
            <w:r>
              <w:rPr>
                <w:rFonts w:cs="Arial"/>
                <w:bCs/>
                <w:color w:val="000000"/>
                <w:szCs w:val="20"/>
              </w:rPr>
              <w:t xml:space="preserve">/kg] </w:t>
            </w:r>
            <w:r>
              <w:rPr>
                <w:rFonts w:cs="Arial"/>
                <w:bCs/>
                <w:i/>
                <w:color w:val="000000"/>
                <w:szCs w:val="20"/>
              </w:rPr>
              <w:t>(Ob)</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bCs/>
                <w:i/>
                <w:color w:val="000000"/>
                <w:szCs w:val="20"/>
              </w:rPr>
            </w:pPr>
            <w:r>
              <w:rPr>
                <w:rFonts w:cs="Arial"/>
                <w:b/>
                <w:bCs/>
                <w:color w:val="000000"/>
                <w:szCs w:val="20"/>
              </w:rPr>
              <w:t xml:space="preserve">Trockenrohdichte </w:t>
            </w:r>
            <w:r>
              <w:rPr>
                <w:rFonts w:cs="Arial"/>
                <w:bCs/>
                <w:color w:val="000000"/>
                <w:szCs w:val="20"/>
              </w:rPr>
              <w:t xml:space="preserve">[g/cm³] </w:t>
            </w:r>
            <w:r>
              <w:rPr>
                <w:rFonts w:cs="Arial"/>
                <w:bCs/>
                <w:i/>
                <w:color w:val="000000"/>
                <w:szCs w:val="20"/>
              </w:rPr>
              <w:t>(TRD)</w:t>
            </w:r>
          </w:p>
        </w:tc>
      </w:tr>
      <w:tr>
        <w:trPr>
          <w:trHeight w:val="40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bookmarkStart w:id="18" w:name="_GoBack"/>
            <w:bookmarkEnd w:id="18"/>
            <w:r>
              <w:rPr>
                <w:rFonts w:cs="Arial"/>
                <w:szCs w:val="20"/>
              </w:rPr>
              <w:t>Mull</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szCs w:val="20"/>
              </w:rPr>
            </w:pPr>
            <w:r>
              <w:rPr>
                <w:rFonts w:cs="Arial"/>
                <w:szCs w:val="20"/>
              </w:rPr>
              <w:t>61</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szCs w:val="20"/>
              </w:rPr>
              <w:t>0,07</w:t>
            </w:r>
          </w:p>
        </w:tc>
      </w:tr>
      <w:tr>
        <w:trPr>
          <w:trHeight w:val="40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Moder</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szCs w:val="20"/>
              </w:rPr>
            </w:pPr>
            <w:r>
              <w:rPr>
                <w:rFonts w:cs="Arial"/>
                <w:szCs w:val="20"/>
              </w:rPr>
              <w:t>39</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szCs w:val="20"/>
              </w:rPr>
              <w:t>0,13</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Rohhumus</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szCs w:val="20"/>
              </w:rPr>
            </w:pPr>
            <w:r>
              <w:rPr>
                <w:rFonts w:cs="Arial"/>
                <w:szCs w:val="20"/>
              </w:rPr>
              <w:t>32</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tcPr>
          <w:p>
            <w:pPr>
              <w:pStyle w:val="Normal"/>
              <w:spacing w:before="60" w:after="60"/>
              <w:jc w:val="center"/>
              <w:rPr>
                <w:rFonts w:cs="Arial"/>
                <w:szCs w:val="20"/>
              </w:rPr>
            </w:pPr>
            <w:r>
              <w:rPr>
                <w:rFonts w:cs="Arial"/>
                <w:szCs w:val="20"/>
              </w:rPr>
              <w:t>0,20</w:t>
            </w:r>
          </w:p>
        </w:tc>
      </w:tr>
    </w:tbl>
    <w:p>
      <w:pPr>
        <w:pStyle w:val="Normal"/>
        <w:rPr>
          <w:rFonts w:cs="Arial"/>
          <w:bCs/>
          <w:color w:val="000000"/>
          <w:sz w:val="18"/>
          <w:szCs w:val="18"/>
        </w:rPr>
      </w:pPr>
      <w:bookmarkStart w:id="19" w:name="_GoBack1"/>
      <w:bookmarkStart w:id="20" w:name="_GoBack1"/>
      <w:bookmarkEnd w:id="20"/>
      <w:r>
        <w:rPr>
          <w:rFonts w:cs="Arial"/>
          <w:bCs/>
          <w:color w:val="000000"/>
          <w:sz w:val="18"/>
          <w:szCs w:val="18"/>
        </w:rPr>
      </w:r>
    </w:p>
    <w:p>
      <w:pPr>
        <w:pStyle w:val="Normal"/>
        <w:ind w:left="1134" w:right="0" w:hanging="0"/>
        <w:rPr>
          <w:rFonts w:cs="Arial"/>
          <w:bCs/>
          <w:color w:val="000000"/>
          <w:sz w:val="18"/>
          <w:szCs w:val="18"/>
        </w:rPr>
      </w:pPr>
      <w:r>
        <w:rPr>
          <w:rFonts w:cs="Arial"/>
          <w:bCs/>
          <w:color w:val="000000"/>
          <w:sz w:val="18"/>
          <w:szCs w:val="18"/>
        </w:rPr>
      </w:r>
    </w:p>
    <w:p>
      <w:pPr>
        <w:pStyle w:val="Normal"/>
        <w:widowControl w:val="false"/>
        <w:spacing w:lineRule="auto" w:line="240"/>
        <w:jc w:val="both"/>
        <w:rPr>
          <w:rFonts w:cs="Arial"/>
          <w:bCs/>
          <w:color w:val="000000"/>
          <w:szCs w:val="20"/>
          <w:u w:val="single"/>
        </w:rPr>
      </w:pPr>
      <w:r>
        <w:rPr>
          <w:rFonts w:cs="Arial"/>
          <w:szCs w:val="20"/>
          <w:u w:val="single"/>
        </w:rPr>
        <w:t xml:space="preserve">Schritt 5 – </w:t>
      </w:r>
      <w:r>
        <w:rPr>
          <w:rFonts w:cs="Arial"/>
          <w:bCs/>
          <w:color w:val="000000"/>
          <w:szCs w:val="20"/>
          <w:u w:val="single"/>
        </w:rPr>
        <w:t>Berechnung der Pufferkapazität der gesamten Humusauflage</w:t>
      </w:r>
    </w:p>
    <w:p>
      <w:pPr>
        <w:pStyle w:val="Normal"/>
        <w:jc w:val="both"/>
        <w:rPr>
          <w:rFonts w:cs="Arial"/>
          <w:bCs/>
          <w:color w:val="000000"/>
          <w:szCs w:val="20"/>
        </w:rPr>
      </w:pPr>
      <w:r>
        <w:rPr>
          <w:rFonts w:cs="Arial"/>
          <w:bCs/>
          <w:color w:val="000000"/>
          <w:szCs w:val="20"/>
        </w:rPr>
        <w:t xml:space="preserve">Aufsummieren der Pufferkapazität für alle </w:t>
      </w:r>
      <w:r>
        <w:rPr>
          <w:rFonts w:cs="Arial"/>
          <w:bCs/>
          <w:i/>
          <w:color w:val="000000"/>
          <w:szCs w:val="20"/>
        </w:rPr>
        <w:t>n</w:t>
      </w:r>
      <w:r>
        <w:rPr>
          <w:rFonts w:cs="Arial"/>
          <w:bCs/>
          <w:color w:val="000000"/>
          <w:szCs w:val="20"/>
        </w:rPr>
        <w:t xml:space="preserve"> Auflagehorizonte (Ol, Of, Oh, M)</w:t>
      </w:r>
    </w:p>
    <w:p>
      <w:pPr>
        <w:pStyle w:val="Normal"/>
        <w:ind w:left="1134" w:right="0" w:hanging="0"/>
        <w:rPr>
          <w:rFonts w:cs="Arial"/>
          <w:b/>
          <w:bCs/>
          <w:color w:val="000000"/>
          <w:sz w:val="18"/>
          <w:szCs w:val="18"/>
        </w:rPr>
      </w:pPr>
      <w:r>
        <w:rPr>
          <w:rFonts w:cs="Arial"/>
          <w:b/>
          <w:bCs/>
          <w:color w:val="000000"/>
          <w:sz w:val="18"/>
          <w:szCs w:val="18"/>
        </w:rPr>
      </w:r>
    </w:p>
    <w:p>
      <w:pPr>
        <w:pStyle w:val="Normal"/>
        <w:ind w:left="1134" w:right="0" w:hanging="0"/>
        <w:rPr>
          <w:rFonts w:cs="Arial"/>
          <w:bCs/>
          <w:color w:val="000000"/>
          <w:szCs w:val="20"/>
          <w:lang w:val="de-AT"/>
        </w:rPr>
      </w:pPr>
      <w:r>
        <w:rPr>
          <w:rFonts w:cs="Arial"/>
          <w:bCs/>
          <w:color w:val="000000"/>
          <w:szCs w:val="20"/>
          <w:lang w:val="de-AT"/>
        </w:rPr>
        <w:t>Org_Puff [cmol</w:t>
      </w:r>
      <w:r>
        <w:rPr>
          <w:rFonts w:cs="Arial"/>
          <w:bCs/>
          <w:color w:val="000000"/>
          <w:szCs w:val="20"/>
          <w:vertAlign w:val="subscript"/>
          <w:lang w:val="de-AT"/>
        </w:rPr>
        <w:t>c</w:t>
      </w:r>
      <w:r>
        <w:rPr>
          <w:rFonts w:cs="Arial"/>
          <w:bCs/>
          <w:color w:val="000000"/>
          <w:szCs w:val="20"/>
          <w:lang w:val="de-AT"/>
        </w:rPr>
        <w:t xml:space="preserve">/m²] = </w:t>
      </w:r>
      <w:r>
        <w:rPr>
          <w:rFonts w:cs="Arial" w:ascii="Symbol" w:hAnsi="Symbol"/>
          <w:bCs/>
          <w:color w:val="000000"/>
          <w:szCs w:val="20"/>
        </w:rPr>
        <w:t></w:t>
      </w:r>
      <w:r>
        <w:rPr>
          <w:rFonts w:cs="Arial"/>
          <w:bCs/>
          <w:color w:val="000000"/>
          <w:szCs w:val="20"/>
          <w:lang w:val="de-AT"/>
        </w:rPr>
        <w:t xml:space="preserve"> (Ob </w:t>
      </w:r>
      <w:r>
        <w:rPr>
          <w:rFonts w:cs="Arial"/>
          <w:bCs/>
          <w:i/>
          <w:color w:val="000000"/>
          <w:szCs w:val="20"/>
          <w:lang w:val="de-AT"/>
        </w:rPr>
        <w:t>(n)</w:t>
      </w:r>
      <w:r>
        <w:rPr>
          <w:rFonts w:cs="Arial"/>
          <w:bCs/>
          <w:color w:val="000000"/>
          <w:szCs w:val="20"/>
          <w:lang w:val="de-AT"/>
        </w:rPr>
        <w:t xml:space="preserve"> * TRD </w:t>
      </w:r>
      <w:r>
        <w:rPr>
          <w:rFonts w:cs="Arial"/>
          <w:bCs/>
          <w:i/>
          <w:color w:val="000000"/>
          <w:szCs w:val="20"/>
          <w:lang w:val="de-AT"/>
        </w:rPr>
        <w:t>(n)</w:t>
      </w:r>
      <w:r>
        <w:rPr>
          <w:rFonts w:cs="Arial"/>
          <w:bCs/>
          <w:color w:val="000000"/>
          <w:szCs w:val="20"/>
          <w:lang w:val="de-AT"/>
        </w:rPr>
        <w:t xml:space="preserve"> * Mächtigkeit </w:t>
      </w:r>
      <w:r>
        <w:rPr>
          <w:rFonts w:cs="Arial"/>
          <w:bCs/>
          <w:i/>
          <w:color w:val="000000"/>
          <w:szCs w:val="20"/>
          <w:lang w:val="de-AT"/>
        </w:rPr>
        <w:t>(n)</w:t>
      </w:r>
      <w:r>
        <w:rPr>
          <w:rFonts w:cs="Arial"/>
          <w:bCs/>
          <w:color w:val="000000"/>
          <w:szCs w:val="20"/>
          <w:lang w:val="de-AT"/>
        </w:rPr>
        <w:t xml:space="preserve"> * </w:t>
      </w:r>
      <w:r>
        <w:rPr>
          <w:rFonts w:cs="Arial"/>
          <w:bCs/>
          <w:color w:val="9900FF"/>
          <w:szCs w:val="20"/>
          <w:lang w:val="de-AT"/>
        </w:rPr>
        <w:t>10</w:t>
      </w:r>
      <w:r>
        <w:rPr>
          <w:rFonts w:cs="Arial"/>
          <w:bCs/>
          <w:color w:val="000000"/>
          <w:szCs w:val="20"/>
          <w:lang w:val="de-AT"/>
        </w:rPr>
        <w:t>)</w:t>
      </w:r>
    </w:p>
    <w:p>
      <w:pPr>
        <w:pStyle w:val="Normal"/>
        <w:ind w:left="1134" w:right="0" w:hanging="0"/>
        <w:rPr/>
      </w:pPr>
      <w:r>
        <w:rPr/>
      </w:r>
    </w:p>
    <w:p>
      <w:pPr>
        <w:pStyle w:val="Normal"/>
        <w:rPr>
          <w:rFonts w:cs="Arial"/>
          <w:bCs/>
          <w:color w:val="9900FF"/>
          <w:szCs w:val="20"/>
        </w:rPr>
      </w:pPr>
      <w:r>
        <w:rPr>
          <w:rFonts w:cs="Arial"/>
          <w:color w:val="9900FF"/>
          <w:szCs w:val="20"/>
        </w:rPr>
        <w:t>Anm. Laut BayGLA wird puffer Auflage nur berechnet wenn cmol_min (abh. Von Carbonatgehalt und KAKpot)  &lt; 3000 c</w:t>
      </w:r>
      <w:r>
        <w:rPr>
          <w:rFonts w:cs="Arial"/>
          <w:bCs/>
          <w:color w:val="9900FF"/>
          <w:szCs w:val="20"/>
        </w:rPr>
        <w:t>mol</w:t>
      </w:r>
      <w:r>
        <w:rPr>
          <w:rFonts w:cs="Arial"/>
          <w:bCs/>
          <w:color w:val="9900FF"/>
          <w:szCs w:val="20"/>
          <w:vertAlign w:val="subscript"/>
        </w:rPr>
        <w:t>c</w:t>
      </w:r>
      <w:r>
        <w:rPr>
          <w:rFonts w:cs="Arial"/>
          <w:bCs/>
          <w:color w:val="9900FF"/>
          <w:szCs w:val="20"/>
        </w:rPr>
        <w:t>/m².</w:t>
      </w:r>
    </w:p>
    <w:p>
      <w:pPr>
        <w:pStyle w:val="Normal"/>
        <w:rPr>
          <w:rFonts w:cs="Arial"/>
          <w:szCs w:val="20"/>
        </w:rPr>
      </w:pPr>
      <w:r>
        <w:rPr>
          <w:rFonts w:cs="Arial"/>
          <w:szCs w:val="20"/>
        </w:rPr>
      </w:r>
    </w:p>
    <w:p>
      <w:pPr>
        <w:pStyle w:val="Normal"/>
        <w:widowControl w:val="false"/>
        <w:spacing w:lineRule="auto" w:line="240"/>
        <w:jc w:val="both"/>
        <w:rPr>
          <w:rFonts w:cs="Arial"/>
          <w:bCs/>
          <w:color w:val="000000"/>
          <w:szCs w:val="20"/>
          <w:u w:val="single"/>
        </w:rPr>
      </w:pPr>
      <w:r>
        <w:rPr>
          <w:rFonts w:cs="Arial"/>
          <w:szCs w:val="20"/>
          <w:u w:val="single"/>
        </w:rPr>
        <w:t xml:space="preserve">Schritt 6 – </w:t>
      </w:r>
      <w:r>
        <w:rPr>
          <w:rFonts w:cs="Arial"/>
          <w:bCs/>
          <w:color w:val="000000"/>
          <w:szCs w:val="20"/>
          <w:u w:val="single"/>
        </w:rPr>
        <w:t>Berechnung der Pufferkapazität des Gesamtprofils</w:t>
      </w:r>
    </w:p>
    <w:p>
      <w:pPr>
        <w:pStyle w:val="Normal"/>
        <w:ind w:left="1134" w:right="0" w:hanging="0"/>
        <w:rPr>
          <w:rFonts w:cs="Arial"/>
          <w:bCs/>
          <w:color w:val="000000"/>
          <w:szCs w:val="20"/>
        </w:rPr>
      </w:pPr>
      <w:r>
        <w:rPr>
          <w:rFonts w:cs="Arial"/>
          <w:bCs/>
          <w:color w:val="000000"/>
          <w:szCs w:val="20"/>
        </w:rPr>
      </w:r>
    </w:p>
    <w:p>
      <w:pPr>
        <w:pStyle w:val="Normal"/>
        <w:ind w:left="1134" w:right="0" w:hanging="0"/>
        <w:rPr>
          <w:rFonts w:cs="Arial"/>
          <w:bCs/>
          <w:i/>
          <w:color w:val="000000"/>
          <w:szCs w:val="20"/>
        </w:rPr>
      </w:pPr>
      <w:r>
        <w:rPr>
          <w:rFonts w:cs="Arial"/>
          <w:bCs/>
          <w:color w:val="000000"/>
          <w:szCs w:val="20"/>
        </w:rPr>
        <w:t>Ges_Puff [cmol</w:t>
      </w:r>
      <w:r>
        <w:rPr>
          <w:rFonts w:cs="Arial"/>
          <w:bCs/>
          <w:color w:val="000000"/>
          <w:szCs w:val="20"/>
          <w:vertAlign w:val="subscript"/>
        </w:rPr>
        <w:t>c</w:t>
      </w:r>
      <w:r>
        <w:rPr>
          <w:rFonts w:cs="Arial"/>
          <w:bCs/>
          <w:color w:val="000000"/>
          <w:szCs w:val="20"/>
        </w:rPr>
        <w:t xml:space="preserve">/m²] = Miner_Puff </w:t>
      </w:r>
      <w:r>
        <w:rPr>
          <w:rFonts w:cs="Arial"/>
          <w:bCs/>
          <w:i/>
          <w:color w:val="000000"/>
          <w:szCs w:val="20"/>
        </w:rPr>
        <w:t>(Schritt 3)</w:t>
      </w:r>
      <w:r>
        <w:rPr>
          <w:rFonts w:cs="Arial"/>
          <w:bCs/>
          <w:color w:val="000000"/>
          <w:szCs w:val="20"/>
        </w:rPr>
        <w:t xml:space="preserve"> + Org_Puff </w:t>
      </w:r>
      <w:r>
        <w:rPr>
          <w:rFonts w:cs="Arial"/>
          <w:bCs/>
          <w:i/>
          <w:color w:val="000000"/>
          <w:szCs w:val="20"/>
        </w:rPr>
        <w:t>(Schritt 5)</w:t>
      </w:r>
    </w:p>
    <w:p>
      <w:pPr>
        <w:pStyle w:val="Normal"/>
        <w:tabs>
          <w:tab w:val="left" w:pos="5672" w:leader="none"/>
        </w:tabs>
        <w:ind w:left="1418" w:right="0" w:hanging="0"/>
        <w:jc w:val="both"/>
        <w:rPr>
          <w:rFonts w:cs="Arial"/>
          <w:color w:val="000000"/>
          <w:sz w:val="18"/>
          <w:szCs w:val="18"/>
        </w:rPr>
      </w:pPr>
      <w:r>
        <w:rPr>
          <w:rFonts w:cs="Arial"/>
          <w:color w:val="000000"/>
          <w:sz w:val="18"/>
          <w:szCs w:val="18"/>
        </w:rPr>
      </w:r>
    </w:p>
    <w:p>
      <w:pPr>
        <w:pStyle w:val="Normal"/>
        <w:tabs>
          <w:tab w:val="left" w:pos="5672" w:leader="none"/>
        </w:tabs>
        <w:ind w:left="1418" w:right="0" w:hanging="0"/>
        <w:jc w:val="both"/>
        <w:rPr>
          <w:rFonts w:cs="Arial"/>
          <w:color w:val="000000"/>
          <w:sz w:val="18"/>
          <w:szCs w:val="18"/>
        </w:rPr>
      </w:pPr>
      <w:r>
        <w:rPr>
          <w:rFonts w:cs="Arial"/>
          <w:color w:val="000000"/>
          <w:sz w:val="18"/>
          <w:szCs w:val="18"/>
        </w:rPr>
      </w:r>
    </w:p>
    <w:p>
      <w:pPr>
        <w:pStyle w:val="Normal"/>
        <w:spacing w:before="0" w:after="120"/>
        <w:rPr>
          <w:rFonts w:cs="Arial"/>
          <w:bCs/>
          <w:color w:val="000000"/>
          <w:szCs w:val="20"/>
          <w:u w:val="single"/>
        </w:rPr>
      </w:pPr>
      <w:r>
        <w:rPr>
          <w:rFonts w:cs="Arial"/>
          <w:szCs w:val="20"/>
          <w:u w:val="single"/>
        </w:rPr>
        <w:t xml:space="preserve">Schritt 7 – </w:t>
      </w:r>
      <w:r>
        <w:rPr>
          <w:rFonts w:cs="Arial"/>
          <w:bCs/>
          <w:color w:val="000000"/>
          <w:szCs w:val="20"/>
          <w:u w:val="single"/>
        </w:rPr>
        <w:t>Gesamtbewertung</w:t>
      </w:r>
    </w:p>
    <w:tbl>
      <w:tblPr>
        <w:jc w:val="left"/>
        <w:tblInd w:w="23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88" w:type="dxa"/>
          <w:bottom w:w="0" w:type="dxa"/>
          <w:right w:w="108" w:type="dxa"/>
        </w:tblCellMar>
      </w:tblPr>
      <w:tblGrid>
        <w:gridCol w:w="3119"/>
        <w:gridCol w:w="2268"/>
      </w:tblGrid>
      <w:tr>
        <w:trPr>
          <w:trHeight w:val="340" w:hRule="atLeast"/>
          <w:cantSplit w:val="false"/>
        </w:trPr>
        <w:tc>
          <w:tcPr>
            <w:tcW w:w="31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i/>
                <w:szCs w:val="20"/>
              </w:rPr>
            </w:pPr>
            <w:r>
              <w:rPr>
                <w:rFonts w:cs="Arial"/>
                <w:b/>
                <w:szCs w:val="20"/>
              </w:rPr>
              <w:t>Gesamte Pufferkapazität</w:t>
              <w:br/>
            </w:r>
            <w:r>
              <w:rPr>
                <w:rFonts w:cs="Arial"/>
                <w:i/>
                <w:szCs w:val="20"/>
              </w:rPr>
              <w:t xml:space="preserve">(Ges_Puff </w:t>
            </w:r>
            <w:r>
              <w:rPr>
                <w:rFonts w:cs="Arial"/>
                <w:szCs w:val="20"/>
              </w:rPr>
              <w:t>[</w:t>
            </w:r>
            <w:r>
              <w:rPr>
                <w:rFonts w:cs="Arial"/>
                <w:bCs/>
                <w:color w:val="000000"/>
                <w:szCs w:val="20"/>
              </w:rPr>
              <w:t>cmol</w:t>
            </w:r>
            <w:r>
              <w:rPr>
                <w:rFonts w:cs="Arial"/>
                <w:bCs/>
                <w:color w:val="000000"/>
                <w:szCs w:val="20"/>
                <w:vertAlign w:val="subscript"/>
              </w:rPr>
              <w:t>c</w:t>
            </w:r>
            <w:r>
              <w:rPr>
                <w:rFonts w:cs="Arial"/>
                <w:bCs/>
                <w:color w:val="000000"/>
                <w:szCs w:val="20"/>
              </w:rPr>
              <w:t>/m²</w:t>
            </w:r>
            <w:r>
              <w:rPr>
                <w:rFonts w:cs="Arial"/>
                <w:szCs w:val="20"/>
              </w:rPr>
              <w:t>]</w:t>
            </w:r>
            <w:r>
              <w:rPr>
                <w:rFonts w:cs="Arial"/>
                <w:i/>
                <w:szCs w:val="20"/>
              </w:rPr>
              <w:t>, Schritt 6)</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Bewertung</w:t>
            </w:r>
          </w:p>
          <w:p>
            <w:pPr>
              <w:pStyle w:val="Normal"/>
              <w:spacing w:before="60" w:after="60"/>
              <w:jc w:val="center"/>
              <w:rPr>
                <w:rFonts w:cs="Arial"/>
                <w:b/>
                <w:szCs w:val="20"/>
              </w:rPr>
            </w:pPr>
            <w:r>
              <w:rPr>
                <w:rFonts w:cs="Arial"/>
                <w:b/>
                <w:szCs w:val="20"/>
              </w:rPr>
              <w:t>PuffSauer</w:t>
            </w:r>
          </w:p>
        </w:tc>
      </w:tr>
      <w:tr>
        <w:trPr>
          <w:trHeight w:val="400" w:hRule="atLeast"/>
          <w:cantSplit w:val="false"/>
        </w:trPr>
        <w:tc>
          <w:tcPr>
            <w:tcW w:w="31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ascii="Symbol" w:hAnsi="Symbol"/>
                <w:bCs/>
                <w:szCs w:val="20"/>
              </w:rPr>
              <w:t></w:t>
            </w:r>
            <w:r>
              <w:rPr>
                <w:rFonts w:cs="Arial"/>
                <w:szCs w:val="20"/>
              </w:rPr>
              <w:t>30.000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1</w:t>
            </w:r>
          </w:p>
        </w:tc>
      </w:tr>
      <w:tr>
        <w:trPr>
          <w:trHeight w:val="400" w:hRule="atLeast"/>
          <w:cantSplit w:val="false"/>
        </w:trPr>
        <w:tc>
          <w:tcPr>
            <w:tcW w:w="31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10.000 bis &lt;30.000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2</w:t>
            </w:r>
          </w:p>
        </w:tc>
      </w:tr>
      <w:tr>
        <w:trPr>
          <w:trHeight w:val="340" w:hRule="atLeast"/>
          <w:cantSplit w:val="false"/>
        </w:trPr>
        <w:tc>
          <w:tcPr>
            <w:tcW w:w="31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3.000 bis &lt;10.000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3</w:t>
            </w:r>
          </w:p>
        </w:tc>
      </w:tr>
      <w:tr>
        <w:trPr>
          <w:trHeight w:val="340" w:hRule="atLeast"/>
          <w:cantSplit w:val="false"/>
        </w:trPr>
        <w:tc>
          <w:tcPr>
            <w:tcW w:w="31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1.000 bis &lt;3.000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4</w:t>
            </w:r>
          </w:p>
        </w:tc>
      </w:tr>
      <w:tr>
        <w:trPr>
          <w:trHeight w:val="340" w:hRule="atLeast"/>
          <w:cantSplit w:val="false"/>
        </w:trPr>
        <w:tc>
          <w:tcPr>
            <w:tcW w:w="31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88" w:type="dxa"/>
            </w:tcMar>
            <w:vAlign w:val="center"/>
          </w:tcPr>
          <w:p>
            <w:pPr>
              <w:pStyle w:val="Normal"/>
              <w:spacing w:before="60" w:after="60"/>
              <w:jc w:val="center"/>
              <w:rPr>
                <w:rFonts w:cs="Arial"/>
                <w:szCs w:val="20"/>
              </w:rPr>
            </w:pPr>
            <w:r>
              <w:rPr>
                <w:rFonts w:cs="Arial"/>
                <w:szCs w:val="20"/>
              </w:rPr>
              <w:t>&lt;1.000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88" w:type="dxa"/>
            </w:tcMar>
            <w:vAlign w:val="center"/>
          </w:tcPr>
          <w:p>
            <w:pPr>
              <w:pStyle w:val="Normal"/>
              <w:spacing w:before="60" w:after="60"/>
              <w:jc w:val="center"/>
              <w:rPr>
                <w:rFonts w:cs="Arial"/>
                <w:b/>
                <w:szCs w:val="20"/>
              </w:rPr>
            </w:pPr>
            <w:r>
              <w:rPr>
                <w:rFonts w:cs="Arial"/>
                <w:b/>
                <w:szCs w:val="20"/>
              </w:rPr>
              <w:t>5</w:t>
            </w:r>
          </w:p>
        </w:tc>
      </w:tr>
    </w:tbl>
    <w:p>
      <w:pPr>
        <w:pStyle w:val="Normal"/>
        <w:rPr/>
      </w:pPr>
      <w:r>
        <w:rPr/>
      </w:r>
    </w:p>
    <w:p>
      <w:pPr>
        <w:pStyle w:val="Normal"/>
        <w:rPr/>
      </w:pPr>
      <w:r>
        <w:rPr/>
      </w:r>
    </w:p>
    <w:sectPr>
      <w:type w:val="nextPage"/>
      <w:pgSz w:w="11906" w:h="16838"/>
      <w:pgMar w:left="1417" w:right="1417"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454"/>
        </w:tabs>
        <w:ind w:left="454" w:hanging="284"/>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530"/>
        </w:tabs>
        <w:ind w:left="530" w:hanging="360"/>
      </w:pPr>
      <w:rPr>
        <w:sz w:val="20"/>
        <w:i w:val="false"/>
        <w:b w:val="false"/>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3"/>
      <w:numFmt w:val="bullet"/>
      <w:lvlText w:val="-"/>
      <w:lvlJc w:val="left"/>
      <w:pPr>
        <w:tabs>
          <w:tab w:val="num" w:pos="1778"/>
        </w:tabs>
        <w:ind w:left="1778" w:hanging="360"/>
      </w:pPr>
      <w:rPr>
        <w:rFonts w:ascii="Arial" w:hAnsi="Arial" w:cs="Arial" w:hint="default"/>
        <w:i w:val="false"/>
      </w:rPr>
    </w:lvl>
    <w:lvl w:ilvl="1">
      <w:start w:val="1"/>
      <w:numFmt w:val="bullet"/>
      <w:lvlText w:val="o"/>
      <w:lvlJc w:val="left"/>
      <w:pPr>
        <w:tabs>
          <w:tab w:val="num" w:pos="2498"/>
        </w:tabs>
        <w:ind w:left="2498" w:hanging="360"/>
      </w:pPr>
      <w:rPr>
        <w:rFonts w:ascii="Courier New" w:hAnsi="Courier New" w:cs="Courier New" w:hint="default"/>
      </w:rPr>
    </w:lvl>
    <w:lvl w:ilvl="2">
      <w:start w:val="1"/>
      <w:numFmt w:val="bullet"/>
      <w:lvlText w:val=""/>
      <w:lvlJc w:val="left"/>
      <w:pPr>
        <w:tabs>
          <w:tab w:val="num" w:pos="3218"/>
        </w:tabs>
        <w:ind w:left="3218" w:hanging="360"/>
      </w:pPr>
      <w:rPr>
        <w:rFonts w:ascii="Wingdings" w:hAnsi="Wingdings" w:cs="Wingdings" w:hint="default"/>
      </w:rPr>
    </w:lvl>
    <w:lvl w:ilvl="3">
      <w:start w:val="1"/>
      <w:numFmt w:val="bullet"/>
      <w:lvlText w:val=""/>
      <w:lvlJc w:val="left"/>
      <w:pPr>
        <w:tabs>
          <w:tab w:val="num" w:pos="3938"/>
        </w:tabs>
        <w:ind w:left="3938" w:hanging="360"/>
      </w:pPr>
      <w:rPr>
        <w:rFonts w:ascii="Symbol" w:hAnsi="Symbol" w:cs="Symbol" w:hint="default"/>
      </w:rPr>
    </w:lvl>
    <w:lvl w:ilvl="4">
      <w:start w:val="1"/>
      <w:numFmt w:val="bullet"/>
      <w:lvlText w:val="o"/>
      <w:lvlJc w:val="left"/>
      <w:pPr>
        <w:tabs>
          <w:tab w:val="num" w:pos="4658"/>
        </w:tabs>
        <w:ind w:left="4658" w:hanging="360"/>
      </w:pPr>
      <w:rPr>
        <w:rFonts w:ascii="Courier New" w:hAnsi="Courier New" w:cs="Courier New" w:hint="default"/>
      </w:rPr>
    </w:lvl>
    <w:lvl w:ilvl="5">
      <w:start w:val="1"/>
      <w:numFmt w:val="bullet"/>
      <w:lvlText w:val=""/>
      <w:lvlJc w:val="left"/>
      <w:pPr>
        <w:tabs>
          <w:tab w:val="num" w:pos="5378"/>
        </w:tabs>
        <w:ind w:left="5378" w:hanging="360"/>
      </w:pPr>
      <w:rPr>
        <w:rFonts w:ascii="Wingdings" w:hAnsi="Wingdings" w:cs="Wingdings" w:hint="default"/>
      </w:rPr>
    </w:lvl>
    <w:lvl w:ilvl="6">
      <w:start w:val="1"/>
      <w:numFmt w:val="bullet"/>
      <w:lvlText w:val=""/>
      <w:lvlJc w:val="left"/>
      <w:pPr>
        <w:tabs>
          <w:tab w:val="num" w:pos="6098"/>
        </w:tabs>
        <w:ind w:left="6098" w:hanging="360"/>
      </w:pPr>
      <w:rPr>
        <w:rFonts w:ascii="Symbol" w:hAnsi="Symbol" w:cs="Symbol" w:hint="default"/>
      </w:rPr>
    </w:lvl>
    <w:lvl w:ilvl="7">
      <w:start w:val="1"/>
      <w:numFmt w:val="bullet"/>
      <w:lvlText w:val="o"/>
      <w:lvlJc w:val="left"/>
      <w:pPr>
        <w:tabs>
          <w:tab w:val="num" w:pos="6818"/>
        </w:tabs>
        <w:ind w:left="6818" w:hanging="360"/>
      </w:pPr>
      <w:rPr>
        <w:rFonts w:ascii="Courier New" w:hAnsi="Courier New" w:cs="Courier New" w:hint="default"/>
      </w:rPr>
    </w:lvl>
    <w:lvl w:ilvl="8">
      <w:start w:val="1"/>
      <w:numFmt w:val="bullet"/>
      <w:lvlText w:val=""/>
      <w:lvlJc w:val="left"/>
      <w:pPr>
        <w:tabs>
          <w:tab w:val="num" w:pos="7538"/>
        </w:tabs>
        <w:ind w:left="7538"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de-AT" w:eastAsia="de-AT" w:bidi="ar-SA"/>
      </w:rPr>
    </w:rPrDefault>
    <w:pPrDefault>
      <w:pPr/>
    </w:pPrDefault>
  </w:docDefaults>
  <w:latentStyles w:defUnhideWhenUsed="0" w:count="267" w:defQFormat="0" w:defSemiHidden="0" w:defUIPriority="0" w:defLockedState="0">
    <w:lsdException w:qFormat="1" w:name="Normal"/>
    <w:lsdException w:qFormat="1" w:name="heading 1"/>
    <w:lsdException w:qFormat="1" w:name="heading 2"/>
    <w:lsdException w:qFormat="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qFormat="1" w:unhideWhenUsed="1" w:semiHidden="1" w:name="caption"/>
    <w:lsdException w:qFormat="1" w:name="Title"/>
    <w:lsdException w:qFormat="1" w:name="Subtitle"/>
    <w:lsdException w:qFormat="1" w:name="Strong"/>
    <w:lsdException w:qFormat="1" w:name="Emphasis"/>
    <w:lsdException w:uiPriority="99"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99"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atentStyles>
  <w:style w:type="paragraph" w:styleId="Normal" w:default="1">
    <w:name w:val="Normal"/>
    <w:qFormat/>
    <w:rsid w:val="00825b92"/>
    <w:pPr>
      <w:widowControl/>
      <w:suppressAutoHyphens w:val="true"/>
      <w:bidi w:val="0"/>
      <w:spacing w:lineRule="exact" w:line="280"/>
      <w:jc w:val="left"/>
    </w:pPr>
    <w:rPr>
      <w:rFonts w:ascii="Arial" w:hAnsi="Arial" w:eastAsia="Times New Roman" w:cs="Times New Roman"/>
      <w:color w:val="00000A"/>
      <w:sz w:val="20"/>
      <w:szCs w:val="24"/>
      <w:lang w:val="de-DE" w:eastAsia="ar-SA" w:bidi="ar-SA"/>
    </w:rPr>
  </w:style>
  <w:style w:type="paragraph" w:styleId="Heading2">
    <w:name w:val="Heading 2"/>
    <w:qFormat/>
    <w:rsid w:val="00825b92"/>
    <w:basedOn w:val="Normal"/>
    <w:next w:val="Normal"/>
    <w:autoRedefine/>
    <w:pPr>
      <w:keepNext/>
      <w:spacing w:before="240" w:after="60"/>
      <w:outlineLvl w:val="1"/>
    </w:pPr>
    <w:rPr>
      <w:rFonts w:cs="Arial"/>
      <w:b/>
      <w:bCs/>
      <w:iCs/>
      <w:sz w:val="24"/>
      <w:szCs w:val="28"/>
    </w:rPr>
  </w:style>
  <w:style w:type="paragraph" w:styleId="Heading3">
    <w:name w:val="Heading 3"/>
    <w:qFormat/>
    <w:rsid w:val="00825b92"/>
    <w:basedOn w:val="Normal"/>
    <w:next w:val="Normal"/>
    <w:pPr>
      <w:keepNext/>
      <w:spacing w:before="240" w:after="60"/>
      <w:outlineLvl w:val="2"/>
    </w:pPr>
    <w:rPr>
      <w:rFonts w:cs="Arial"/>
      <w:bCs/>
      <w:i/>
      <w:sz w:val="22"/>
      <w:szCs w:val="26"/>
      <w:u w:val="single"/>
    </w:rPr>
  </w:style>
  <w:style w:type="character" w:styleId="DefaultParagraphFont" w:default="1">
    <w:name w:val="Default Paragraph Font"/>
    <w:uiPriority w:val="1"/>
    <w:semiHidden/>
    <w:unhideWhenUsed/>
    <w:rPr/>
  </w:style>
  <w:style w:type="character" w:styleId="HinweisrotZchn" w:customStyle="1">
    <w:name w:val="Hinweis_rot Zchn"/>
    <w:link w:val="Hinweisrot"/>
    <w:rsid w:val="00825b92"/>
    <w:rPr>
      <w:rFonts w:ascii="Arial" w:hAnsi="Arial"/>
      <w:b/>
      <w:color w:val="FF0000"/>
      <w:szCs w:val="24"/>
      <w:lang w:val="de-DE" w:eastAsia="ar-SA" w:bidi="ar-SA"/>
    </w:rPr>
  </w:style>
  <w:style w:type="character" w:styleId="ZitatZchn" w:customStyle="1">
    <w:name w:val="Zitat Zchn"/>
    <w:link w:val="Zitat"/>
    <w:rsid w:val="00825b92"/>
    <w:rPr>
      <w:rFonts w:ascii="Arial" w:hAnsi="Arial" w:cs="Arial"/>
      <w:smallCaps/>
      <w:szCs w:val="22"/>
      <w:lang w:val="en-GB" w:eastAsia="ar-SA" w:bidi="ar-SA"/>
    </w:rPr>
  </w:style>
  <w:style w:type="character" w:styleId="LiteraturZchn" w:customStyle="1">
    <w:name w:val="Literatur Zchn"/>
    <w:link w:val="Literatur"/>
    <w:rsid w:val="00825b92"/>
    <w:rPr>
      <w:rFonts w:ascii="Arial" w:hAnsi="Arial"/>
      <w:sz w:val="18"/>
      <w:szCs w:val="24"/>
      <w:lang w:val="de-DE" w:eastAsia="ar-SA" w:bidi="ar-SA"/>
    </w:rPr>
  </w:style>
  <w:style w:type="character" w:styleId="ListLabel1">
    <w:name w:val="ListLabel 1"/>
    <w:rPr>
      <w:rFonts w:cs="Arial"/>
      <w:i w:val="false"/>
    </w:rPr>
  </w:style>
  <w:style w:type="character" w:styleId="ListLabel2">
    <w:name w:val="ListLabel 2"/>
    <w:rPr>
      <w:sz w:val="22"/>
      <w:szCs w:val="22"/>
    </w:rPr>
  </w:style>
  <w:style w:type="character" w:styleId="ListLabel3">
    <w:name w:val="ListLabel 3"/>
    <w:rPr>
      <w:sz w:val="16"/>
      <w:szCs w:val="22"/>
    </w:rPr>
  </w:style>
  <w:style w:type="character" w:styleId="ListLabel4">
    <w:name w:val="ListLabel 4"/>
    <w:rPr>
      <w:sz w:val="16"/>
    </w:rPr>
  </w:style>
  <w:style w:type="character" w:styleId="ListLabel5">
    <w:name w:val="ListLabel 5"/>
    <w:rPr>
      <w:rFonts w:cs="Arial"/>
      <w:b w:val="false"/>
    </w:rPr>
  </w:style>
  <w:style w:type="character" w:styleId="ListLabel6">
    <w:name w:val="ListLabel 6"/>
    <w:rPr>
      <w:rFonts w:cs="Courier New"/>
    </w:rPr>
  </w:style>
  <w:style w:type="character" w:styleId="ListLabel7">
    <w:name w:val="ListLabel 7"/>
    <w:rPr>
      <w:b w:val="false"/>
      <w:i w:val="false"/>
    </w:rPr>
  </w:style>
  <w:style w:type="character" w:styleId="ListLabel8">
    <w:name w:val="ListLabel 8"/>
    <w:rPr>
      <w:b w:val="false"/>
      <w:i w:val="false"/>
      <w:sz w:val="20"/>
      <w:szCs w:val="20"/>
    </w:rPr>
  </w:style>
  <w:style w:type="character" w:styleId="ListLabel9">
    <w:name w:val="ListLabel 9"/>
    <w:rPr>
      <w:sz w:val="20"/>
    </w:rPr>
  </w:style>
  <w:style w:type="character" w:styleId="ListLabel10">
    <w:name w:val="ListLabel 10"/>
    <w:rPr>
      <w:rFonts w:eastAsia="Times New Roman" w:cs="Arial"/>
      <w:i w:val="false"/>
    </w:rPr>
  </w:style>
  <w:style w:type="character" w:styleId="ListLabel11">
    <w:name w:val="ListLabel 11"/>
    <w:rPr>
      <w:rFonts w:eastAsia="Tahoma" w:cs="Arial"/>
    </w:rPr>
  </w:style>
  <w:style w:type="character" w:styleId="ListLabel12">
    <w:name w:val="ListLabel 12"/>
    <w:rPr>
      <w:u w:val="single"/>
    </w:rPr>
  </w:style>
  <w:style w:type="character" w:styleId="ListLabel13">
    <w:name w:val="ListLabel 13"/>
    <w:rPr>
      <w:rFonts w:cs="Symbol"/>
      <w:sz w:val="18"/>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b w:val="false"/>
      <w:i w:val="false"/>
      <w:sz w:val="20"/>
      <w:szCs w:val="20"/>
    </w:rPr>
  </w:style>
  <w:style w:type="character" w:styleId="ListLabel18">
    <w:name w:val="ListLabel 18"/>
    <w:rPr>
      <w:rFonts w:cs="Arial"/>
      <w:i w:val="false"/>
    </w:rPr>
  </w:style>
  <w:style w:type="character" w:styleId="ListLabel19">
    <w:name w:val="ListLabel 19"/>
    <w:rPr>
      <w:rFonts w:cs="Symbol"/>
      <w:sz w:val="18"/>
    </w:rPr>
  </w:style>
  <w:style w:type="character" w:styleId="ListLabel20">
    <w:name w:val="ListLabel 20"/>
    <w:rPr>
      <w:rFonts w:cs="Courier New"/>
    </w:rPr>
  </w:style>
  <w:style w:type="character" w:styleId="ListLabel21">
    <w:name w:val="ListLabel 21"/>
    <w:rPr>
      <w:rFonts w:cs="Wingdings"/>
    </w:rPr>
  </w:style>
  <w:style w:type="character" w:styleId="ListLabel22">
    <w:name w:val="ListLabel 22"/>
    <w:rPr>
      <w:rFonts w:cs="Symbol"/>
    </w:rPr>
  </w:style>
  <w:style w:type="character" w:styleId="ListLabel23">
    <w:name w:val="ListLabel 23"/>
    <w:rPr>
      <w:b w:val="false"/>
      <w:i w:val="false"/>
      <w:sz w:val="20"/>
      <w:szCs w:val="20"/>
    </w:rPr>
  </w:style>
  <w:style w:type="character" w:styleId="ListLabel24">
    <w:name w:val="ListLabel 24"/>
    <w:rPr>
      <w:rFonts w:cs="Arial"/>
      <w:i w:val="false"/>
    </w:rPr>
  </w:style>
  <w:style w:type="character" w:styleId="ListLabel25">
    <w:name w:val="ListLabel 25"/>
    <w:rPr>
      <w:rFonts w:cs="Symbol"/>
      <w:sz w:val="18"/>
    </w:rPr>
  </w:style>
  <w:style w:type="character" w:styleId="ListLabel26">
    <w:name w:val="ListLabel 26"/>
    <w:rPr>
      <w:rFonts w:cs="Courier New"/>
    </w:rPr>
  </w:style>
  <w:style w:type="character" w:styleId="ListLabel27">
    <w:name w:val="ListLabel 27"/>
    <w:rPr>
      <w:rFonts w:cs="Wingdings"/>
    </w:rPr>
  </w:style>
  <w:style w:type="character" w:styleId="ListLabel28">
    <w:name w:val="ListLabel 28"/>
    <w:rPr>
      <w:rFonts w:cs="Symbol"/>
    </w:rPr>
  </w:style>
  <w:style w:type="character" w:styleId="ListLabel29">
    <w:name w:val="ListLabel 29"/>
    <w:rPr>
      <w:b w:val="false"/>
      <w:i w:val="false"/>
      <w:sz w:val="20"/>
      <w:szCs w:val="20"/>
    </w:rPr>
  </w:style>
  <w:style w:type="character" w:styleId="ListLabel30">
    <w:name w:val="ListLabel 30"/>
    <w:rPr>
      <w:rFonts w:cs="Arial"/>
      <w:i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ufzhlung" w:customStyle="1">
    <w:name w:val="Aufzählung"/>
    <w:rsid w:val="00825b92"/>
    <w:pPr>
      <w:widowControl w:val="false"/>
      <w:suppressAutoHyphens w:val="true"/>
      <w:bidi w:val="0"/>
      <w:spacing w:before="120" w:after="120"/>
      <w:jc w:val="left"/>
    </w:pPr>
    <w:rPr>
      <w:rFonts w:ascii="Times New Roman" w:hAnsi="Times New Roman" w:eastAsia="Times New Roman" w:cs="Times New Roman"/>
      <w:color w:val="00000A"/>
      <w:sz w:val="20"/>
      <w:szCs w:val="20"/>
      <w:lang w:val="de-AT" w:eastAsia="de-AT" w:bidi="ar-SA"/>
    </w:rPr>
  </w:style>
  <w:style w:type="paragraph" w:styleId="Formatvorlage1" w:customStyle="1">
    <w:name w:val="Formatvorlage1"/>
    <w:rsid w:val="00825b92"/>
    <w:basedOn w:val="Normal"/>
    <w:pPr/>
    <w:rPr/>
  </w:style>
  <w:style w:type="paragraph" w:styleId="Hinweisrot" w:customStyle="1">
    <w:name w:val="Hinweis_rot"/>
    <w:link w:val="HinweisrotZchn"/>
    <w:rsid w:val="00825b92"/>
    <w:basedOn w:val="Normal"/>
    <w:pPr/>
    <w:rPr>
      <w:b/>
      <w:color w:val="FF0000"/>
    </w:rPr>
  </w:style>
  <w:style w:type="paragraph" w:styleId="Zitat" w:customStyle="1">
    <w:name w:val="Zitat"/>
    <w:link w:val="ZitatZchn"/>
    <w:rsid w:val="00825b92"/>
    <w:basedOn w:val="Normal"/>
    <w:pPr>
      <w:spacing w:lineRule="auto" w:line="360"/>
      <w:jc w:val="both"/>
    </w:pPr>
    <w:rPr>
      <w:rFonts w:cs="Arial"/>
      <w:smallCaps/>
      <w:szCs w:val="22"/>
      <w:lang w:val="en-GB"/>
    </w:rPr>
  </w:style>
  <w:style w:type="paragraph" w:styleId="TabellenInhalt" w:customStyle="1">
    <w:name w:val="Tabellen Inhalt"/>
    <w:rsid w:val="00825b92"/>
    <w:basedOn w:val="Normal"/>
    <w:pPr>
      <w:suppressLineNumbers/>
      <w:spacing w:lineRule="auto" w:line="240" w:before="60" w:after="60"/>
      <w:jc w:val="center"/>
    </w:pPr>
    <w:rPr/>
  </w:style>
  <w:style w:type="paragraph" w:styleId="Tabellenberschrift" w:customStyle="1">
    <w:name w:val="Tabellen Überschrift"/>
    <w:rsid w:val="00825b92"/>
    <w:basedOn w:val="TabellenInhalt"/>
    <w:pPr>
      <w:spacing w:before="120" w:after="60"/>
    </w:pPr>
    <w:rPr>
      <w:b/>
      <w:bCs/>
    </w:rPr>
  </w:style>
  <w:style w:type="paragraph" w:styleId="BerschriftRahmen" w:customStyle="1">
    <w:name w:val="Überschrift+Rahmen"/>
    <w:rsid w:val="00825b92"/>
    <w:basedOn w:val="Heading3"/>
    <w:pPr>
      <w:pBdr>
        <w:top w:val="single" w:sz="4" w:space="1" w:color="000001"/>
        <w:left w:val="single" w:sz="4" w:space="4" w:color="000001"/>
        <w:bottom w:val="single" w:sz="4" w:space="1" w:color="000001"/>
        <w:right w:val="single" w:sz="4" w:space="4" w:color="000001"/>
      </w:pBdr>
      <w:shd w:fill="E6E6E6" w:val="clear"/>
    </w:pPr>
    <w:rPr>
      <w:b/>
      <w:i w:val="false"/>
      <w:u w:val="none"/>
    </w:rPr>
  </w:style>
  <w:style w:type="paragraph" w:styleId="Literatur" w:customStyle="1">
    <w:name w:val="Literatur"/>
    <w:link w:val="LiteraturZchn"/>
    <w:rsid w:val="00825b92"/>
    <w:basedOn w:val="Normal"/>
    <w:pPr>
      <w:spacing w:lineRule="auto" w:line="240" w:before="120" w:after="120"/>
      <w:jc w:val="both"/>
    </w:pPr>
    <w:rPr>
      <w:sz w:val="18"/>
    </w:rPr>
  </w:style>
  <w:style w:type="paragraph" w:styleId="Bildunterschrift" w:customStyle="1">
    <w:name w:val="Bildunterschrift"/>
    <w:rsid w:val="00825b92"/>
    <w:basedOn w:val="Normal"/>
    <w:pPr>
      <w:spacing w:lineRule="auto" w:line="240" w:before="60" w:after="0"/>
    </w:pPr>
    <w:rPr>
      <w:sz w:val="18"/>
    </w:rPr>
  </w:style>
  <w:style w:type="paragraph" w:styleId="ListBullet">
    <w:name w:val="List Bullet"/>
    <w:rsid w:val="00825b92"/>
    <w:basedOn w:val="Normal"/>
    <w:pPr/>
    <w:rPr/>
  </w:style>
  <w:style w:type="paragraph" w:styleId="ListParagraph">
    <w:name w:val="List Paragraph"/>
    <w:uiPriority w:val="34"/>
    <w:qFormat/>
    <w:rsid w:val="00ff58a7"/>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825b92"/>
    <w:pPr>
      <w:spacing w:lineRule="exact" w:line="28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81584-42CA-4242-B024-05770D09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2011-09-18T14:39:00Z</dcterms:created>
  <dc:creator>Universität Innsbruck</dc:creator>
  <dc:language>en-US</dc:language>
  <cp:lastModifiedBy>max</cp:lastModifiedBy>
  <dcterms:modified xsi:type="dcterms:W3CDTF">2011-09-18T14:39:00Z</dcterms:modified>
  <cp:revision>2</cp:revision>
  <dc:title>Detailstufe I</dc:title>
</cp:coreProperties>
</file>