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78"/>
        <w:jc w:val="center"/>
      </w:pPr>
      <w:r>
        <w:rPr>
          <w:b/>
          <w:bCs/>
          <w:sz w:val="28"/>
          <w:szCs w:val="28"/>
        </w:rPr>
        <w:t xml:space="preserve">Analítica de Datos a Gran Escala y Benchmarking Experimental: Pandas frente a PySpark sobre US Accidents (2016–2023)</w:t>
      </w:r>
    </w:p>
    <w:p>
      <w:r>
        <w:rPr>
          <w:sz w:val="20"/>
          <w:szCs w:val="20"/>
        </w:rPr>
        <w:t xml:space="preserve"/>
      </w:r>
    </w:p>
    <w:p>
      <w:r>
        <w:rPr>
          <w:sz w:val="20"/>
          <w:szCs w:val="20"/>
        </w:rPr>
        <w:t xml:space="preserve"/>
      </w:r>
    </w:p>
    <w:p>
      <w:pPr>
        <w:jc w:val="center"/>
      </w:pPr>
      <w:r>
        <w:rPr>
          <w:sz w:val="24"/>
          <w:szCs w:val="24"/>
        </w:rPr>
        <w:t xml:space="preserve">Fernando Romero Etchenique, Aldo Sebastián López, Carlos Johansen</w:t>
      </w:r>
    </w:p>
    <w:p>
      <w:pPr>
        <w:jc w:val="center"/>
      </w:pPr>
      <w:r>
        <w:rPr>
          <w:i/>
          <w:iCs/>
          <w:sz w:val="24"/>
          <w:szCs w:val="24"/>
        </w:rPr>
        <w:t xml:space="preserve">Maestría en Inteligencia Artificial, Universidad de Palermo, Argentina</w:t>
      </w:r>
    </w:p>
    <w:p>
      <w:pPr>
        <w:jc w:val="center"/>
      </w:pPr>
      <w:r>
        <w:rPr>
          <w:sz w:val="24"/>
          <w:szCs w:val="24"/>
        </w:rPr>
        <w:t xml:space="preserve">ferometc@gmail.com, lopezsarmiento@gmail.com, carlosjohansen1@gmail.com</w:t>
      </w:r>
    </w:p>
    <w:p>
      <w:r>
        <w:rPr>
          <w:sz w:val="20"/>
          <w:szCs w:val="20"/>
        </w:rPr>
        <w:t xml:space="preserve"/>
      </w:r>
    </w:p>
    <w:p>
      <w:r>
        <w:rPr>
          <w:sz w:val="20"/>
          <w:szCs w:val="20"/>
        </w:rPr>
        <w:t xml:space="preserve"/>
      </w:r>
    </w:p>
    <w:p>
      <w:pPr>
        <w:sectPr>
          <w:pgSz w:w="11906" w:h="16838" w:orient="portrait"/>
          <w:pgMar w:top="1701" w:right="1049" w:bottom="1701" w:left="1049" w:header="708" w:footer="708" w:gutter="0"/>
          <w:pgNumType/>
          <w:docGrid w:linePitch="360"/>
        </w:sectPr>
      </w:pPr>
    </w:p>
    <w:p>
      <w:pPr>
        <w:spacing w:after="120"/>
        <w:jc w:val="center"/>
      </w:pPr>
      <w:r>
        <w:rPr>
          <w:b/>
          <w:bCs/>
          <w:sz w:val="24"/>
          <w:szCs w:val="24"/>
        </w:rPr>
        <w:t xml:space="preserve">Resumen</w:t>
      </w:r>
    </w:p>
    <w:p>
      <w:pPr>
        <w:ind w:firstLine="284"/>
        <w:jc w:val="both"/>
      </w:pPr>
      <w:r>
        <w:rPr>
          <w:i/>
          <w:iCs/>
        </w:rPr>
        <w:t xml:space="preserve">Se comparan Pandas y PySpark sobre el conjunto US Accidents: 7,7 millones de siniestros viales, 46 atributos y 3,06 GB en formato CSV. Se implementaron cinco consultas analíticas en ambos motores (distribución horaria, zonas de mayor peligrosidad, distancia y duración por severidad, intersecciones extraídas del texto y tiempo de despeje) y se verificó que los resultados coincidieran. El rendimiento se midió de punta a punta, con el mejor tiempo de tres ejecuciones, en una máquina de 8 núcleos y sobre dos formatos de almacenamiento. Con CSV, Spark fue más rápido en las cinco consultas (Speedup de 1,31 a 5,34). Con Parquet, Pandas fue más rápido en tres, una resultó equivalente y Spark ganó una (Speedup de 0,55 a 2,15): el formato pesó más que el motor. Con Spark MLlib se entrenó un bosque aleatorio con pesos de clase para anticipar siniestros de severidad alta; sobre 1,5 millones de casos de prueba obtuvo ROC-AUC de 0,724, recall de 0,696 y F1 de 0,432.</w:t>
      </w:r>
    </w:p>
    <w:p>
      <w:r>
        <w:rPr>
          <w:sz w:val="20"/>
          <w:szCs w:val="20"/>
        </w:rPr>
        <w:t xml:space="preserve"/>
      </w:r>
    </w:p>
    <w:p>
      <w:r>
        <w:rPr>
          <w:sz w:val="20"/>
          <w:szCs w:val="20"/>
        </w:rPr>
        <w:t xml:space="preserve"/>
      </w:r>
    </w:p>
    <w:p>
      <w:pPr>
        <w:keepNext/>
        <w:spacing w:after="240" w:before="480"/>
      </w:pPr>
      <w:r>
        <w:rPr>
          <w:b/>
          <w:bCs/>
          <w:sz w:val="24"/>
          <w:szCs w:val="24"/>
        </w:rPr>
        <w:t xml:space="preserve">1. Introducción</w:t>
      </w:r>
    </w:p>
    <w:p>
      <w:pPr>
        <w:ind w:firstLine="284"/>
        <w:jc w:val="both"/>
      </w:pPr>
      <w:r>
        <w:t xml:space="preserve">El análisis de datos tabulares en Python suele comenzar con Pandas [1], que carga los datos completos en la memoria de un proceso y ejecuta cada operación de inmediato y, en general, en un solo hilo. Apache Spark [2] propone otro modelo: divide los datos en particiones, describe el cómputo como un plan que se optimiza antes de ejecutarse [3] y lo reparte entre los núcleos de una máquina o los nodos de un clúster. Para volúmenes de cientos de gigabytes la elección es evidente. Para un archivo de pocos gigabytes, que todavía entra en la memoria de una computadora personal, no lo es: Spark agrega costos fijos de planificación y coordinación, y Pandas deja de ser viable cuando los datos o los resultados intermedios superan la memoria disponible.</w:t>
      </w:r>
    </w:p>
    <w:p>
      <w:pPr>
        <w:ind w:firstLine="284"/>
        <w:jc w:val="both"/>
      </w:pPr>
      <w:r>
        <w:t xml:space="preserve">Este trabajo aborda esa zona intermedia con un caso concreto: el conjunto US Accidents [4, 5, 6], que reúne 7,7 millones de siniestros viales registrados en 49 estados de Estados Unidos entre 2016 y 2023, con 46 atributos y un tamaño de 3,06 GB en formato CSV. Sobre ese conjunto se resolvieron cinco consultas analíticas de distinta naturaleza: un filtro temporal con agregación, una búsqueda espacial, dos agregaciones con cálculos por fila y una extracción de información a partir de texto libre. Cada una se implementó dos veces, en Pandas y en PySpark, y se midieron el tiempo y la memoria de cada implementación.</w:t>
      </w:r>
    </w:p>
    <w:p>
      <w:pPr>
        <w:ind w:firstLine="284"/>
        <w:jc w:val="both"/>
      </w:pPr>
      <w:r>
        <w:t xml:space="preserve">Los aportes son tres. Primero, las cinco consultas se resolvieron en ambos motores con las mismas definiciones, y se comprobó de forma automática que los dos devolvieran el mismo resultado, de modo que los tiempos comparan dos formas de calcular lo mismo. Segundo, la comparación se repitió sobre dos formatos de almacenamiento, el CSV original y el mismo conjunto convertido a Parquet, lo que permite separar el costo de leer los datos del costo de procesarlos. Tercero, se entrenó con Spark MLlib [7] un clasificador que anticipa si un siniestro será de severidad alta, y se contrastó su desempeño con la hipótesis que motivó la elección de variables.</w:t>
      </w:r>
    </w:p>
    <w:p>
      <w:pPr>
        <w:ind w:firstLine="284"/>
        <w:jc w:val="both"/>
      </w:pPr>
      <w:r>
        <w:t xml:space="preserve">El resto del artículo se organiza así: la sección 2 describe los datos, el entorno y la metodología de medición; la sección 3 presenta los resultados de las cinco consultas; la sección 4, el modelo de clasificación; la sección 5, la evaluación de rendimiento, y la sección 6, las conclusiones.</w:t>
      </w:r>
    </w:p>
    <w:p>
      <w:pPr>
        <w:keepNext/>
        <w:spacing w:after="240" w:before="480"/>
      </w:pPr>
      <w:r>
        <w:rPr>
          <w:b/>
          <w:bCs/>
          <w:sz w:val="24"/>
          <w:szCs w:val="24"/>
        </w:rPr>
        <w:t xml:space="preserve">2. Desarrollo metodológico</w:t>
      </w:r>
    </w:p>
    <w:p>
      <w:pPr>
        <w:keepNext/>
        <w:spacing w:after="120" w:before="120"/>
      </w:pPr>
      <w:r>
        <w:rPr>
          <w:b/>
          <w:bCs/>
          <w:sz w:val="22"/>
          <w:szCs w:val="22"/>
        </w:rPr>
        <w:t xml:space="preserve">2.1. Datos y preprocesamiento</w:t>
      </w:r>
    </w:p>
    <w:p>
      <w:pPr>
        <w:ind w:firstLine="284"/>
        <w:jc w:val="both"/>
      </w:pPr>
      <w:r>
        <w:t xml:space="preserve">El conjunto de datos se distribuye como un único archivo CSV de 3,06 GB con 7.728.394 filas y 46 columnas [6]. Cada fila describe un siniestro: identificador y fuente, severidad (de 1 a 4), fecha y hora de inicio y de fin, coordenadas de inicio y de fin, descripción en texto libre, dirección, condiciones meteorológicas, trece indicadores de infraestructura vial cercana (cruces, semáforos y estaciones, entre otros) y cuatro indicadores de iluminación natural. Los registros van del 14 de enero de 2016 al 31 de marzo de 2023, por lo que los años 2016 y 2023 están incompletos.</w:t>
      </w:r>
    </w:p>
    <w:p>
      <w:pPr>
        <w:ind w:firstLine="284"/>
        <w:jc w:val="both"/>
      </w:pPr>
      <w:r>
        <w:t xml:space="preserve">La severidad está desbalanceada: el nivel 2 concentra el 79,67 % de las filas; el 3, el 16,81 %; el 4, el 2,65 %, y el 1, el 0,87 %. Hay valores faltantes en 22 de las 46 columnas. Los más relevantes para este trabajo son las coordenadas de fin (44,03 % de las filas), la precipitación (28,51 %) y la velocidad del viento (7,39 %). Las fechas de inicio y de fin, la severidad y las coordenadas de inicio están completas.</w:t>
      </w:r>
    </w:p>
    <w:p>
      <w:pPr>
        <w:ind w:firstLine="284"/>
        <w:jc w:val="both"/>
      </w:pPr>
      <w:r>
        <w:t xml:space="preserve">La lectura requirió cuatro decisiones, aplicadas de la misma manera en los dos motores. (i) Se declaró un esquema explícito en lugar de inferirlo, lo que en Spark evita una pasada adicional sobre el archivo. (ii) Los nombres de columna se normalizaron; por ejemplo, </w:t>
      </w:r>
      <w:r>
        <w:rPr>
          <w:rFonts w:ascii="Courier New" w:cs="Courier New" w:eastAsia="Courier New" w:hAnsi="Courier New"/>
          <w:sz w:val="18"/>
          <w:szCs w:val="18"/>
        </w:rPr>
        <w:t xml:space="preserve">Distance(mi)</w:t>
      </w:r>
      <w:r>
        <w:t xml:space="preserve"> pasó a </w:t>
      </w:r>
      <w:r>
        <w:rPr>
          <w:rFonts w:ascii="Courier New" w:cs="Courier New" w:eastAsia="Courier New" w:hAnsi="Courier New"/>
          <w:sz w:val="18"/>
          <w:szCs w:val="18"/>
        </w:rPr>
        <w:t xml:space="preserve">Distance_mi</w:t>
      </w:r>
      <w:r>
        <w:t xml:space="preserve">. (iii) Las fechas aparecen en dos formatos mezclados, con y sin fracción de segundo: se leen como texto y se convierten a partir de sus primeros 19 caracteres. Un analizador que admita un solo formato deja sin convertir las filas del otro. (iv) El archivo escapa las comillas duplicándolas, y hubo que indicárselo a Spark, cuyo valor por defecto es la barra invertida. No se eliminó ninguna fila: el conteo coincide con el publicado, y cada consulta declara qué filas excluye y por qué.</w:t>
      </w:r>
    </w:p>
    <w:p>
      <w:pPr>
        <w:ind w:firstLine="284"/>
        <w:jc w:val="both"/>
      </w:pPr>
      <w:r>
        <w:t xml:space="preserve">Para el segundo escenario, el mismo conjunto se convirtió a Parquet, un formato columnar, comprimido y con tipos, basado en el modelo de almacenamiento de Dremel [8]. La conversión se hizo una sola vez con PyArrow, por bloques y con compresión Snappy; tardó 49 s y produjo un archivo de 0,78 GB, el 25 % del original. Se verificó que el archivo convertido tuviera la misma cantidad de filas, la misma cantidad de valores faltantes en cada una de las 46 columnas y el mismo rango de fechas que el CSV.</w:t>
      </w:r>
    </w:p>
    <w:p>
      <w:pPr>
        <w:keepNext/>
        <w:spacing w:after="120" w:before="120"/>
      </w:pPr>
      <w:r>
        <w:rPr>
          <w:b/>
          <w:bCs/>
          <w:sz w:val="22"/>
          <w:szCs w:val="22"/>
        </w:rPr>
        <w:t xml:space="preserve">2.2. Entorno de cómputo</w:t>
      </w:r>
    </w:p>
    <w:p>
      <w:pPr>
        <w:ind w:firstLine="284"/>
        <w:jc w:val="both"/>
      </w:pPr>
      <w:r>
        <w:t xml:space="preserve">Todas las mediciones se hicieron en una misma computadora personal y en una única sesión (Tabla 1). Spark se ejecutó en modo local (</w:t>
      </w:r>
      <w:r>
        <w:rPr>
          <w:rFonts w:ascii="Courier New" w:cs="Courier New" w:eastAsia="Courier New" w:hAnsi="Courier New"/>
          <w:sz w:val="18"/>
          <w:szCs w:val="18"/>
        </w:rPr>
        <w:t xml:space="preserve">local[*]</w:t>
      </w:r>
      <w:r>
        <w:t xml:space="preserve">), es decir, con el </w:t>
      </w:r>
      <w:r>
        <w:rPr>
          <w:i/>
          <w:iCs/>
        </w:rPr>
        <w:t xml:space="preserve">driver</w:t>
      </w:r>
      <w:r>
        <w:t xml:space="preserve"> y los ejecutores dentro de una sola máquina virtual de Java y un hilo por núcleo lógico. Se asignó al </w:t>
      </w:r>
      <w:r>
        <w:rPr>
          <w:i/>
          <w:iCs/>
        </w:rPr>
        <w:t xml:space="preserve">driver</w:t>
      </w:r>
      <w:r>
        <w:t xml:space="preserve"> la mitad de la memoria instalada y se redujo </w:t>
      </w:r>
      <w:r>
        <w:rPr>
          <w:rFonts w:ascii="Courier New" w:cs="Courier New" w:eastAsia="Courier New" w:hAnsi="Courier New"/>
          <w:sz w:val="18"/>
          <w:szCs w:val="18"/>
        </w:rPr>
        <w:t xml:space="preserve">spark.sql.shuffle.partitions</w:t>
      </w:r>
      <w:r>
        <w:t xml:space="preserve"> de 200, valor por defecto pensado para un clúster, a 64 (cuatro por núcleo lógico). La zona horaria de la sesión se fijó en UTC para que las fechas, que expresan la hora local de cada siniestro, no se desplazaran.</w:t>
      </w:r>
    </w:p>
    <w:p>
      <w:pPr>
        <w:keepNext/>
        <w:keepLines/>
        <w:spacing w:after="60" w:before="160"/>
        <w:jc w:val="center"/>
      </w:pPr>
      <w:r>
        <w:rPr>
          <w:rFonts w:ascii="Arial" w:cs="Arial" w:eastAsia="Arial" w:hAnsi="Arial"/>
          <w:b/>
          <w:bCs/>
          <w:sz w:val="18"/>
          <w:szCs w:val="18"/>
        </w:rPr>
        <w:t xml:space="preserve">Tabla 1. Entorno de cómputo.</w:t>
      </w:r>
    </w:p>
    <w:tbl>
      <w:tblPr>
        <w:tblW w:type="dxa" w:w="4677"/>
        <w:jc w:val="center"/>
        <w:tblBorders>
          <w:top w:val="single" w:color="auto" w:sz="4"/>
          <w:left w:val="single" w:color="auto" w:sz="4"/>
          <w:bottom w:val="single" w:color="auto" w:sz="4"/>
          <w:right w:val="single" w:color="auto" w:sz="4"/>
          <w:insideH w:val="single" w:color="auto" w:sz="4"/>
          <w:insideV w:val="single" w:color="auto" w:sz="4"/>
        </w:tblBorders>
      </w:tblPr>
      <w:tblGrid>
        <w:gridCol w:w="1684"/>
        <w:gridCol w:w="2993"/>
      </w:tblGrid>
      <w:tr>
        <w:trPr>
          <w:cantSplit/>
          <w:tblHeader/>
        </w:trPr>
        <w:tc>
          <w:tcPr>
            <w:tcW w:type="dxa" w:w="1684"/>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7"/>
                <w:szCs w:val="17"/>
              </w:rPr>
            </w:pPr>
            <w:r>
              <w:rPr>
                <w:b/>
                <w:bCs/>
                <w:sz w:val="17"/>
                <w:szCs w:val="17"/>
              </w:rPr>
              <w:t xml:space="preserve">Componente</w:t>
            </w:r>
          </w:p>
        </w:tc>
        <w:tc>
          <w:tcPr>
            <w:tcW w:type="dxa" w:w="2993"/>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7"/>
                <w:szCs w:val="17"/>
              </w:rPr>
            </w:pPr>
            <w:r>
              <w:rPr>
                <w:b/>
                <w:bCs/>
                <w:sz w:val="17"/>
                <w:szCs w:val="17"/>
              </w:rPr>
              <w:t xml:space="preserve">Valor</w:t>
            </w:r>
          </w:p>
        </w:tc>
      </w:tr>
      <w:tr>
        <w:trPr>
          <w:cantSplit/>
        </w:trPr>
        <w:tc>
          <w:tcPr>
            <w:tcW w:type="dxa" w:w="1684"/>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left"/>
              <w:rPr>
                <w:sz w:val="17"/>
                <w:szCs w:val="17"/>
              </w:rPr>
            </w:pPr>
            <w:r>
              <w:rPr>
                <w:b w:val="false"/>
                <w:bCs w:val="false"/>
                <w:sz w:val="17"/>
                <w:szCs w:val="17"/>
              </w:rPr>
              <w:t xml:space="preserve">Procesador</w:t>
            </w:r>
          </w:p>
        </w:tc>
        <w:tc>
          <w:tcPr>
            <w:tcW w:type="dxa" w:w="2993"/>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left"/>
              <w:rPr>
                <w:sz w:val="17"/>
                <w:szCs w:val="17"/>
              </w:rPr>
            </w:pPr>
            <w:r>
              <w:rPr>
                <w:b w:val="false"/>
                <w:bCs w:val="false"/>
                <w:sz w:val="17"/>
                <w:szCs w:val="17"/>
              </w:rPr>
              <w:t xml:space="preserve">Intel Core i9-10980HK, 2,40 GHz</w:t>
            </w:r>
          </w:p>
        </w:tc>
      </w:tr>
      <w:tr>
        <w:trPr>
          <w:cantSplit/>
        </w:trPr>
        <w:tc>
          <w:tcPr>
            <w:tcW w:type="dxa" w:w="1684"/>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left"/>
              <w:rPr>
                <w:sz w:val="17"/>
                <w:szCs w:val="17"/>
              </w:rPr>
            </w:pPr>
            <w:r>
              <w:rPr>
                <w:b w:val="false"/>
                <w:bCs w:val="false"/>
                <w:sz w:val="17"/>
                <w:szCs w:val="17"/>
              </w:rPr>
              <w:t xml:space="preserve">Núcleos</w:t>
            </w:r>
          </w:p>
        </w:tc>
        <w:tc>
          <w:tcPr>
            <w:tcW w:type="dxa" w:w="2993"/>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left"/>
              <w:rPr>
                <w:sz w:val="17"/>
                <w:szCs w:val="17"/>
              </w:rPr>
            </w:pPr>
            <w:r>
              <w:rPr>
                <w:b w:val="false"/>
                <w:bCs w:val="false"/>
                <w:sz w:val="17"/>
                <w:szCs w:val="17"/>
              </w:rPr>
              <w:t xml:space="preserve">8 físicos, 16 lógicos</w:t>
            </w:r>
          </w:p>
        </w:tc>
      </w:tr>
      <w:tr>
        <w:trPr>
          <w:cantSplit/>
        </w:trPr>
        <w:tc>
          <w:tcPr>
            <w:tcW w:type="dxa" w:w="1684"/>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left"/>
              <w:rPr>
                <w:sz w:val="17"/>
                <w:szCs w:val="17"/>
              </w:rPr>
            </w:pPr>
            <w:r>
              <w:rPr>
                <w:b w:val="false"/>
                <w:bCs w:val="false"/>
                <w:sz w:val="17"/>
                <w:szCs w:val="17"/>
              </w:rPr>
              <w:t xml:space="preserve">Memoria RAM</w:t>
            </w:r>
          </w:p>
        </w:tc>
        <w:tc>
          <w:tcPr>
            <w:tcW w:type="dxa" w:w="2993"/>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left"/>
              <w:rPr>
                <w:sz w:val="17"/>
                <w:szCs w:val="17"/>
              </w:rPr>
            </w:pPr>
            <w:r>
              <w:rPr>
                <w:b w:val="false"/>
                <w:bCs w:val="false"/>
                <w:sz w:val="17"/>
                <w:szCs w:val="17"/>
              </w:rPr>
              <w:t xml:space="preserve">31,7 GB</w:t>
            </w:r>
          </w:p>
        </w:tc>
      </w:tr>
      <w:tr>
        <w:trPr>
          <w:cantSplit/>
        </w:trPr>
        <w:tc>
          <w:tcPr>
            <w:tcW w:type="dxa" w:w="1684"/>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left"/>
              <w:rPr>
                <w:sz w:val="17"/>
                <w:szCs w:val="17"/>
              </w:rPr>
            </w:pPr>
            <w:r>
              <w:rPr>
                <w:b w:val="false"/>
                <w:bCs w:val="false"/>
                <w:sz w:val="17"/>
                <w:szCs w:val="17"/>
              </w:rPr>
              <w:t xml:space="preserve">Sistema operativo</w:t>
            </w:r>
          </w:p>
        </w:tc>
        <w:tc>
          <w:tcPr>
            <w:tcW w:type="dxa" w:w="2993"/>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left"/>
              <w:rPr>
                <w:sz w:val="17"/>
                <w:szCs w:val="17"/>
              </w:rPr>
            </w:pPr>
            <w:r>
              <w:rPr>
                <w:b w:val="false"/>
                <w:bCs w:val="false"/>
                <w:sz w:val="17"/>
                <w:szCs w:val="17"/>
              </w:rPr>
              <w:t xml:space="preserve">Windows 11</w:t>
            </w:r>
          </w:p>
        </w:tc>
      </w:tr>
      <w:tr>
        <w:trPr>
          <w:cantSplit/>
        </w:trPr>
        <w:tc>
          <w:tcPr>
            <w:tcW w:type="dxa" w:w="1684"/>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left"/>
              <w:rPr>
                <w:sz w:val="17"/>
                <w:szCs w:val="17"/>
              </w:rPr>
            </w:pPr>
            <w:r>
              <w:rPr>
                <w:b w:val="false"/>
                <w:bCs w:val="false"/>
                <w:sz w:val="17"/>
                <w:szCs w:val="17"/>
              </w:rPr>
              <w:t xml:space="preserve">Python</w:t>
            </w:r>
          </w:p>
        </w:tc>
        <w:tc>
          <w:tcPr>
            <w:tcW w:type="dxa" w:w="2993"/>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left"/>
              <w:rPr>
                <w:sz w:val="17"/>
                <w:szCs w:val="17"/>
              </w:rPr>
            </w:pPr>
            <w:r>
              <w:rPr>
                <w:b w:val="false"/>
                <w:bCs w:val="false"/>
                <w:sz w:val="17"/>
                <w:szCs w:val="17"/>
              </w:rPr>
              <w:t xml:space="preserve">3.14.4</w:t>
            </w:r>
          </w:p>
        </w:tc>
      </w:tr>
      <w:tr>
        <w:trPr>
          <w:cantSplit/>
        </w:trPr>
        <w:tc>
          <w:tcPr>
            <w:tcW w:type="dxa" w:w="1684"/>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left"/>
              <w:rPr>
                <w:sz w:val="17"/>
                <w:szCs w:val="17"/>
              </w:rPr>
            </w:pPr>
            <w:r>
              <w:rPr>
                <w:b w:val="false"/>
                <w:bCs w:val="false"/>
                <w:sz w:val="17"/>
                <w:szCs w:val="17"/>
              </w:rPr>
              <w:t xml:space="preserve">Pandas / NumPy</w:t>
            </w:r>
          </w:p>
        </w:tc>
        <w:tc>
          <w:tcPr>
            <w:tcW w:type="dxa" w:w="2993"/>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left"/>
              <w:rPr>
                <w:sz w:val="17"/>
                <w:szCs w:val="17"/>
              </w:rPr>
            </w:pPr>
            <w:r>
              <w:rPr>
                <w:b w:val="false"/>
                <w:bCs w:val="false"/>
                <w:sz w:val="17"/>
                <w:szCs w:val="17"/>
              </w:rPr>
              <w:t xml:space="preserve">3.0.6 / 2.5.3</w:t>
            </w:r>
          </w:p>
        </w:tc>
      </w:tr>
      <w:tr>
        <w:trPr>
          <w:cantSplit/>
        </w:trPr>
        <w:tc>
          <w:tcPr>
            <w:tcW w:type="dxa" w:w="1684"/>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left"/>
              <w:rPr>
                <w:sz w:val="17"/>
                <w:szCs w:val="17"/>
              </w:rPr>
            </w:pPr>
            <w:r>
              <w:rPr>
                <w:b w:val="false"/>
                <w:bCs w:val="false"/>
                <w:sz w:val="17"/>
                <w:szCs w:val="17"/>
              </w:rPr>
              <w:t xml:space="preserve">PySpark / Java</w:t>
            </w:r>
          </w:p>
        </w:tc>
        <w:tc>
          <w:tcPr>
            <w:tcW w:type="dxa" w:w="2993"/>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left"/>
              <w:rPr>
                <w:sz w:val="17"/>
                <w:szCs w:val="17"/>
              </w:rPr>
            </w:pPr>
            <w:r>
              <w:rPr>
                <w:b w:val="false"/>
                <w:bCs w:val="false"/>
                <w:sz w:val="17"/>
                <w:szCs w:val="17"/>
              </w:rPr>
              <w:t xml:space="preserve">4.2.0 / 21.0.9</w:t>
            </w:r>
          </w:p>
        </w:tc>
      </w:tr>
      <w:tr>
        <w:trPr>
          <w:cantSplit/>
        </w:trPr>
        <w:tc>
          <w:tcPr>
            <w:tcW w:type="dxa" w:w="1684"/>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val="false"/>
              <w:keepLines/>
              <w:jc w:val="left"/>
              <w:rPr>
                <w:sz w:val="17"/>
                <w:szCs w:val="17"/>
              </w:rPr>
            </w:pPr>
            <w:r>
              <w:rPr>
                <w:b w:val="false"/>
                <w:bCs w:val="false"/>
                <w:sz w:val="17"/>
                <w:szCs w:val="17"/>
              </w:rPr>
              <w:t xml:space="preserve">Spark</w:t>
            </w:r>
          </w:p>
        </w:tc>
        <w:tc>
          <w:tcPr>
            <w:tcW w:type="dxa" w:w="2993"/>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val="false"/>
              <w:keepLines/>
              <w:jc w:val="left"/>
              <w:rPr>
                <w:sz w:val="17"/>
                <w:szCs w:val="17"/>
              </w:rPr>
            </w:pPr>
            <w:r>
              <w:rPr>
                <w:b w:val="false"/>
                <w:bCs w:val="false"/>
                <w:sz w:val="17"/>
                <w:szCs w:val="17"/>
              </w:rPr>
              <w:t xml:space="preserve">Modo local, 16 hilos, 15 GB de </w:t>
            </w:r>
            <w:r>
              <w:rPr>
                <w:b w:val="false"/>
                <w:bCs w:val="false"/>
                <w:i/>
                <w:iCs/>
                <w:sz w:val="17"/>
                <w:szCs w:val="17"/>
              </w:rPr>
              <w:t xml:space="preserve">driver</w:t>
            </w:r>
          </w:p>
        </w:tc>
      </w:tr>
    </w:tbl>
    <w:p>
      <w:pPr>
        <w:spacing w:after="60"/>
      </w:pPr>
      <w:r>
        <w:rPr>
          <w:sz w:val="12"/>
          <w:szCs w:val="12"/>
        </w:rPr>
        <w:t xml:space="preserve"/>
      </w:r>
    </w:p>
    <w:p>
      <w:pPr>
        <w:ind w:firstLine="284"/>
        <w:jc w:val="both"/>
      </w:pPr>
      <w:r>
        <w:t xml:space="preserve">PySpark 4.2.0 advierte que su compatibilidad con Pandas 3 todavía no es completa; el aviso aparece en las salidas del cuaderno. En las cinco consultas los resultados de Spark se traen con </w:t>
      </w:r>
      <w:r>
        <w:rPr>
          <w:rFonts w:ascii="Courier New" w:cs="Courier New" w:eastAsia="Courier New" w:hAnsi="Courier New"/>
          <w:sz w:val="18"/>
          <w:szCs w:val="18"/>
        </w:rPr>
        <w:t xml:space="preserve">collect()</w:t>
      </w:r>
      <w:r>
        <w:t xml:space="preserve"> y no con la conversión directa a Pandas, y la coincidencia entre motores se comprobó en cada una.</w:t>
      </w:r>
    </w:p>
    <w:p>
      <w:pPr>
        <w:keepNext/>
        <w:spacing w:after="120" w:before="120"/>
      </w:pPr>
      <w:r>
        <w:rPr>
          <w:b/>
          <w:bCs/>
          <w:sz w:val="22"/>
          <w:szCs w:val="22"/>
        </w:rPr>
        <w:t xml:space="preserve">2.3. Implementación y verificación</w:t>
      </w:r>
    </w:p>
    <w:p>
      <w:pPr>
        <w:ind w:firstLine="284"/>
        <w:jc w:val="both"/>
      </w:pPr>
      <w:r>
        <w:t xml:space="preserve">Cada consulta se implementó como un par de funciones, una por motor, que devuelven la misma tabla. Después de medirlas, una rutina compara ambas tablas valor por valor, con una tolerancia de 10</w:t>
      </w:r>
      <w:r>
        <w:rPr>
          <w:vertAlign w:val="superscript"/>
        </w:rPr>
        <w:t xml:space="preserve">−6</w:t>
      </w:r>
      <w:r>
        <w:t xml:space="preserve"> en los números decimales. En la corrida que se informa, las cinco consultas coincidieron entre Pandas y Spark, y entre CSV y Parquet.</w:t>
      </w:r>
    </w:p>
    <w:p>
      <w:pPr>
        <w:ind w:firstLine="284"/>
        <w:jc w:val="both"/>
      </w:pPr>
      <w:r>
        <w:t xml:space="preserve">En Spark se usaron exclusivamente expresiones nativas de columna, sin funciones definidas por el usuario en Python, de modo que el cómputo permanece en la máquina virtual de Java. Las tablas auxiliares pequeñas se generan dentro de Spark, y cada función termina con la acción </w:t>
      </w:r>
      <w:r>
        <w:rPr>
          <w:rFonts w:ascii="Courier New" w:cs="Courier New" w:eastAsia="Courier New" w:hAnsi="Courier New"/>
          <w:sz w:val="18"/>
          <w:szCs w:val="18"/>
        </w:rPr>
        <w:t xml:space="preserve">collect()</w:t>
      </w:r>
      <w:r>
        <w:t xml:space="preserve">, que materializa el plan. En Pandas la gestión de memoria es explícita: cada consulta lee solo las columnas que necesita y almacena como categorías las de texto con pocos valores distintos.</w:t>
      </w:r>
    </w:p>
    <w:p>
      <w:pPr>
        <w:keepNext/>
        <w:spacing w:after="120" w:before="120"/>
      </w:pPr>
      <w:r>
        <w:rPr>
          <w:b/>
          <w:bCs/>
          <w:sz w:val="22"/>
          <w:szCs w:val="22"/>
        </w:rPr>
        <w:t xml:space="preserve">2.4. Metodología de medición</w:t>
      </w:r>
    </w:p>
    <w:p>
      <w:pPr>
        <w:ind w:firstLine="284"/>
        <w:jc w:val="both"/>
      </w:pPr>
      <w:r>
        <w:t xml:space="preserve">El tiempo es de reloj de pared y de punta a punta: incluye la lectura del archivo y la consulta, en los dos motores. Así ninguno parte con los datos ya cargados en memoria, y la medición refleja lo que cuesta responder una pregunta sobre un archivo en disco. Cada consulta se ejecutó tres veces por motor y por formato, y se informa el mejor tiempo, que es el menos afectado por otros procesos; el promedio de las tres ejecuciones queda registrado en los archivos de resultados. El archivo ya había sido leído antes de las mediciones, de modo que la caché de disco del sistema operativo estaba cargada para ambos motores.</w:t>
      </w:r>
    </w:p>
    <w:p>
      <w:pPr>
        <w:ind w:firstLine="284"/>
        <w:jc w:val="both"/>
      </w:pPr>
      <w:r>
        <w:t xml:space="preserve">El factor de aceleración se define como Speedup = T</w:t>
      </w:r>
      <w:r>
        <w:rPr>
          <w:vertAlign w:val="subscript"/>
        </w:rPr>
        <w:t xml:space="preserve">Pandas</w:t>
      </w:r>
      <w:r>
        <w:t xml:space="preserve"> / T</w:t>
      </w:r>
      <w:r>
        <w:rPr>
          <w:vertAlign w:val="subscript"/>
        </w:rPr>
        <w:t xml:space="preserve">Spark</w:t>
      </w:r>
      <w:r>
        <w:t xml:space="preserve">: un valor mayor que 1 indica que Spark fue más rápido. La memoria se registró con un hilo auxiliar que toma muestras cada 0,25 s. Para Pandas se informa el pico del proceso de Python; para Spark, el pico del proceso de Java. Este último depende sobre todo del tamaño de </w:t>
      </w:r>
      <w:r>
        <w:rPr>
          <w:i/>
          <w:iCs/>
        </w:rPr>
        <w:t xml:space="preserve">heap</w:t>
      </w:r>
      <w:r>
        <w:t xml:space="preserve"> asignado y no disminuye entre consultas, por lo que se interpreta como una cota y no como un consumo exacto.</w:t>
      </w:r>
    </w:p>
    <w:p>
      <w:pPr>
        <w:keepNext/>
        <w:spacing w:after="120" w:before="120"/>
      </w:pPr>
      <w:r>
        <w:rPr>
          <w:b/>
          <w:bCs/>
          <w:sz w:val="22"/>
          <w:szCs w:val="22"/>
        </w:rPr>
        <w:t xml:space="preserve">2.5. Código y reproducibilidad</w:t>
      </w:r>
    </w:p>
    <w:p>
      <w:pPr>
        <w:ind w:firstLine="284"/>
        <w:jc w:val="both"/>
      </w:pPr>
      <w:r>
        <w:t xml:space="preserve">Todo el trabajo está en un único cuaderno de Jupyter, que ejecuta de principio a fin la carga, las consultas, la conversión a Parquet, las mediciones y el modelo; además registra el entorno y guarda las tablas de resultados y las figuras. El código, los resultados y las instrucciones de ejecución están disponibles en https://github.com/ferometc-oss/us-accidents-pandas-vs-pyspark.</w:t>
      </w:r>
    </w:p>
    <w:p>
      <w:pPr>
        <w:keepNext/>
        <w:spacing w:after="240" w:before="480"/>
      </w:pPr>
      <w:r>
        <w:rPr>
          <w:b/>
          <w:bCs/>
          <w:sz w:val="24"/>
          <w:szCs w:val="24"/>
        </w:rPr>
        <w:t xml:space="preserve">3. Resultados analíticos</w:t>
      </w:r>
    </w:p>
    <w:p>
      <w:pPr>
        <w:keepNext/>
        <w:spacing w:after="120" w:before="120"/>
      </w:pPr>
      <w:r>
        <w:rPr>
          <w:b/>
          <w:bCs/>
          <w:sz w:val="22"/>
          <w:szCs w:val="22"/>
        </w:rPr>
        <w:t xml:space="preserve">3.1. Distribución horaria (C1)</w:t>
      </w:r>
    </w:p>
    <w:p>
      <w:pPr>
        <w:ind w:firstLine="284"/>
        <w:jc w:val="both"/>
      </w:pPr>
      <w:r>
        <w:t xml:space="preserve">Entre el 1 de enero de 2021 y el 31 de diciembre de 2022 se registraron 3.326.205 siniestros. La distribución por hora de inicio (Figura 1) tiene dos máximos, que coinciden con los horarios habituales de traslado laboral. El principal es el de la tarde: las tres horas con más siniestros son las 16 (272.417; 8,19 %), las 17 (260.775; 7,84 %) y las 15 (259.924; 7,81 %). El de la mañana es menor y más breve, con 221.763 siniestros a las 7 (6,67 %) y 205.208 a las 8 (6,17 %). El mínimo se da a las 3 de la madrugada, con 39.980 (1,20 %).</w:t>
      </w:r>
    </w:p>
    <w:p>
      <w:pPr>
        <w:keepNext/>
        <w:spacing w:before="120"/>
        <w:jc w:val="center"/>
      </w:pPr>
      <w:r>
        <w:drawing>
          <wp:inline distT="0" distB="0" distL="0" distR="0">
            <wp:extent cx="2876550" cy="2085975"/>
            <wp:effectExtent t="0" r="0" b="0" l="0"/>
            <wp:docPr id="1" name="c1_distribucion_horaria.png" descr="Figura 1. Siniestros por hora de inicio, 2021–2022." title="Figura 1. Siniestros por hora de inicio, 2021–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76550" cy="2085975"/>
                    </a:xfrm>
                    <a:prstGeom prst="rect">
                      <a:avLst/>
                    </a:prstGeom>
                  </pic:spPr>
                </pic:pic>
              </a:graphicData>
            </a:graphic>
          </wp:inline>
        </w:drawing>
      </w:r>
    </w:p>
    <w:p>
      <w:pPr>
        <w:keepNext w:val="false"/>
        <w:keepLines/>
        <w:spacing w:after="160" w:before="60"/>
        <w:jc w:val="center"/>
      </w:pPr>
      <w:r>
        <w:rPr>
          <w:rFonts w:ascii="Arial" w:cs="Arial" w:eastAsia="Arial" w:hAnsi="Arial"/>
          <w:b/>
          <w:bCs/>
          <w:sz w:val="18"/>
          <w:szCs w:val="18"/>
        </w:rPr>
        <w:t xml:space="preserve">Figura 1. Siniestros por hora de inicio, 2021–2022.</w:t>
      </w:r>
    </w:p>
    <w:p>
      <w:pPr>
        <w:keepNext/>
        <w:spacing w:after="120" w:before="120"/>
      </w:pPr>
      <w:r>
        <w:rPr>
          <w:b/>
          <w:bCs/>
          <w:sz w:val="22"/>
          <w:szCs w:val="22"/>
        </w:rPr>
        <w:t xml:space="preserve">3.2. Zonas de mayor peligrosidad (C4)</w:t>
      </w:r>
    </w:p>
    <w:p>
      <w:pPr>
        <w:ind w:firstLine="284"/>
        <w:jc w:val="both"/>
      </w:pPr>
      <w:r>
        <w:t xml:space="preserve">La consulta pide los cinco puntos más peligrosos, con un radio de influencia. Se fijó un radio </w:t>
      </w:r>
      <w:r>
        <w:rPr>
          <w:i/>
          <w:iCs/>
        </w:rPr>
        <w:t xml:space="preserve">R</w:t>
      </w:r>
      <w:r>
        <w:t xml:space="preserve"> = 2 km y alcance nacional. Para un punto </w:t>
      </w:r>
      <w:r>
        <w:rPr>
          <w:i/>
          <w:iCs/>
        </w:rPr>
        <w:t xml:space="preserve">p</w:t>
      </w:r>
      <w:r>
        <w:t xml:space="preserve">, su zona de influencia es el conjunto </w:t>
      </w:r>
      <w:r>
        <w:rPr>
          <w:i/>
          <w:iCs/>
        </w:rPr>
        <w:t xml:space="preserve">A</w:t>
      </w:r>
      <w:r>
        <w:t xml:space="preserve">(</w:t>
      </w:r>
      <w:r>
        <w:rPr>
          <w:i/>
          <w:iCs/>
        </w:rPr>
        <w:t xml:space="preserve">p</w:t>
      </w:r>
      <w:r>
        <w:t xml:space="preserve">) de siniestros cuya distancia de Haversine a </w:t>
      </w:r>
      <w:r>
        <w:rPr>
          <w:i/>
          <w:iCs/>
        </w:rPr>
        <w:t xml:space="preserve">p</w:t>
      </w:r>
      <w:r>
        <w:t xml:space="preserve"> no supera </w:t>
      </w:r>
      <w:r>
        <w:rPr>
          <w:i/>
          <w:iCs/>
        </w:rPr>
        <w:t xml:space="preserve">R</w:t>
      </w:r>
      <w:r>
        <w:t xml:space="preserve">. Como criterio de peligrosidad se adoptó la cantidad de siniestros graves de la zona, </w:t>
      </w:r>
      <w:r>
        <w:rPr>
          <w:i/>
          <w:iCs/>
        </w:rPr>
        <w:t xml:space="preserve">G</w:t>
      </w:r>
      <w:r>
        <w:t xml:space="preserve">(</w:t>
      </w:r>
      <w:r>
        <w:rPr>
          <w:i/>
          <w:iCs/>
        </w:rPr>
        <w:t xml:space="preserve">p</w:t>
      </w:r>
      <w:r>
        <w:t xml:space="preserve">) = |{</w:t>
      </w:r>
      <w:r>
        <w:rPr>
          <w:i/>
          <w:iCs/>
        </w:rPr>
        <w:t xml:space="preserve">i</w:t>
      </w:r>
      <w:r>
        <w:t xml:space="preserve"> ∈ </w:t>
      </w:r>
      <w:r>
        <w:rPr>
          <w:i/>
          <w:iCs/>
        </w:rPr>
        <w:t xml:space="preserve">A</w:t>
      </w:r>
      <w:r>
        <w:t xml:space="preserve">(</w:t>
      </w:r>
      <w:r>
        <w:rPr>
          <w:i/>
          <w:iCs/>
        </w:rPr>
        <w:t xml:space="preserve">p</w:t>
      </w:r>
      <w:r>
        <w:t xml:space="preserve">) : Severity</w:t>
      </w:r>
      <w:r>
        <w:rPr>
          <w:vertAlign w:val="subscript"/>
        </w:rPr>
        <w:t xml:space="preserve">i</w:t>
      </w:r>
      <w:r>
        <w:t xml:space="preserve"> ≥ 3}|. Se lo prefirió a la densidad total, |</w:t>
      </w:r>
      <w:r>
        <w:rPr>
          <w:i/>
          <w:iCs/>
        </w:rPr>
        <w:t xml:space="preserve">A</w:t>
      </w:r>
      <w:r>
        <w:t xml:space="preserve">(</w:t>
      </w:r>
      <w:r>
        <w:rPr>
          <w:i/>
          <w:iCs/>
        </w:rPr>
        <w:t xml:space="preserve">p</w:t>
      </w:r>
      <w:r>
        <w:t xml:space="preserve">)|, porque esta señala sobre todo los lugares de mayor tránsito. De todos modos se calcularon también la densidad y un índice ponderado por severidad, con pesos 1, 2, 4 y 8.</w:t>
      </w:r>
    </w:p>
    <w:p>
      <w:pPr>
        <w:ind w:firstLine="284"/>
        <w:jc w:val="both"/>
      </w:pPr>
      <w:r>
        <w:t xml:space="preserve">Comparar todos los pares de puntos es inviable, por lo que se usó una grilla con refinamiento exacto. Cada siniestro se asigna a una celda de al menos </w:t>
      </w:r>
      <w:r>
        <w:rPr>
          <w:i/>
          <w:iCs/>
        </w:rPr>
        <w:t xml:space="preserve">R</w:t>
      </w:r>
      <w:r>
        <w:t xml:space="preserve"> de lado, y una agregación reduce los 7,7 millones de puntos a 182.594 celdas ocupadas, cada una con su centroide. Como la celda mide al menos </w:t>
      </w:r>
      <w:r>
        <w:rPr>
          <w:i/>
          <w:iCs/>
        </w:rPr>
        <w:t xml:space="preserve">R</w:t>
      </w:r>
      <w:r>
        <w:t xml:space="preserve">, cualquier círculo de radio </w:t>
      </w:r>
      <w:r>
        <w:rPr>
          <w:i/>
          <w:iCs/>
        </w:rPr>
        <w:t xml:space="preserve">R</w:t>
      </w:r>
      <w:r>
        <w:t xml:space="preserve"> con centro en ella queda contenido en el bloque de 3 × 3 celdas que la rodea, y la suma del índice en ese bloque es una cota superior del valor de cualquier centro de la celda. Se toman las 300 celdas de mayor cota y, para cada una, se calcula la distancia de Haversine exacta entre su centroide y los puntos del bloque. Por último se eligen los cinco centros de mayor índice que disten entre sí más de 2</w:t>
      </w:r>
      <w:r>
        <w:rPr>
          <w:i/>
          <w:iCs/>
        </w:rPr>
        <w:t xml:space="preserve">R</w:t>
      </w:r>
      <w:r>
        <w:t xml:space="preserve">, para no informar varias veces la misma zona.</w:t>
      </w:r>
    </w:p>
    <w:p>
      <w:pPr>
        <w:ind w:firstLine="284"/>
        <w:jc w:val="both"/>
      </w:pPr>
      <w:r>
        <w:t xml:space="preserve">El método incluye un control: si la cota de la mejor celda descartada no supera el índice del quinto centro elegido, ninguna celda descartada podía entrar en el resultado. En esta corrida la cota máxima descartada fue 2.996 y el índice del quinto centro, 3.378. El resultado (Tabla 2) es entonces exacto dentro del conjunto de centros evaluados, que son los centroides de celda.</w:t>
      </w:r>
    </w:p>
    <w:p>
      <w:pPr>
        <w:keepNext/>
        <w:keepLines/>
        <w:spacing w:after="60" w:before="160"/>
        <w:jc w:val="center"/>
      </w:pPr>
      <w:r>
        <w:rPr>
          <w:rFonts w:ascii="Arial" w:cs="Arial" w:eastAsia="Arial" w:hAnsi="Arial"/>
          <w:b/>
          <w:bCs/>
          <w:sz w:val="18"/>
          <w:szCs w:val="18"/>
        </w:rPr>
        <w:t xml:space="preserve">Tabla 2. Los cinco puntos más peligrosos (radio de 2 km).</w:t>
      </w:r>
    </w:p>
    <w:tbl>
      <w:tblPr>
        <w:tblW w:type="dxa" w:w="4677"/>
        <w:jc w:val="center"/>
        <w:tblBorders>
          <w:top w:val="single" w:color="auto" w:sz="4"/>
          <w:left w:val="single" w:color="auto" w:sz="4"/>
          <w:bottom w:val="single" w:color="auto" w:sz="4"/>
          <w:right w:val="single" w:color="auto" w:sz="4"/>
          <w:insideH w:val="single" w:color="auto" w:sz="4"/>
          <w:insideV w:val="single" w:color="auto" w:sz="4"/>
        </w:tblBorders>
      </w:tblPr>
      <w:tblGrid>
        <w:gridCol w:w="281"/>
        <w:gridCol w:w="1169"/>
        <w:gridCol w:w="608"/>
        <w:gridCol w:w="748"/>
        <w:gridCol w:w="655"/>
        <w:gridCol w:w="608"/>
        <w:gridCol w:w="608"/>
      </w:tblGrid>
      <w:tr>
        <w:trPr>
          <w:cantSplit/>
          <w:tblHeader/>
        </w:trPr>
        <w:tc>
          <w:tcPr>
            <w:tcW w:type="dxa" w:w="281"/>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bCs/>
                <w:sz w:val="15"/>
                <w:szCs w:val="15"/>
              </w:rPr>
              <w:t xml:space="preserve">#</w:t>
            </w:r>
          </w:p>
        </w:tc>
        <w:tc>
          <w:tcPr>
            <w:tcW w:type="dxa" w:w="1169"/>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bCs/>
                <w:sz w:val="15"/>
                <w:szCs w:val="15"/>
              </w:rPr>
              <w:t xml:space="preserve">Lugar</w:t>
            </w:r>
          </w:p>
        </w:tc>
        <w:tc>
          <w:tcPr>
            <w:tcW w:type="dxa" w:w="608"/>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bCs/>
                <w:sz w:val="15"/>
                <w:szCs w:val="15"/>
              </w:rPr>
              <w:t xml:space="preserve">Latitud</w:t>
            </w:r>
          </w:p>
        </w:tc>
        <w:tc>
          <w:tcPr>
            <w:tcW w:type="dxa" w:w="748"/>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bCs/>
                <w:sz w:val="15"/>
                <w:szCs w:val="15"/>
              </w:rPr>
              <w:t xml:space="preserve">Longitud</w:t>
            </w:r>
          </w:p>
        </w:tc>
        <w:tc>
          <w:tcPr>
            <w:tcW w:type="dxa" w:w="655"/>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bCs/>
                <w:sz w:val="15"/>
                <w:szCs w:val="15"/>
              </w:rPr>
              <w:t xml:space="preserve">Total</w:t>
            </w:r>
          </w:p>
        </w:tc>
        <w:tc>
          <w:tcPr>
            <w:tcW w:type="dxa" w:w="608"/>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bCs/>
                <w:sz w:val="15"/>
                <w:szCs w:val="15"/>
              </w:rPr>
              <w:t xml:space="preserve">Graves</w:t>
            </w:r>
          </w:p>
        </w:tc>
        <w:tc>
          <w:tcPr>
            <w:tcW w:type="dxa" w:w="608"/>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bCs/>
                <w:sz w:val="15"/>
                <w:szCs w:val="15"/>
              </w:rPr>
              <w:t xml:space="preserve">% graves</w:t>
            </w:r>
          </w:p>
        </w:tc>
      </w:tr>
      <w:tr>
        <w:trPr>
          <w:cantSplit/>
        </w:trPr>
        <w:tc>
          <w:tcPr>
            <w:tcW w:type="dxa" w:w="281"/>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val="false"/>
                <w:bCs w:val="false"/>
                <w:sz w:val="15"/>
                <w:szCs w:val="15"/>
              </w:rPr>
              <w:t xml:space="preserve">1</w:t>
            </w:r>
          </w:p>
        </w:tc>
        <w:tc>
          <w:tcPr>
            <w:tcW w:type="dxa" w:w="1169"/>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left"/>
              <w:rPr>
                <w:sz w:val="15"/>
                <w:szCs w:val="15"/>
              </w:rPr>
            </w:pPr>
            <w:r>
              <w:rPr>
                <w:b w:val="false"/>
                <w:bCs w:val="false"/>
                <w:sz w:val="15"/>
                <w:szCs w:val="15"/>
              </w:rPr>
              <w:t xml:space="preserve">Atlanta, GA</w:t>
            </w:r>
          </w:p>
        </w:tc>
        <w:tc>
          <w:tcPr>
            <w:tcW w:type="dxa" w:w="608"/>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val="false"/>
                <w:bCs w:val="false"/>
                <w:sz w:val="15"/>
                <w:szCs w:val="15"/>
              </w:rPr>
              <w:t xml:space="preserve">33,7492</w:t>
            </w:r>
          </w:p>
        </w:tc>
        <w:tc>
          <w:tcPr>
            <w:tcW w:type="dxa" w:w="748"/>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val="false"/>
                <w:bCs w:val="false"/>
                <w:sz w:val="15"/>
                <w:szCs w:val="15"/>
              </w:rPr>
              <w:t xml:space="preserve">−84,3825</w:t>
            </w:r>
          </w:p>
        </w:tc>
        <w:tc>
          <w:tcPr>
            <w:tcW w:type="dxa" w:w="655"/>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val="false"/>
                <w:bCs w:val="false"/>
                <w:sz w:val="15"/>
                <w:szCs w:val="15"/>
              </w:rPr>
              <w:t xml:space="preserve">8.424</w:t>
            </w:r>
          </w:p>
        </w:tc>
        <w:tc>
          <w:tcPr>
            <w:tcW w:type="dxa" w:w="608"/>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val="false"/>
                <w:bCs w:val="false"/>
                <w:sz w:val="15"/>
                <w:szCs w:val="15"/>
              </w:rPr>
              <w:t xml:space="preserve">4.936</w:t>
            </w:r>
          </w:p>
        </w:tc>
        <w:tc>
          <w:tcPr>
            <w:tcW w:type="dxa" w:w="608"/>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val="false"/>
                <w:bCs w:val="false"/>
                <w:sz w:val="15"/>
                <w:szCs w:val="15"/>
              </w:rPr>
              <w:t xml:space="preserve">58,6</w:t>
            </w:r>
          </w:p>
        </w:tc>
      </w:tr>
      <w:tr>
        <w:trPr>
          <w:cantSplit/>
        </w:trPr>
        <w:tc>
          <w:tcPr>
            <w:tcW w:type="dxa" w:w="281"/>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val="false"/>
                <w:bCs w:val="false"/>
                <w:sz w:val="15"/>
                <w:szCs w:val="15"/>
              </w:rPr>
              <w:t xml:space="preserve">2</w:t>
            </w:r>
          </w:p>
        </w:tc>
        <w:tc>
          <w:tcPr>
            <w:tcW w:type="dxa" w:w="1169"/>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left"/>
              <w:rPr>
                <w:sz w:val="15"/>
                <w:szCs w:val="15"/>
              </w:rPr>
            </w:pPr>
            <w:r>
              <w:rPr>
                <w:b w:val="false"/>
                <w:bCs w:val="false"/>
                <w:sz w:val="15"/>
                <w:szCs w:val="15"/>
              </w:rPr>
              <w:t xml:space="preserve">New York, NY</w:t>
            </w:r>
          </w:p>
        </w:tc>
        <w:tc>
          <w:tcPr>
            <w:tcW w:type="dxa" w:w="608"/>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val="false"/>
                <w:bCs w:val="false"/>
                <w:sz w:val="15"/>
                <w:szCs w:val="15"/>
              </w:rPr>
              <w:t xml:space="preserve">40,8409</w:t>
            </w:r>
          </w:p>
        </w:tc>
        <w:tc>
          <w:tcPr>
            <w:tcW w:type="dxa" w:w="748"/>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val="false"/>
                <w:bCs w:val="false"/>
                <w:sz w:val="15"/>
                <w:szCs w:val="15"/>
              </w:rPr>
              <w:t xml:space="preserve">−73,9342</w:t>
            </w:r>
          </w:p>
        </w:tc>
        <w:tc>
          <w:tcPr>
            <w:tcW w:type="dxa" w:w="655"/>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val="false"/>
                <w:bCs w:val="false"/>
                <w:sz w:val="15"/>
                <w:szCs w:val="15"/>
              </w:rPr>
              <w:t xml:space="preserve">13.176</w:t>
            </w:r>
          </w:p>
        </w:tc>
        <w:tc>
          <w:tcPr>
            <w:tcW w:type="dxa" w:w="608"/>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val="false"/>
                <w:bCs w:val="false"/>
                <w:sz w:val="15"/>
                <w:szCs w:val="15"/>
              </w:rPr>
              <w:t xml:space="preserve">4.894</w:t>
            </w:r>
          </w:p>
        </w:tc>
        <w:tc>
          <w:tcPr>
            <w:tcW w:type="dxa" w:w="608"/>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val="false"/>
                <w:bCs w:val="false"/>
                <w:sz w:val="15"/>
                <w:szCs w:val="15"/>
              </w:rPr>
              <w:t xml:space="preserve">37,1</w:t>
            </w:r>
          </w:p>
        </w:tc>
      </w:tr>
      <w:tr>
        <w:trPr>
          <w:cantSplit/>
        </w:trPr>
        <w:tc>
          <w:tcPr>
            <w:tcW w:type="dxa" w:w="281"/>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val="false"/>
                <w:bCs w:val="false"/>
                <w:sz w:val="15"/>
                <w:szCs w:val="15"/>
              </w:rPr>
              <w:t xml:space="preserve">3</w:t>
            </w:r>
          </w:p>
        </w:tc>
        <w:tc>
          <w:tcPr>
            <w:tcW w:type="dxa" w:w="1169"/>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left"/>
              <w:rPr>
                <w:sz w:val="15"/>
                <w:szCs w:val="15"/>
              </w:rPr>
            </w:pPr>
            <w:r>
              <w:rPr>
                <w:b w:val="false"/>
                <w:bCs w:val="false"/>
                <w:sz w:val="15"/>
                <w:szCs w:val="15"/>
              </w:rPr>
              <w:t xml:space="preserve">Atlanta, GA</w:t>
            </w:r>
          </w:p>
        </w:tc>
        <w:tc>
          <w:tcPr>
            <w:tcW w:type="dxa" w:w="608"/>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val="false"/>
                <w:bCs w:val="false"/>
                <w:sz w:val="15"/>
                <w:szCs w:val="15"/>
              </w:rPr>
              <w:t xml:space="preserve">33,7871</w:t>
            </w:r>
          </w:p>
        </w:tc>
        <w:tc>
          <w:tcPr>
            <w:tcW w:type="dxa" w:w="748"/>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val="false"/>
                <w:bCs w:val="false"/>
                <w:sz w:val="15"/>
                <w:szCs w:val="15"/>
              </w:rPr>
              <w:t xml:space="preserve">−84,3908</w:t>
            </w:r>
          </w:p>
        </w:tc>
        <w:tc>
          <w:tcPr>
            <w:tcW w:type="dxa" w:w="655"/>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val="false"/>
                <w:bCs w:val="false"/>
                <w:sz w:val="15"/>
                <w:szCs w:val="15"/>
              </w:rPr>
              <w:t xml:space="preserve">7.606</w:t>
            </w:r>
          </w:p>
        </w:tc>
        <w:tc>
          <w:tcPr>
            <w:tcW w:type="dxa" w:w="608"/>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val="false"/>
                <w:bCs w:val="false"/>
                <w:sz w:val="15"/>
                <w:szCs w:val="15"/>
              </w:rPr>
              <w:t xml:space="preserve">3.999</w:t>
            </w:r>
          </w:p>
        </w:tc>
        <w:tc>
          <w:tcPr>
            <w:tcW w:type="dxa" w:w="608"/>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val="false"/>
                <w:bCs w:val="false"/>
                <w:sz w:val="15"/>
                <w:szCs w:val="15"/>
              </w:rPr>
              <w:t xml:space="preserve">52,6</w:t>
            </w:r>
          </w:p>
        </w:tc>
      </w:tr>
      <w:tr>
        <w:trPr>
          <w:cantSplit/>
        </w:trPr>
        <w:tc>
          <w:tcPr>
            <w:tcW w:type="dxa" w:w="281"/>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val="false"/>
                <w:bCs w:val="false"/>
                <w:sz w:val="15"/>
                <w:szCs w:val="15"/>
              </w:rPr>
              <w:t xml:space="preserve">4</w:t>
            </w:r>
          </w:p>
        </w:tc>
        <w:tc>
          <w:tcPr>
            <w:tcW w:type="dxa" w:w="1169"/>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left"/>
              <w:rPr>
                <w:sz w:val="15"/>
                <w:szCs w:val="15"/>
              </w:rPr>
            </w:pPr>
            <w:r>
              <w:rPr>
                <w:b w:val="false"/>
                <w:bCs w:val="false"/>
                <w:sz w:val="15"/>
                <w:szCs w:val="15"/>
              </w:rPr>
              <w:t xml:space="preserve">Los Angeles, CA</w:t>
            </w:r>
          </w:p>
        </w:tc>
        <w:tc>
          <w:tcPr>
            <w:tcW w:type="dxa" w:w="608"/>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val="false"/>
                <w:bCs w:val="false"/>
                <w:sz w:val="15"/>
                <w:szCs w:val="15"/>
              </w:rPr>
              <w:t xml:space="preserve">34,0251</w:t>
            </w:r>
          </w:p>
        </w:tc>
        <w:tc>
          <w:tcPr>
            <w:tcW w:type="dxa" w:w="748"/>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val="false"/>
                <w:bCs w:val="false"/>
                <w:sz w:val="15"/>
                <w:szCs w:val="15"/>
              </w:rPr>
              <w:t xml:space="preserve">−118,2715</w:t>
            </w:r>
          </w:p>
        </w:tc>
        <w:tc>
          <w:tcPr>
            <w:tcW w:type="dxa" w:w="655"/>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val="false"/>
                <w:bCs w:val="false"/>
                <w:sz w:val="15"/>
                <w:szCs w:val="15"/>
              </w:rPr>
              <w:t xml:space="preserve">10.540</w:t>
            </w:r>
          </w:p>
        </w:tc>
        <w:tc>
          <w:tcPr>
            <w:tcW w:type="dxa" w:w="608"/>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val="false"/>
                <w:bCs w:val="false"/>
                <w:sz w:val="15"/>
                <w:szCs w:val="15"/>
              </w:rPr>
              <w:t xml:space="preserve">3.969</w:t>
            </w:r>
          </w:p>
        </w:tc>
        <w:tc>
          <w:tcPr>
            <w:tcW w:type="dxa" w:w="608"/>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val="false"/>
                <w:bCs w:val="false"/>
                <w:sz w:val="15"/>
                <w:szCs w:val="15"/>
              </w:rPr>
              <w:t xml:space="preserve">37,7</w:t>
            </w:r>
          </w:p>
        </w:tc>
      </w:tr>
      <w:tr>
        <w:trPr>
          <w:cantSplit/>
        </w:trPr>
        <w:tc>
          <w:tcPr>
            <w:tcW w:type="dxa" w:w="281"/>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val="false"/>
              <w:keepLines/>
              <w:jc w:val="center"/>
              <w:rPr>
                <w:sz w:val="15"/>
                <w:szCs w:val="15"/>
              </w:rPr>
            </w:pPr>
            <w:r>
              <w:rPr>
                <w:b w:val="false"/>
                <w:bCs w:val="false"/>
                <w:sz w:val="15"/>
                <w:szCs w:val="15"/>
              </w:rPr>
              <w:t xml:space="preserve">5</w:t>
            </w:r>
          </w:p>
        </w:tc>
        <w:tc>
          <w:tcPr>
            <w:tcW w:type="dxa" w:w="1169"/>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val="false"/>
              <w:keepLines/>
              <w:jc w:val="left"/>
              <w:rPr>
                <w:sz w:val="15"/>
                <w:szCs w:val="15"/>
              </w:rPr>
            </w:pPr>
            <w:r>
              <w:rPr>
                <w:b w:val="false"/>
                <w:bCs w:val="false"/>
                <w:sz w:val="15"/>
                <w:szCs w:val="15"/>
              </w:rPr>
              <w:t xml:space="preserve">Dallas, TX</w:t>
            </w:r>
          </w:p>
        </w:tc>
        <w:tc>
          <w:tcPr>
            <w:tcW w:type="dxa" w:w="608"/>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val="false"/>
              <w:keepLines/>
              <w:jc w:val="center"/>
              <w:rPr>
                <w:sz w:val="15"/>
                <w:szCs w:val="15"/>
              </w:rPr>
            </w:pPr>
            <w:r>
              <w:rPr>
                <w:b w:val="false"/>
                <w:bCs w:val="false"/>
                <w:sz w:val="15"/>
                <w:szCs w:val="15"/>
              </w:rPr>
              <w:t xml:space="preserve">32,7808</w:t>
            </w:r>
          </w:p>
        </w:tc>
        <w:tc>
          <w:tcPr>
            <w:tcW w:type="dxa" w:w="748"/>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val="false"/>
              <w:keepLines/>
              <w:jc w:val="center"/>
              <w:rPr>
                <w:sz w:val="15"/>
                <w:szCs w:val="15"/>
              </w:rPr>
            </w:pPr>
            <w:r>
              <w:rPr>
                <w:b w:val="false"/>
                <w:bCs w:val="false"/>
                <w:sz w:val="15"/>
                <w:szCs w:val="15"/>
              </w:rPr>
              <w:t xml:space="preserve">−96,8033</w:t>
            </w:r>
          </w:p>
        </w:tc>
        <w:tc>
          <w:tcPr>
            <w:tcW w:type="dxa" w:w="655"/>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val="false"/>
              <w:keepLines/>
              <w:jc w:val="center"/>
              <w:rPr>
                <w:sz w:val="15"/>
                <w:szCs w:val="15"/>
              </w:rPr>
            </w:pPr>
            <w:r>
              <w:rPr>
                <w:b w:val="false"/>
                <w:bCs w:val="false"/>
                <w:sz w:val="15"/>
                <w:szCs w:val="15"/>
              </w:rPr>
              <w:t xml:space="preserve">10.787</w:t>
            </w:r>
          </w:p>
        </w:tc>
        <w:tc>
          <w:tcPr>
            <w:tcW w:type="dxa" w:w="608"/>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val="false"/>
              <w:keepLines/>
              <w:jc w:val="center"/>
              <w:rPr>
                <w:sz w:val="15"/>
                <w:szCs w:val="15"/>
              </w:rPr>
            </w:pPr>
            <w:r>
              <w:rPr>
                <w:b w:val="false"/>
                <w:bCs w:val="false"/>
                <w:sz w:val="15"/>
                <w:szCs w:val="15"/>
              </w:rPr>
              <w:t xml:space="preserve">3.378</w:t>
            </w:r>
          </w:p>
        </w:tc>
        <w:tc>
          <w:tcPr>
            <w:tcW w:type="dxa" w:w="608"/>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val="false"/>
              <w:keepLines/>
              <w:jc w:val="center"/>
              <w:rPr>
                <w:sz w:val="15"/>
                <w:szCs w:val="15"/>
              </w:rPr>
            </w:pPr>
            <w:r>
              <w:rPr>
                <w:b w:val="false"/>
                <w:bCs w:val="false"/>
                <w:sz w:val="15"/>
                <w:szCs w:val="15"/>
              </w:rPr>
              <w:t xml:space="preserve">31,3</w:t>
            </w:r>
          </w:p>
        </w:tc>
      </w:tr>
    </w:tbl>
    <w:p>
      <w:pPr>
        <w:spacing w:after="60"/>
      </w:pPr>
      <w:r>
        <w:rPr>
          <w:sz w:val="12"/>
          <w:szCs w:val="12"/>
        </w:rPr>
        <w:t xml:space="preserve"/>
      </w:r>
    </w:p>
    <w:p>
      <w:pPr>
        <w:ind w:firstLine="284"/>
        <w:jc w:val="both"/>
      </w:pPr>
      <w:r>
        <w:t xml:space="preserve">Atlanta aparece dos veces, con centros a más de 4 km entre sí, y es donde más pesa la gravedad: el 58,6 % de los siniestros del primer punto son graves, frente a valores de entre el 31 % y el 38 % en Nueva York, Los Ángeles y Dallas, que tienen más siniestros en total. El criterio condiciona el orden: entre estos cinco puntos, el de Nueva York es el de más siniestros (13.176) y el de mayor índice ponderado.</w:t>
      </w:r>
    </w:p>
    <w:p>
      <w:pPr>
        <w:keepNext/>
        <w:spacing w:after="120" w:before="120"/>
      </w:pPr>
      <w:r>
        <w:rPr>
          <w:b/>
          <w:bCs/>
          <w:sz w:val="22"/>
          <w:szCs w:val="22"/>
        </w:rPr>
        <w:t xml:space="preserve">3.3. Distancia y duración por severidad (C5)</w:t>
      </w:r>
    </w:p>
    <w:p>
      <w:pPr>
        <w:ind w:firstLine="284"/>
        <w:jc w:val="both"/>
      </w:pPr>
      <w:r>
        <w:t xml:space="preserve">La distancia entre el punto de inicio y el de fin se calculó con la fórmula de Haversine, y solo puede obtenerse donde hay coordenadas de fin. Esa cobertura varía mucho con la severidad, del 12,4 % en el nivel 3 al 93,0 % en el nivel 4, de modo que los promedios de distancia de la Tabla 3 no se calculan sobre poblaciones comparables. Con esa salvedad, la distancia media va de 0,32 km en el nivel 1 a 2,02 km en el nivel 4.</w:t>
      </w:r>
    </w:p>
    <w:p>
      <w:pPr>
        <w:ind w:firstLine="284"/>
        <w:jc w:val="both"/>
      </w:pPr>
      <w:r>
        <w:t xml:space="preserve">La duración (fin menos inicio) tiene valores extremos: 6.824 filas, el 0,09 % del total, presentan duraciones negativas o superiores a siete días, entre ellas siniestros que figuran abiertos durante meses. Esas pocas filas bastan para llevar la media del nivel 2 de 122,6 a 485,4 minutos, y la del nivel 4, de 217,6 a 1.685,3. Por eso se informan tres medidas: la media sobre todas las filas, que es la que pide la consulta; la media acotada, que excluye esas filas, y la mediana. Las dos medidas robustas coinciden en que los siniestros de nivel 4 son los que más tardan en despejarse (mediana de 128,4 minutos) y en que los de nivel 3 se resuelven tan rápido como los de nivel 1 (medianas de 44,4 y 44,8 minutos).</w:t>
      </w:r>
    </w:p>
    <w:p>
      <w:pPr>
        <w:keepNext/>
        <w:keepLines/>
        <w:spacing w:after="60" w:before="160"/>
        <w:jc w:val="center"/>
      </w:pPr>
      <w:r>
        <w:rPr>
          <w:rFonts w:ascii="Arial" w:cs="Arial" w:eastAsia="Arial" w:hAnsi="Arial"/>
          <w:b/>
          <w:bCs/>
          <w:sz w:val="18"/>
          <w:szCs w:val="18"/>
        </w:rPr>
        <w:t xml:space="preserve">Tabla 3. Distancia y duración por nivel de severidad.</w:t>
      </w:r>
    </w:p>
    <w:tbl>
      <w:tblPr>
        <w:tblW w:type="dxa" w:w="4677"/>
        <w:jc w:val="center"/>
        <w:tblBorders>
          <w:top w:val="single" w:color="auto" w:sz="4"/>
          <w:left w:val="single" w:color="auto" w:sz="4"/>
          <w:bottom w:val="single" w:color="auto" w:sz="4"/>
          <w:right w:val="single" w:color="auto" w:sz="4"/>
          <w:insideH w:val="single" w:color="auto" w:sz="4"/>
          <w:insideV w:val="single" w:color="auto" w:sz="4"/>
        </w:tblBorders>
      </w:tblPr>
      <w:tblGrid>
        <w:gridCol w:w="374"/>
        <w:gridCol w:w="842"/>
        <w:gridCol w:w="608"/>
        <w:gridCol w:w="561"/>
        <w:gridCol w:w="748"/>
        <w:gridCol w:w="748"/>
        <w:gridCol w:w="796"/>
      </w:tblGrid>
      <w:tr>
        <w:trPr>
          <w:cantSplit/>
          <w:tblHeader/>
        </w:trPr>
        <w:tc>
          <w:tcPr>
            <w:tcW w:type="dxa" w:w="374"/>
            <w:vMerge w:val="restart"/>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bCs/>
                <w:sz w:val="15"/>
                <w:szCs w:val="15"/>
              </w:rPr>
              <w:t xml:space="preserve">Sev.</w:t>
            </w:r>
          </w:p>
        </w:tc>
        <w:tc>
          <w:tcPr>
            <w:tcW w:type="dxa" w:w="842"/>
            <w:vMerge w:val="restart"/>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bCs/>
                <w:sz w:val="15"/>
                <w:szCs w:val="15"/>
              </w:rPr>
              <w:t xml:space="preserve">Siniestros</w:t>
            </w:r>
          </w:p>
        </w:tc>
        <w:tc>
          <w:tcPr>
            <w:tcW w:type="dxa" w:w="608"/>
            <w:vMerge w:val="restart"/>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bCs/>
                <w:sz w:val="15"/>
                <w:szCs w:val="15"/>
              </w:rPr>
              <w:t xml:space="preserve">Con fin (%)</w:t>
            </w:r>
          </w:p>
        </w:tc>
        <w:tc>
          <w:tcPr>
            <w:tcW w:type="dxa" w:w="561"/>
            <w:vMerge w:val="restart"/>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bCs/>
                <w:sz w:val="15"/>
                <w:szCs w:val="15"/>
              </w:rPr>
              <w:t xml:space="preserve">Dist. (km)</w:t>
            </w:r>
          </w:p>
        </w:tc>
        <w:tc>
          <w:tcPr>
            <w:tcW w:type="dxa" w:w="2292"/>
            <w:gridSpan w:val="3"/>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bCs/>
                <w:sz w:val="15"/>
                <w:szCs w:val="15"/>
              </w:rPr>
              <w:t xml:space="preserve">Duración (min)</w:t>
            </w:r>
          </w:p>
        </w:tc>
      </w:tr>
      <w:tr>
        <w:trPr>
          <w:cantSplit/>
          <w:tblHeader/>
        </w:trPr>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vMerge w:val="continue"/>
            <w:tcBorders>
              <w:top w:val="single" w:color="000000" w:sz="4"/>
              <w:left w:val="single" w:color="000000" w:sz="4"/>
              <w:bottom w:val="single" w:color="000000" w:sz="4"/>
              <w:right w:val="single" w:color="000000" w:sz="4"/>
            </w:tcBorders>
          </w:tcPr>
          <w:p/>
        </w:tc>
        <w:tc>
          <w:tcPr>
            <w:tcW w:type="dxa" w:w="748"/>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bCs/>
                <w:sz w:val="15"/>
                <w:szCs w:val="15"/>
              </w:rPr>
              <w:t xml:space="preserve">Media</w:t>
            </w:r>
          </w:p>
        </w:tc>
        <w:tc>
          <w:tcPr>
            <w:tcW w:type="dxa" w:w="748"/>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bCs/>
                <w:sz w:val="15"/>
                <w:szCs w:val="15"/>
              </w:rPr>
              <w:t xml:space="preserve">Acotada</w:t>
            </w:r>
          </w:p>
        </w:tc>
        <w:tc>
          <w:tcPr>
            <w:tcW w:type="dxa" w:w="796"/>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bCs/>
                <w:sz w:val="15"/>
                <w:szCs w:val="15"/>
              </w:rPr>
              <w:t xml:space="preserve">Mediana</w:t>
            </w:r>
          </w:p>
        </w:tc>
      </w:tr>
      <w:tr>
        <w:trPr>
          <w:cantSplit/>
        </w:trPr>
        <w:tc>
          <w:tcPr>
            <w:tcW w:type="dxa" w:w="374"/>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val="false"/>
                <w:bCs w:val="false"/>
                <w:sz w:val="15"/>
                <w:szCs w:val="15"/>
              </w:rPr>
              <w:t xml:space="preserve">1</w:t>
            </w:r>
          </w:p>
        </w:tc>
        <w:tc>
          <w:tcPr>
            <w:tcW w:type="dxa" w:w="842"/>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val="false"/>
                <w:bCs w:val="false"/>
                <w:sz w:val="15"/>
                <w:szCs w:val="15"/>
              </w:rPr>
              <w:t xml:space="preserve">67.366</w:t>
            </w:r>
          </w:p>
        </w:tc>
        <w:tc>
          <w:tcPr>
            <w:tcW w:type="dxa" w:w="608"/>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val="false"/>
                <w:bCs w:val="false"/>
                <w:sz w:val="15"/>
                <w:szCs w:val="15"/>
              </w:rPr>
              <w:t xml:space="preserve">41,9</w:t>
            </w:r>
          </w:p>
        </w:tc>
        <w:tc>
          <w:tcPr>
            <w:tcW w:type="dxa" w:w="561"/>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val="false"/>
                <w:bCs w:val="false"/>
                <w:sz w:val="15"/>
                <w:szCs w:val="15"/>
              </w:rPr>
              <w:t xml:space="preserve">0,32</w:t>
            </w:r>
          </w:p>
        </w:tc>
        <w:tc>
          <w:tcPr>
            <w:tcW w:type="dxa" w:w="748"/>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val="false"/>
                <w:bCs w:val="false"/>
                <w:sz w:val="15"/>
                <w:szCs w:val="15"/>
              </w:rPr>
              <w:t xml:space="preserve">53,8</w:t>
            </w:r>
          </w:p>
        </w:tc>
        <w:tc>
          <w:tcPr>
            <w:tcW w:type="dxa" w:w="748"/>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val="false"/>
                <w:bCs w:val="false"/>
                <w:sz w:val="15"/>
                <w:szCs w:val="15"/>
              </w:rPr>
              <w:t xml:space="preserve">46,0</w:t>
            </w:r>
          </w:p>
        </w:tc>
        <w:tc>
          <w:tcPr>
            <w:tcW w:type="dxa" w:w="796"/>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val="false"/>
                <w:bCs w:val="false"/>
                <w:sz w:val="15"/>
                <w:szCs w:val="15"/>
              </w:rPr>
              <w:t xml:space="preserve">44,8</w:t>
            </w:r>
          </w:p>
        </w:tc>
      </w:tr>
      <w:tr>
        <w:trPr>
          <w:cantSplit/>
        </w:trPr>
        <w:tc>
          <w:tcPr>
            <w:tcW w:type="dxa" w:w="374"/>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val="false"/>
                <w:bCs w:val="false"/>
                <w:sz w:val="15"/>
                <w:szCs w:val="15"/>
              </w:rPr>
              <w:t xml:space="preserve">2</w:t>
            </w:r>
          </w:p>
        </w:tc>
        <w:tc>
          <w:tcPr>
            <w:tcW w:type="dxa" w:w="842"/>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val="false"/>
                <w:bCs w:val="false"/>
                <w:sz w:val="15"/>
                <w:szCs w:val="15"/>
              </w:rPr>
              <w:t xml:space="preserve">6.156.981</w:t>
            </w:r>
          </w:p>
        </w:tc>
        <w:tc>
          <w:tcPr>
            <w:tcW w:type="dxa" w:w="608"/>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val="false"/>
                <w:bCs w:val="false"/>
                <w:sz w:val="15"/>
                <w:szCs w:val="15"/>
              </w:rPr>
              <w:t xml:space="preserve">64,1</w:t>
            </w:r>
          </w:p>
        </w:tc>
        <w:tc>
          <w:tcPr>
            <w:tcW w:type="dxa" w:w="561"/>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val="false"/>
                <w:bCs w:val="false"/>
                <w:sz w:val="15"/>
                <w:szCs w:val="15"/>
              </w:rPr>
              <w:t xml:space="preserve">1,34</w:t>
            </w:r>
          </w:p>
        </w:tc>
        <w:tc>
          <w:tcPr>
            <w:tcW w:type="dxa" w:w="748"/>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val="false"/>
                <w:bCs w:val="false"/>
                <w:sz w:val="15"/>
                <w:szCs w:val="15"/>
              </w:rPr>
              <w:t xml:space="preserve">485,4</w:t>
            </w:r>
          </w:p>
        </w:tc>
        <w:tc>
          <w:tcPr>
            <w:tcW w:type="dxa" w:w="748"/>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val="false"/>
                <w:bCs w:val="false"/>
                <w:sz w:val="15"/>
                <w:szCs w:val="15"/>
              </w:rPr>
              <w:t xml:space="preserve">122,6</w:t>
            </w:r>
          </w:p>
        </w:tc>
        <w:tc>
          <w:tcPr>
            <w:tcW w:type="dxa" w:w="796"/>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val="false"/>
                <w:bCs w:val="false"/>
                <w:sz w:val="15"/>
                <w:szCs w:val="15"/>
              </w:rPr>
              <w:t xml:space="preserve">77,6</w:t>
            </w:r>
          </w:p>
        </w:tc>
      </w:tr>
      <w:tr>
        <w:trPr>
          <w:cantSplit/>
        </w:trPr>
        <w:tc>
          <w:tcPr>
            <w:tcW w:type="dxa" w:w="374"/>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val="false"/>
                <w:bCs w:val="false"/>
                <w:sz w:val="15"/>
                <w:szCs w:val="15"/>
              </w:rPr>
              <w:t xml:space="preserve">3</w:t>
            </w:r>
          </w:p>
        </w:tc>
        <w:tc>
          <w:tcPr>
            <w:tcW w:type="dxa" w:w="842"/>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val="false"/>
                <w:bCs w:val="false"/>
                <w:sz w:val="15"/>
                <w:szCs w:val="15"/>
              </w:rPr>
              <w:t xml:space="preserve">1.299.337</w:t>
            </w:r>
          </w:p>
        </w:tc>
        <w:tc>
          <w:tcPr>
            <w:tcW w:type="dxa" w:w="608"/>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val="false"/>
                <w:bCs w:val="false"/>
                <w:sz w:val="15"/>
                <w:szCs w:val="15"/>
              </w:rPr>
              <w:t xml:space="preserve">12,4</w:t>
            </w:r>
          </w:p>
        </w:tc>
        <w:tc>
          <w:tcPr>
            <w:tcW w:type="dxa" w:w="561"/>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val="false"/>
                <w:bCs w:val="false"/>
                <w:sz w:val="15"/>
                <w:szCs w:val="15"/>
              </w:rPr>
              <w:t xml:space="preserve">0,97</w:t>
            </w:r>
          </w:p>
        </w:tc>
        <w:tc>
          <w:tcPr>
            <w:tcW w:type="dxa" w:w="748"/>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val="false"/>
                <w:bCs w:val="false"/>
                <w:sz w:val="15"/>
                <w:szCs w:val="15"/>
              </w:rPr>
              <w:t xml:space="preserve">74,8</w:t>
            </w:r>
          </w:p>
        </w:tc>
        <w:tc>
          <w:tcPr>
            <w:tcW w:type="dxa" w:w="748"/>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val="false"/>
                <w:bCs w:val="false"/>
                <w:sz w:val="15"/>
                <w:szCs w:val="15"/>
              </w:rPr>
              <w:t xml:space="preserve">68,5</w:t>
            </w:r>
          </w:p>
        </w:tc>
        <w:tc>
          <w:tcPr>
            <w:tcW w:type="dxa" w:w="796"/>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val="false"/>
                <w:bCs w:val="false"/>
                <w:sz w:val="15"/>
                <w:szCs w:val="15"/>
              </w:rPr>
              <w:t xml:space="preserve">44,4</w:t>
            </w:r>
          </w:p>
        </w:tc>
      </w:tr>
      <w:tr>
        <w:trPr>
          <w:cantSplit/>
        </w:trPr>
        <w:tc>
          <w:tcPr>
            <w:tcW w:type="dxa" w:w="374"/>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val="false"/>
              <w:keepLines/>
              <w:jc w:val="center"/>
              <w:rPr>
                <w:sz w:val="15"/>
                <w:szCs w:val="15"/>
              </w:rPr>
            </w:pPr>
            <w:r>
              <w:rPr>
                <w:b w:val="false"/>
                <w:bCs w:val="false"/>
                <w:sz w:val="15"/>
                <w:szCs w:val="15"/>
              </w:rPr>
              <w:t xml:space="preserve">4</w:t>
            </w:r>
          </w:p>
        </w:tc>
        <w:tc>
          <w:tcPr>
            <w:tcW w:type="dxa" w:w="842"/>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val="false"/>
              <w:keepLines/>
              <w:jc w:val="center"/>
              <w:rPr>
                <w:sz w:val="15"/>
                <w:szCs w:val="15"/>
              </w:rPr>
            </w:pPr>
            <w:r>
              <w:rPr>
                <w:b w:val="false"/>
                <w:bCs w:val="false"/>
                <w:sz w:val="15"/>
                <w:szCs w:val="15"/>
              </w:rPr>
              <w:t xml:space="preserve">204.710</w:t>
            </w:r>
          </w:p>
        </w:tc>
        <w:tc>
          <w:tcPr>
            <w:tcW w:type="dxa" w:w="608"/>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val="false"/>
              <w:keepLines/>
              <w:jc w:val="center"/>
              <w:rPr>
                <w:sz w:val="15"/>
                <w:szCs w:val="15"/>
              </w:rPr>
            </w:pPr>
            <w:r>
              <w:rPr>
                <w:b w:val="false"/>
                <w:bCs w:val="false"/>
                <w:sz w:val="15"/>
                <w:szCs w:val="15"/>
              </w:rPr>
              <w:t xml:space="preserve">93,0</w:t>
            </w:r>
          </w:p>
        </w:tc>
        <w:tc>
          <w:tcPr>
            <w:tcW w:type="dxa" w:w="561"/>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val="false"/>
              <w:keepLines/>
              <w:jc w:val="center"/>
              <w:rPr>
                <w:sz w:val="15"/>
                <w:szCs w:val="15"/>
              </w:rPr>
            </w:pPr>
            <w:r>
              <w:rPr>
                <w:b w:val="false"/>
                <w:bCs w:val="false"/>
                <w:sz w:val="15"/>
                <w:szCs w:val="15"/>
              </w:rPr>
              <w:t xml:space="preserve">2,02</w:t>
            </w:r>
          </w:p>
        </w:tc>
        <w:tc>
          <w:tcPr>
            <w:tcW w:type="dxa" w:w="748"/>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val="false"/>
              <w:keepLines/>
              <w:jc w:val="center"/>
              <w:rPr>
                <w:sz w:val="15"/>
                <w:szCs w:val="15"/>
              </w:rPr>
            </w:pPr>
            <w:r>
              <w:rPr>
                <w:b w:val="false"/>
                <w:bCs w:val="false"/>
                <w:sz w:val="15"/>
                <w:szCs w:val="15"/>
              </w:rPr>
              <w:t xml:space="preserve">1.685,3</w:t>
            </w:r>
          </w:p>
        </w:tc>
        <w:tc>
          <w:tcPr>
            <w:tcW w:type="dxa" w:w="748"/>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val="false"/>
              <w:keepLines/>
              <w:jc w:val="center"/>
              <w:rPr>
                <w:sz w:val="15"/>
                <w:szCs w:val="15"/>
              </w:rPr>
            </w:pPr>
            <w:r>
              <w:rPr>
                <w:b w:val="false"/>
                <w:bCs w:val="false"/>
                <w:sz w:val="15"/>
                <w:szCs w:val="15"/>
              </w:rPr>
              <w:t xml:space="preserve">217,6</w:t>
            </w:r>
          </w:p>
        </w:tc>
        <w:tc>
          <w:tcPr>
            <w:tcW w:type="dxa" w:w="796"/>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val="false"/>
              <w:keepLines/>
              <w:jc w:val="center"/>
              <w:rPr>
                <w:sz w:val="15"/>
                <w:szCs w:val="15"/>
              </w:rPr>
            </w:pPr>
            <w:r>
              <w:rPr>
                <w:b w:val="false"/>
                <w:bCs w:val="false"/>
                <w:sz w:val="15"/>
                <w:szCs w:val="15"/>
              </w:rPr>
              <w:t xml:space="preserve">128,4</w:t>
            </w:r>
          </w:p>
        </w:tc>
      </w:tr>
    </w:tbl>
    <w:p>
      <w:pPr>
        <w:spacing w:after="60"/>
      </w:pPr>
      <w:r>
        <w:rPr>
          <w:sz w:val="12"/>
          <w:szCs w:val="12"/>
        </w:rPr>
        <w:t xml:space="preserve"/>
      </w:r>
    </w:p>
    <w:p>
      <w:pPr>
        <w:keepNext/>
        <w:spacing w:after="120" w:before="120"/>
      </w:pPr>
      <w:r>
        <w:rPr>
          <w:b/>
          <w:bCs/>
          <w:sz w:val="22"/>
          <w:szCs w:val="22"/>
        </w:rPr>
        <w:t xml:space="preserve">3.4. Intersecciones a partir del texto (C9)</w:t>
      </w:r>
    </w:p>
    <w:p>
      <w:pPr>
        <w:ind w:firstLine="284"/>
        <w:jc w:val="both"/>
      </w:pPr>
      <w:r>
        <w:t xml:space="preserve">La consulta propone identificar intersecciones buscando las expresiones </w:t>
      </w:r>
      <w:r>
        <w:rPr>
          <w:i/>
          <w:iCs/>
        </w:rPr>
        <w:t xml:space="preserve">and</w:t>
      </w:r>
      <w:r>
        <w:t xml:space="preserve">, </w:t>
      </w:r>
      <w:r>
        <w:rPr>
          <w:i/>
          <w:iCs/>
        </w:rPr>
        <w:t xml:space="preserve">&amp;</w:t>
      </w:r>
      <w:r>
        <w:t xml:space="preserve"> y </w:t>
      </w:r>
      <w:r>
        <w:rPr>
          <w:i/>
          <w:iCs/>
        </w:rPr>
        <w:t xml:space="preserve">corner</w:t>
      </w:r>
      <w:r>
        <w:t xml:space="preserve"> en la calle y en la descripción. Antes de adoptarlas se midió qué indican en este conjunto (Tabla 4). La palabra </w:t>
      </w:r>
      <w:r>
        <w:rPr>
          <w:i/>
          <w:iCs/>
        </w:rPr>
        <w:t xml:space="preserve">and</w:t>
      </w:r>
      <w:r>
        <w:t xml:space="preserve"> aparece en el 6,06 % de las filas, pero más de la mitad de ellas describen tramos (</w:t>
      </w:r>
      <w:r>
        <w:rPr>
          <w:i/>
          <w:iCs/>
        </w:rPr>
        <w:t xml:space="preserve">between A and B</w:t>
      </w:r>
      <w:r>
        <w:t xml:space="preserve">) y el resto incluye frases como </w:t>
      </w:r>
      <w:r>
        <w:rPr>
          <w:i/>
          <w:iCs/>
        </w:rPr>
        <w:t xml:space="preserve">lane blocked and shoulder blocked</w:t>
      </w:r>
      <w:r>
        <w:t xml:space="preserve">. El signo </w:t>
      </w:r>
      <w:r>
        <w:rPr>
          <w:i/>
          <w:iCs/>
        </w:rPr>
        <w:t xml:space="preserve">&amp;</w:t>
      </w:r>
      <w:r>
        <w:t xml:space="preserve"> aparece, por ejemplo, en la numeración de carriles, y </w:t>
      </w:r>
      <w:r>
        <w:rPr>
          <w:i/>
          <w:iCs/>
        </w:rPr>
        <w:t xml:space="preserve">corner</w:t>
      </w:r>
      <w:r>
        <w:t xml:space="preserve">, como parte de nombres de calles. De las 489.651 filas con alguno de los tres patrones, solo 57.640 quedan ubicadas en un cruce.</w:t>
      </w:r>
    </w:p>
    <w:p>
      <w:pPr>
        <w:keepNext/>
        <w:keepLines/>
        <w:spacing w:after="60" w:before="160"/>
        <w:jc w:val="center"/>
      </w:pPr>
      <w:r>
        <w:rPr>
          <w:rFonts w:ascii="Arial" w:cs="Arial" w:eastAsia="Arial" w:hAnsi="Arial"/>
          <w:b/>
          <w:bCs/>
          <w:sz w:val="18"/>
          <w:szCs w:val="18"/>
        </w:rPr>
        <w:t xml:space="preserve">Tabla 4. Frecuencia de los patrones sugeridos por la consulta.</w:t>
      </w:r>
    </w:p>
    <w:tbl>
      <w:tblPr>
        <w:tblW w:type="dxa" w:w="4677"/>
        <w:jc w:val="center"/>
        <w:tblBorders>
          <w:top w:val="single" w:color="auto" w:sz="4"/>
          <w:left w:val="single" w:color="auto" w:sz="4"/>
          <w:bottom w:val="single" w:color="auto" w:sz="4"/>
          <w:right w:val="single" w:color="auto" w:sz="4"/>
          <w:insideH w:val="single" w:color="auto" w:sz="4"/>
          <w:insideV w:val="single" w:color="auto" w:sz="4"/>
        </w:tblBorders>
      </w:tblPr>
      <w:tblGrid>
        <w:gridCol w:w="2619"/>
        <w:gridCol w:w="1029"/>
        <w:gridCol w:w="1029"/>
      </w:tblGrid>
      <w:tr>
        <w:trPr>
          <w:cantSplit/>
          <w:tblHeader/>
        </w:trPr>
        <w:tc>
          <w:tcPr>
            <w:tcW w:type="dxa" w:w="2619"/>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6"/>
                <w:szCs w:val="16"/>
              </w:rPr>
            </w:pPr>
            <w:r>
              <w:rPr>
                <w:b/>
                <w:bCs/>
                <w:sz w:val="16"/>
                <w:szCs w:val="16"/>
              </w:rPr>
              <w:t xml:space="preserve">Patrón</w:t>
            </w:r>
          </w:p>
        </w:tc>
        <w:tc>
          <w:tcPr>
            <w:tcW w:type="dxa" w:w="1029"/>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6"/>
                <w:szCs w:val="16"/>
              </w:rPr>
            </w:pPr>
            <w:r>
              <w:rPr>
                <w:b/>
                <w:bCs/>
                <w:sz w:val="16"/>
                <w:szCs w:val="16"/>
              </w:rPr>
              <w:t xml:space="preserve">Filas</w:t>
            </w:r>
          </w:p>
        </w:tc>
        <w:tc>
          <w:tcPr>
            <w:tcW w:type="dxa" w:w="1029"/>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6"/>
                <w:szCs w:val="16"/>
              </w:rPr>
            </w:pPr>
            <w:r>
              <w:rPr>
                <w:b/>
                <w:bCs/>
                <w:sz w:val="16"/>
                <w:szCs w:val="16"/>
              </w:rPr>
              <w:t xml:space="preserve">% del total</w:t>
            </w:r>
          </w:p>
        </w:tc>
      </w:tr>
      <w:tr>
        <w:trPr>
          <w:cantSplit/>
        </w:trPr>
        <w:tc>
          <w:tcPr>
            <w:tcW w:type="dxa" w:w="2619"/>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left"/>
              <w:rPr>
                <w:sz w:val="16"/>
                <w:szCs w:val="16"/>
              </w:rPr>
            </w:pPr>
            <w:r>
              <w:rPr>
                <w:b w:val="false"/>
                <w:bCs w:val="false"/>
                <w:sz w:val="16"/>
                <w:szCs w:val="16"/>
              </w:rPr>
              <w:t xml:space="preserve">Contiene </w:t>
            </w:r>
            <w:r>
              <w:rPr>
                <w:b w:val="false"/>
                <w:bCs w:val="false"/>
                <w:i/>
                <w:iCs/>
                <w:sz w:val="16"/>
                <w:szCs w:val="16"/>
              </w:rPr>
              <w:t xml:space="preserve">and</w:t>
            </w:r>
          </w:p>
        </w:tc>
        <w:tc>
          <w:tcPr>
            <w:tcW w:type="dxa" w:w="1029"/>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6"/>
                <w:szCs w:val="16"/>
              </w:rPr>
            </w:pPr>
            <w:r>
              <w:rPr>
                <w:b w:val="false"/>
                <w:bCs w:val="false"/>
                <w:sz w:val="16"/>
                <w:szCs w:val="16"/>
              </w:rPr>
              <w:t xml:space="preserve">468.451</w:t>
            </w:r>
          </w:p>
        </w:tc>
        <w:tc>
          <w:tcPr>
            <w:tcW w:type="dxa" w:w="1029"/>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6"/>
                <w:szCs w:val="16"/>
              </w:rPr>
            </w:pPr>
            <w:r>
              <w:rPr>
                <w:b w:val="false"/>
                <w:bCs w:val="false"/>
                <w:sz w:val="16"/>
                <w:szCs w:val="16"/>
              </w:rPr>
              <w:t xml:space="preserve">6,06</w:t>
            </w:r>
          </w:p>
        </w:tc>
      </w:tr>
      <w:tr>
        <w:trPr>
          <w:cantSplit/>
        </w:trPr>
        <w:tc>
          <w:tcPr>
            <w:tcW w:type="dxa" w:w="2619"/>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left"/>
              <w:rPr>
                <w:sz w:val="16"/>
                <w:szCs w:val="16"/>
              </w:rPr>
            </w:pPr>
            <w:r>
              <w:rPr>
                <w:b w:val="false"/>
                <w:bCs w:val="false"/>
                <w:sz w:val="16"/>
                <w:szCs w:val="16"/>
              </w:rPr>
              <w:t xml:space="preserve">   de ellas, tramos (</w:t>
            </w:r>
            <w:r>
              <w:rPr>
                <w:b w:val="false"/>
                <w:bCs w:val="false"/>
                <w:i/>
                <w:iCs/>
                <w:sz w:val="16"/>
                <w:szCs w:val="16"/>
              </w:rPr>
              <w:t xml:space="preserve">between … and</w:t>
            </w:r>
            <w:r>
              <w:rPr>
                <w:b w:val="false"/>
                <w:bCs w:val="false"/>
                <w:sz w:val="16"/>
                <w:szCs w:val="16"/>
              </w:rPr>
              <w:t xml:space="preserve">)</w:t>
            </w:r>
          </w:p>
        </w:tc>
        <w:tc>
          <w:tcPr>
            <w:tcW w:type="dxa" w:w="1029"/>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6"/>
                <w:szCs w:val="16"/>
              </w:rPr>
            </w:pPr>
            <w:r>
              <w:rPr>
                <w:b w:val="false"/>
                <w:bCs w:val="false"/>
                <w:sz w:val="16"/>
                <w:szCs w:val="16"/>
              </w:rPr>
              <w:t xml:space="preserve">277.364</w:t>
            </w:r>
          </w:p>
        </w:tc>
        <w:tc>
          <w:tcPr>
            <w:tcW w:type="dxa" w:w="1029"/>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6"/>
                <w:szCs w:val="16"/>
              </w:rPr>
            </w:pPr>
            <w:r>
              <w:rPr>
                <w:b w:val="false"/>
                <w:bCs w:val="false"/>
                <w:sz w:val="16"/>
                <w:szCs w:val="16"/>
              </w:rPr>
              <w:t xml:space="preserve">3,59</w:t>
            </w:r>
          </w:p>
        </w:tc>
      </w:tr>
      <w:tr>
        <w:trPr>
          <w:cantSplit/>
        </w:trPr>
        <w:tc>
          <w:tcPr>
            <w:tcW w:type="dxa" w:w="2619"/>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left"/>
              <w:rPr>
                <w:sz w:val="16"/>
                <w:szCs w:val="16"/>
              </w:rPr>
            </w:pPr>
            <w:r>
              <w:rPr>
                <w:b w:val="false"/>
                <w:bCs w:val="false"/>
                <w:sz w:val="16"/>
                <w:szCs w:val="16"/>
              </w:rPr>
              <w:t xml:space="preserve">Contiene </w:t>
            </w:r>
            <w:r>
              <w:rPr>
                <w:b w:val="false"/>
                <w:bCs w:val="false"/>
                <w:i/>
                <w:iCs/>
                <w:sz w:val="16"/>
                <w:szCs w:val="16"/>
              </w:rPr>
              <w:t xml:space="preserve">&amp;</w:t>
            </w:r>
          </w:p>
        </w:tc>
        <w:tc>
          <w:tcPr>
            <w:tcW w:type="dxa" w:w="1029"/>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6"/>
                <w:szCs w:val="16"/>
              </w:rPr>
            </w:pPr>
            <w:r>
              <w:rPr>
                <w:b w:val="false"/>
                <w:bCs w:val="false"/>
                <w:sz w:val="16"/>
                <w:szCs w:val="16"/>
              </w:rPr>
              <w:t xml:space="preserve">22.936</w:t>
            </w:r>
          </w:p>
        </w:tc>
        <w:tc>
          <w:tcPr>
            <w:tcW w:type="dxa" w:w="1029"/>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6"/>
                <w:szCs w:val="16"/>
              </w:rPr>
            </w:pPr>
            <w:r>
              <w:rPr>
                <w:b w:val="false"/>
                <w:bCs w:val="false"/>
                <w:sz w:val="16"/>
                <w:szCs w:val="16"/>
              </w:rPr>
              <w:t xml:space="preserve">0,30</w:t>
            </w:r>
          </w:p>
        </w:tc>
      </w:tr>
      <w:tr>
        <w:trPr>
          <w:cantSplit/>
        </w:trPr>
        <w:tc>
          <w:tcPr>
            <w:tcW w:type="dxa" w:w="2619"/>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left"/>
              <w:rPr>
                <w:sz w:val="16"/>
                <w:szCs w:val="16"/>
              </w:rPr>
            </w:pPr>
            <w:r>
              <w:rPr>
                <w:b w:val="false"/>
                <w:bCs w:val="false"/>
                <w:sz w:val="16"/>
                <w:szCs w:val="16"/>
              </w:rPr>
              <w:t xml:space="preserve">Contiene </w:t>
            </w:r>
            <w:r>
              <w:rPr>
                <w:b w:val="false"/>
                <w:bCs w:val="false"/>
                <w:i/>
                <w:iCs/>
                <w:sz w:val="16"/>
                <w:szCs w:val="16"/>
              </w:rPr>
              <w:t xml:space="preserve">corner</w:t>
            </w:r>
          </w:p>
        </w:tc>
        <w:tc>
          <w:tcPr>
            <w:tcW w:type="dxa" w:w="1029"/>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6"/>
                <w:szCs w:val="16"/>
              </w:rPr>
            </w:pPr>
            <w:r>
              <w:rPr>
                <w:b w:val="false"/>
                <w:bCs w:val="false"/>
                <w:sz w:val="16"/>
                <w:szCs w:val="16"/>
              </w:rPr>
              <w:t xml:space="preserve">2.270</w:t>
            </w:r>
          </w:p>
        </w:tc>
        <w:tc>
          <w:tcPr>
            <w:tcW w:type="dxa" w:w="1029"/>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6"/>
                <w:szCs w:val="16"/>
              </w:rPr>
            </w:pPr>
            <w:r>
              <w:rPr>
                <w:b w:val="false"/>
                <w:bCs w:val="false"/>
                <w:sz w:val="16"/>
                <w:szCs w:val="16"/>
              </w:rPr>
              <w:t xml:space="preserve">0,03</w:t>
            </w:r>
          </w:p>
        </w:tc>
      </w:tr>
      <w:tr>
        <w:trPr>
          <w:cantSplit/>
        </w:trPr>
        <w:tc>
          <w:tcPr>
            <w:tcW w:type="dxa" w:w="2619"/>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left"/>
              <w:rPr>
                <w:sz w:val="16"/>
                <w:szCs w:val="16"/>
              </w:rPr>
            </w:pPr>
            <w:r>
              <w:rPr>
                <w:b w:val="false"/>
                <w:bCs w:val="false"/>
                <w:sz w:val="16"/>
                <w:szCs w:val="16"/>
              </w:rPr>
              <w:t xml:space="preserve">Alguno de los tres</w:t>
            </w:r>
          </w:p>
        </w:tc>
        <w:tc>
          <w:tcPr>
            <w:tcW w:type="dxa" w:w="1029"/>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6"/>
                <w:szCs w:val="16"/>
              </w:rPr>
            </w:pPr>
            <w:r>
              <w:rPr>
                <w:b w:val="false"/>
                <w:bCs w:val="false"/>
                <w:sz w:val="16"/>
                <w:szCs w:val="16"/>
              </w:rPr>
              <w:t xml:space="preserve">489.651</w:t>
            </w:r>
          </w:p>
        </w:tc>
        <w:tc>
          <w:tcPr>
            <w:tcW w:type="dxa" w:w="1029"/>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6"/>
                <w:szCs w:val="16"/>
              </w:rPr>
            </w:pPr>
            <w:r>
              <w:rPr>
                <w:b w:val="false"/>
                <w:bCs w:val="false"/>
                <w:sz w:val="16"/>
                <w:szCs w:val="16"/>
              </w:rPr>
              <w:t xml:space="preserve">6,34</w:t>
            </w:r>
          </w:p>
        </w:tc>
      </w:tr>
      <w:tr>
        <w:trPr>
          <w:cantSplit/>
        </w:trPr>
        <w:tc>
          <w:tcPr>
            <w:tcW w:type="dxa" w:w="2619"/>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val="false"/>
              <w:keepLines/>
              <w:jc w:val="left"/>
              <w:rPr>
                <w:sz w:val="16"/>
                <w:szCs w:val="16"/>
              </w:rPr>
            </w:pPr>
            <w:r>
              <w:rPr>
                <w:b w:val="false"/>
                <w:bCs w:val="false"/>
                <w:sz w:val="16"/>
                <w:szCs w:val="16"/>
              </w:rPr>
              <w:t xml:space="preserve">   de ellas, ubicadas en un cruce</w:t>
            </w:r>
          </w:p>
        </w:tc>
        <w:tc>
          <w:tcPr>
            <w:tcW w:type="dxa" w:w="1029"/>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val="false"/>
              <w:keepLines/>
              <w:jc w:val="center"/>
              <w:rPr>
                <w:sz w:val="16"/>
                <w:szCs w:val="16"/>
              </w:rPr>
            </w:pPr>
            <w:r>
              <w:rPr>
                <w:b w:val="false"/>
                <w:bCs w:val="false"/>
                <w:sz w:val="16"/>
                <w:szCs w:val="16"/>
              </w:rPr>
              <w:t xml:space="preserve">57.640</w:t>
            </w:r>
          </w:p>
        </w:tc>
        <w:tc>
          <w:tcPr>
            <w:tcW w:type="dxa" w:w="1029"/>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val="false"/>
              <w:keepLines/>
              <w:jc w:val="center"/>
              <w:rPr>
                <w:sz w:val="16"/>
                <w:szCs w:val="16"/>
              </w:rPr>
            </w:pPr>
            <w:r>
              <w:rPr>
                <w:b w:val="false"/>
                <w:bCs w:val="false"/>
                <w:sz w:val="16"/>
                <w:szCs w:val="16"/>
              </w:rPr>
              <w:t xml:space="preserve">0,75</w:t>
            </w:r>
          </w:p>
        </w:tc>
      </w:tr>
    </w:tbl>
    <w:p>
      <w:pPr>
        <w:spacing w:after="60"/>
      </w:pPr>
      <w:r>
        <w:rPr>
          <w:sz w:val="12"/>
          <w:szCs w:val="12"/>
        </w:rPr>
        <w:t xml:space="preserve"/>
      </w:r>
    </w:p>
    <w:p>
      <w:pPr>
        <w:ind w:firstLine="284"/>
        <w:jc w:val="both"/>
      </w:pPr>
      <w:r>
        <w:t xml:space="preserve">Los cruces están escritos de otra forma, que depende de la fuente del dato. Se definieron dos reglas. La regla R1, para descripciones del tipo </w:t>
      </w:r>
      <w:r>
        <w:rPr>
          <w:i/>
          <w:iCs/>
        </w:rPr>
        <w:t xml:space="preserve">… on X at Y</w:t>
      </w:r>
      <w:r>
        <w:t xml:space="preserve">, toma las dos vías del texto. La regla R2, para </w:t>
      </w:r>
      <w:r>
        <w:rPr>
          <w:i/>
          <w:iCs/>
        </w:rPr>
        <w:t xml:space="preserve">At Y - …</w:t>
      </w:r>
      <w:r>
        <w:t xml:space="preserve">, toma la primera vía de la columna </w:t>
      </w:r>
      <w:r>
        <w:rPr>
          <w:rFonts w:ascii="Courier New" w:cs="Courier New" w:eastAsia="Courier New" w:hAnsi="Courier New"/>
          <w:sz w:val="18"/>
          <w:szCs w:val="18"/>
        </w:rPr>
        <w:t xml:space="preserve">Street</w:t>
      </w:r>
      <w:r>
        <w:t xml:space="preserve"> y la segunda de la descripción. Cada vía se normaliza (mayúsculas, sin sentido de circulación, sin texto entre paréntesis ni nombres alternativos), y un cruce se define como un par no ordenado de vías distintas dentro de una ciudad y un estado.</w:t>
      </w:r>
    </w:p>
    <w:p>
      <w:pPr>
        <w:ind w:firstLine="284"/>
        <w:jc w:val="both"/>
      </w:pPr>
      <w:r>
        <w:t xml:space="preserve">Las 3.987.606 filas que pasan un filtro previo de palabras clave (51,6 % del total) se clasifican en cuatro categorías: esquina entre calles con nombre, 865.084 filas (11,2 % del total); cruce con una ruta numerada o una autopista, 1.465.166 (19,0 %); salida de autopista, 1.197.815 (15,5 %), y texto sin estructura de cruce, 459.541 (5,9 %). La respuesta de la consulta son las esquinas entre calles (Tabla 5). Los cruces con rutas y autopistas se informan aparte porque muchos son enlaces a distinto nivel; el más frecuente es el de CA-91 con I-15, en Corona (California), con 1.134 siniestros.</w:t>
      </w:r>
    </w:p>
    <w:p>
      <w:pPr>
        <w:keepNext/>
        <w:keepLines/>
        <w:spacing w:after="60" w:before="160"/>
        <w:jc w:val="center"/>
      </w:pPr>
      <w:r>
        <w:rPr>
          <w:rFonts w:ascii="Arial" w:cs="Arial" w:eastAsia="Arial" w:hAnsi="Arial"/>
          <w:b/>
          <w:bCs/>
          <w:sz w:val="18"/>
          <w:szCs w:val="18"/>
        </w:rPr>
        <w:t xml:space="preserve">Tabla 5. Las diez esquinas entre calles con más siniestros.</w:t>
      </w:r>
    </w:p>
    <w:tbl>
      <w:tblPr>
        <w:tblW w:type="dxa" w:w="4677"/>
        <w:jc w:val="center"/>
        <w:tblBorders>
          <w:top w:val="single" w:color="auto" w:sz="4"/>
          <w:left w:val="single" w:color="auto" w:sz="4"/>
          <w:bottom w:val="single" w:color="auto" w:sz="4"/>
          <w:right w:val="single" w:color="auto" w:sz="4"/>
          <w:insideH w:val="single" w:color="auto" w:sz="4"/>
          <w:insideV w:val="single" w:color="auto" w:sz="4"/>
        </w:tblBorders>
      </w:tblPr>
      <w:tblGrid>
        <w:gridCol w:w="327"/>
        <w:gridCol w:w="2713"/>
        <w:gridCol w:w="935"/>
        <w:gridCol w:w="702"/>
      </w:tblGrid>
      <w:tr>
        <w:trPr>
          <w:cantSplit/>
          <w:tblHeader/>
        </w:trPr>
        <w:tc>
          <w:tcPr>
            <w:tcW w:type="dxa" w:w="327"/>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bCs/>
                <w:sz w:val="15"/>
                <w:szCs w:val="15"/>
              </w:rPr>
              <w:t xml:space="preserve">#</w:t>
            </w:r>
          </w:p>
        </w:tc>
        <w:tc>
          <w:tcPr>
            <w:tcW w:type="dxa" w:w="2713"/>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bCs/>
                <w:sz w:val="15"/>
                <w:szCs w:val="15"/>
              </w:rPr>
              <w:t xml:space="preserve">Esquina</w:t>
            </w:r>
          </w:p>
        </w:tc>
        <w:tc>
          <w:tcPr>
            <w:tcW w:type="dxa" w:w="935"/>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bCs/>
                <w:sz w:val="15"/>
                <w:szCs w:val="15"/>
              </w:rPr>
              <w:t xml:space="preserve">Ciudad</w:t>
            </w:r>
          </w:p>
        </w:tc>
        <w:tc>
          <w:tcPr>
            <w:tcW w:type="dxa" w:w="702"/>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bCs/>
                <w:sz w:val="15"/>
                <w:szCs w:val="15"/>
              </w:rPr>
              <w:t xml:space="preserve">Sin.</w:t>
            </w:r>
          </w:p>
        </w:tc>
      </w:tr>
      <w:tr>
        <w:trPr>
          <w:cantSplit/>
        </w:trPr>
        <w:tc>
          <w:tcPr>
            <w:tcW w:type="dxa" w:w="327"/>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val="false"/>
                <w:bCs w:val="false"/>
                <w:sz w:val="15"/>
                <w:szCs w:val="15"/>
              </w:rPr>
              <w:t xml:space="preserve">1</w:t>
            </w:r>
          </w:p>
        </w:tc>
        <w:tc>
          <w:tcPr>
            <w:tcW w:type="dxa" w:w="2713"/>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left"/>
              <w:rPr>
                <w:sz w:val="15"/>
                <w:szCs w:val="15"/>
              </w:rPr>
            </w:pPr>
            <w:r>
              <w:rPr>
                <w:b w:val="false"/>
                <w:bCs w:val="false"/>
                <w:sz w:val="15"/>
                <w:szCs w:val="15"/>
              </w:rPr>
              <w:t xml:space="preserve">Central Ave &amp; Sharon Amity Rd</w:t>
            </w:r>
          </w:p>
        </w:tc>
        <w:tc>
          <w:tcPr>
            <w:tcW w:type="dxa" w:w="935"/>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left"/>
              <w:rPr>
                <w:sz w:val="15"/>
                <w:szCs w:val="15"/>
              </w:rPr>
            </w:pPr>
            <w:r>
              <w:rPr>
                <w:b w:val="false"/>
                <w:bCs w:val="false"/>
                <w:sz w:val="15"/>
                <w:szCs w:val="15"/>
              </w:rPr>
              <w:t xml:space="preserve">Charlotte, NC</w:t>
            </w:r>
          </w:p>
        </w:tc>
        <w:tc>
          <w:tcPr>
            <w:tcW w:type="dxa" w:w="702"/>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val="false"/>
                <w:bCs w:val="false"/>
                <w:sz w:val="15"/>
                <w:szCs w:val="15"/>
              </w:rPr>
              <w:t xml:space="preserve">292</w:t>
            </w:r>
          </w:p>
        </w:tc>
      </w:tr>
      <w:tr>
        <w:trPr>
          <w:cantSplit/>
        </w:trPr>
        <w:tc>
          <w:tcPr>
            <w:tcW w:type="dxa" w:w="327"/>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val="false"/>
                <w:bCs w:val="false"/>
                <w:sz w:val="15"/>
                <w:szCs w:val="15"/>
              </w:rPr>
              <w:t xml:space="preserve">2</w:t>
            </w:r>
          </w:p>
        </w:tc>
        <w:tc>
          <w:tcPr>
            <w:tcW w:type="dxa" w:w="2713"/>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left"/>
              <w:rPr>
                <w:sz w:val="15"/>
                <w:szCs w:val="15"/>
              </w:rPr>
            </w:pPr>
            <w:r>
              <w:rPr>
                <w:b w:val="false"/>
                <w:bCs w:val="false"/>
                <w:sz w:val="15"/>
                <w:szCs w:val="15"/>
              </w:rPr>
              <w:t xml:space="preserve">Monroe Rd &amp; Sardis Rd</w:t>
            </w:r>
          </w:p>
        </w:tc>
        <w:tc>
          <w:tcPr>
            <w:tcW w:type="dxa" w:w="935"/>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left"/>
              <w:rPr>
                <w:sz w:val="15"/>
                <w:szCs w:val="15"/>
              </w:rPr>
            </w:pPr>
            <w:r>
              <w:rPr>
                <w:b w:val="false"/>
                <w:bCs w:val="false"/>
                <w:sz w:val="15"/>
                <w:szCs w:val="15"/>
              </w:rPr>
              <w:t xml:space="preserve">Charlotte, NC</w:t>
            </w:r>
          </w:p>
        </w:tc>
        <w:tc>
          <w:tcPr>
            <w:tcW w:type="dxa" w:w="702"/>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val="false"/>
                <w:bCs w:val="false"/>
                <w:sz w:val="15"/>
                <w:szCs w:val="15"/>
              </w:rPr>
              <w:t xml:space="preserve">261</w:t>
            </w:r>
          </w:p>
        </w:tc>
      </w:tr>
      <w:tr>
        <w:trPr>
          <w:cantSplit/>
        </w:trPr>
        <w:tc>
          <w:tcPr>
            <w:tcW w:type="dxa" w:w="327"/>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val="false"/>
                <w:bCs w:val="false"/>
                <w:sz w:val="15"/>
                <w:szCs w:val="15"/>
              </w:rPr>
              <w:t xml:space="preserve">3</w:t>
            </w:r>
          </w:p>
        </w:tc>
        <w:tc>
          <w:tcPr>
            <w:tcW w:type="dxa" w:w="2713"/>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left"/>
              <w:rPr>
                <w:sz w:val="15"/>
                <w:szCs w:val="15"/>
              </w:rPr>
            </w:pPr>
            <w:r>
              <w:rPr>
                <w:b w:val="false"/>
                <w:bCs w:val="false"/>
                <w:sz w:val="15"/>
                <w:szCs w:val="15"/>
              </w:rPr>
              <w:t xml:space="preserve">Central Ave &amp; Eastway Dr</w:t>
            </w:r>
          </w:p>
        </w:tc>
        <w:tc>
          <w:tcPr>
            <w:tcW w:type="dxa" w:w="935"/>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left"/>
              <w:rPr>
                <w:sz w:val="15"/>
                <w:szCs w:val="15"/>
              </w:rPr>
            </w:pPr>
            <w:r>
              <w:rPr>
                <w:b w:val="false"/>
                <w:bCs w:val="false"/>
                <w:sz w:val="15"/>
                <w:szCs w:val="15"/>
              </w:rPr>
              <w:t xml:space="preserve">Charlotte, NC</w:t>
            </w:r>
          </w:p>
        </w:tc>
        <w:tc>
          <w:tcPr>
            <w:tcW w:type="dxa" w:w="702"/>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val="false"/>
                <w:bCs w:val="false"/>
                <w:sz w:val="15"/>
                <w:szCs w:val="15"/>
              </w:rPr>
              <w:t xml:space="preserve">260</w:t>
            </w:r>
          </w:p>
        </w:tc>
      </w:tr>
      <w:tr>
        <w:trPr>
          <w:cantSplit/>
        </w:trPr>
        <w:tc>
          <w:tcPr>
            <w:tcW w:type="dxa" w:w="327"/>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val="false"/>
                <w:bCs w:val="false"/>
                <w:sz w:val="15"/>
                <w:szCs w:val="15"/>
              </w:rPr>
              <w:t xml:space="preserve">4</w:t>
            </w:r>
          </w:p>
        </w:tc>
        <w:tc>
          <w:tcPr>
            <w:tcW w:type="dxa" w:w="2713"/>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left"/>
              <w:rPr>
                <w:sz w:val="15"/>
                <w:szCs w:val="15"/>
              </w:rPr>
            </w:pPr>
            <w:r>
              <w:rPr>
                <w:b w:val="false"/>
                <w:bCs w:val="false"/>
                <w:sz w:val="15"/>
                <w:szCs w:val="15"/>
              </w:rPr>
              <w:t xml:space="preserve">South Blvd &amp; Tyvola Rd</w:t>
            </w:r>
          </w:p>
        </w:tc>
        <w:tc>
          <w:tcPr>
            <w:tcW w:type="dxa" w:w="935"/>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left"/>
              <w:rPr>
                <w:sz w:val="15"/>
                <w:szCs w:val="15"/>
              </w:rPr>
            </w:pPr>
            <w:r>
              <w:rPr>
                <w:b w:val="false"/>
                <w:bCs w:val="false"/>
                <w:sz w:val="15"/>
                <w:szCs w:val="15"/>
              </w:rPr>
              <w:t xml:space="preserve">Charlotte, NC</w:t>
            </w:r>
          </w:p>
        </w:tc>
        <w:tc>
          <w:tcPr>
            <w:tcW w:type="dxa" w:w="702"/>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val="false"/>
                <w:bCs w:val="false"/>
                <w:sz w:val="15"/>
                <w:szCs w:val="15"/>
              </w:rPr>
              <w:t xml:space="preserve">252</w:t>
            </w:r>
          </w:p>
        </w:tc>
      </w:tr>
      <w:tr>
        <w:trPr>
          <w:cantSplit/>
        </w:trPr>
        <w:tc>
          <w:tcPr>
            <w:tcW w:type="dxa" w:w="327"/>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val="false"/>
                <w:bCs w:val="false"/>
                <w:sz w:val="15"/>
                <w:szCs w:val="15"/>
              </w:rPr>
              <w:t xml:space="preserve">5</w:t>
            </w:r>
          </w:p>
        </w:tc>
        <w:tc>
          <w:tcPr>
            <w:tcW w:type="dxa" w:w="2713"/>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left"/>
              <w:rPr>
                <w:sz w:val="15"/>
                <w:szCs w:val="15"/>
              </w:rPr>
            </w:pPr>
            <w:r>
              <w:rPr>
                <w:b w:val="false"/>
                <w:bCs w:val="false"/>
                <w:sz w:val="15"/>
                <w:szCs w:val="15"/>
              </w:rPr>
              <w:t xml:space="preserve">Clemson Rd &amp; Hard Scrabble Rd</w:t>
            </w:r>
          </w:p>
        </w:tc>
        <w:tc>
          <w:tcPr>
            <w:tcW w:type="dxa" w:w="935"/>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left"/>
              <w:rPr>
                <w:sz w:val="15"/>
                <w:szCs w:val="15"/>
              </w:rPr>
            </w:pPr>
            <w:r>
              <w:rPr>
                <w:b w:val="false"/>
                <w:bCs w:val="false"/>
                <w:sz w:val="15"/>
                <w:szCs w:val="15"/>
              </w:rPr>
              <w:t xml:space="preserve">Columbia, SC</w:t>
            </w:r>
          </w:p>
        </w:tc>
        <w:tc>
          <w:tcPr>
            <w:tcW w:type="dxa" w:w="702"/>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val="false"/>
                <w:bCs w:val="false"/>
                <w:sz w:val="15"/>
                <w:szCs w:val="15"/>
              </w:rPr>
              <w:t xml:space="preserve">238</w:t>
            </w:r>
          </w:p>
        </w:tc>
      </w:tr>
      <w:tr>
        <w:trPr>
          <w:cantSplit/>
        </w:trPr>
        <w:tc>
          <w:tcPr>
            <w:tcW w:type="dxa" w:w="327"/>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val="false"/>
                <w:bCs w:val="false"/>
                <w:sz w:val="15"/>
                <w:szCs w:val="15"/>
              </w:rPr>
              <w:t xml:space="preserve">6</w:t>
            </w:r>
          </w:p>
        </w:tc>
        <w:tc>
          <w:tcPr>
            <w:tcW w:type="dxa" w:w="2713"/>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left"/>
              <w:rPr>
                <w:sz w:val="15"/>
                <w:szCs w:val="15"/>
              </w:rPr>
            </w:pPr>
            <w:r>
              <w:rPr>
                <w:b w:val="false"/>
                <w:bCs w:val="false"/>
                <w:sz w:val="15"/>
                <w:szCs w:val="15"/>
              </w:rPr>
              <w:t xml:space="preserve">Beatties Ford Rd &amp; Sunset Rd</w:t>
            </w:r>
          </w:p>
        </w:tc>
        <w:tc>
          <w:tcPr>
            <w:tcW w:type="dxa" w:w="935"/>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left"/>
              <w:rPr>
                <w:sz w:val="15"/>
                <w:szCs w:val="15"/>
              </w:rPr>
            </w:pPr>
            <w:r>
              <w:rPr>
                <w:b w:val="false"/>
                <w:bCs w:val="false"/>
                <w:sz w:val="15"/>
                <w:szCs w:val="15"/>
              </w:rPr>
              <w:t xml:space="preserve">Charlotte, NC</w:t>
            </w:r>
          </w:p>
        </w:tc>
        <w:tc>
          <w:tcPr>
            <w:tcW w:type="dxa" w:w="702"/>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val="false"/>
                <w:bCs w:val="false"/>
                <w:sz w:val="15"/>
                <w:szCs w:val="15"/>
              </w:rPr>
              <w:t xml:space="preserve">223</w:t>
            </w:r>
          </w:p>
        </w:tc>
      </w:tr>
      <w:tr>
        <w:trPr>
          <w:cantSplit/>
        </w:trPr>
        <w:tc>
          <w:tcPr>
            <w:tcW w:type="dxa" w:w="327"/>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val="false"/>
                <w:bCs w:val="false"/>
                <w:sz w:val="15"/>
                <w:szCs w:val="15"/>
              </w:rPr>
              <w:t xml:space="preserve">7</w:t>
            </w:r>
          </w:p>
        </w:tc>
        <w:tc>
          <w:tcPr>
            <w:tcW w:type="dxa" w:w="2713"/>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left"/>
              <w:rPr>
                <w:sz w:val="15"/>
                <w:szCs w:val="15"/>
              </w:rPr>
            </w:pPr>
            <w:r>
              <w:rPr>
                <w:b w:val="false"/>
                <w:bCs w:val="false"/>
                <w:sz w:val="15"/>
                <w:szCs w:val="15"/>
              </w:rPr>
              <w:t xml:space="preserve">Fairview Rd &amp; Sharon Rd</w:t>
            </w:r>
          </w:p>
        </w:tc>
        <w:tc>
          <w:tcPr>
            <w:tcW w:type="dxa" w:w="935"/>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left"/>
              <w:rPr>
                <w:sz w:val="15"/>
                <w:szCs w:val="15"/>
              </w:rPr>
            </w:pPr>
            <w:r>
              <w:rPr>
                <w:b w:val="false"/>
                <w:bCs w:val="false"/>
                <w:sz w:val="15"/>
                <w:szCs w:val="15"/>
              </w:rPr>
              <w:t xml:space="preserve">Charlotte, NC</w:t>
            </w:r>
          </w:p>
        </w:tc>
        <w:tc>
          <w:tcPr>
            <w:tcW w:type="dxa" w:w="702"/>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val="false"/>
                <w:bCs w:val="false"/>
                <w:sz w:val="15"/>
                <w:szCs w:val="15"/>
              </w:rPr>
              <w:t xml:space="preserve">222</w:t>
            </w:r>
          </w:p>
        </w:tc>
      </w:tr>
      <w:tr>
        <w:trPr>
          <w:cantSplit/>
        </w:trPr>
        <w:tc>
          <w:tcPr>
            <w:tcW w:type="dxa" w:w="327"/>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val="false"/>
                <w:bCs w:val="false"/>
                <w:sz w:val="15"/>
                <w:szCs w:val="15"/>
              </w:rPr>
              <w:t xml:space="preserve">8</w:t>
            </w:r>
          </w:p>
        </w:tc>
        <w:tc>
          <w:tcPr>
            <w:tcW w:type="dxa" w:w="2713"/>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left"/>
              <w:rPr>
                <w:sz w:val="15"/>
                <w:szCs w:val="15"/>
              </w:rPr>
            </w:pPr>
            <w:r>
              <w:rPr>
                <w:b w:val="false"/>
                <w:bCs w:val="false"/>
                <w:sz w:val="15"/>
                <w:szCs w:val="15"/>
              </w:rPr>
              <w:t xml:space="preserve">Jackson Ave &amp; Sprain Brook Pkwy</w:t>
            </w:r>
          </w:p>
        </w:tc>
        <w:tc>
          <w:tcPr>
            <w:tcW w:type="dxa" w:w="935"/>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left"/>
              <w:rPr>
                <w:sz w:val="15"/>
                <w:szCs w:val="15"/>
              </w:rPr>
            </w:pPr>
            <w:r>
              <w:rPr>
                <w:b w:val="false"/>
                <w:bCs w:val="false"/>
                <w:sz w:val="15"/>
                <w:szCs w:val="15"/>
              </w:rPr>
              <w:t xml:space="preserve">Yonkers, NY</w:t>
            </w:r>
          </w:p>
        </w:tc>
        <w:tc>
          <w:tcPr>
            <w:tcW w:type="dxa" w:w="702"/>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val="false"/>
                <w:bCs w:val="false"/>
                <w:sz w:val="15"/>
                <w:szCs w:val="15"/>
              </w:rPr>
              <w:t xml:space="preserve">218</w:t>
            </w:r>
          </w:p>
        </w:tc>
      </w:tr>
      <w:tr>
        <w:trPr>
          <w:cantSplit/>
        </w:trPr>
        <w:tc>
          <w:tcPr>
            <w:tcW w:type="dxa" w:w="327"/>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val="false"/>
                <w:bCs w:val="false"/>
                <w:sz w:val="15"/>
                <w:szCs w:val="15"/>
              </w:rPr>
              <w:t xml:space="preserve">9</w:t>
            </w:r>
          </w:p>
        </w:tc>
        <w:tc>
          <w:tcPr>
            <w:tcW w:type="dxa" w:w="2713"/>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left"/>
              <w:rPr>
                <w:sz w:val="15"/>
                <w:szCs w:val="15"/>
              </w:rPr>
            </w:pPr>
            <w:r>
              <w:rPr>
                <w:b w:val="false"/>
                <w:bCs w:val="false"/>
                <w:sz w:val="15"/>
                <w:szCs w:val="15"/>
              </w:rPr>
              <w:t xml:space="preserve">New Bern Ave &amp; Sunnybrook Rd</w:t>
            </w:r>
          </w:p>
        </w:tc>
        <w:tc>
          <w:tcPr>
            <w:tcW w:type="dxa" w:w="935"/>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left"/>
              <w:rPr>
                <w:sz w:val="15"/>
                <w:szCs w:val="15"/>
              </w:rPr>
            </w:pPr>
            <w:r>
              <w:rPr>
                <w:b w:val="false"/>
                <w:bCs w:val="false"/>
                <w:sz w:val="15"/>
                <w:szCs w:val="15"/>
              </w:rPr>
              <w:t xml:space="preserve">Raleigh, NC</w:t>
            </w:r>
          </w:p>
        </w:tc>
        <w:tc>
          <w:tcPr>
            <w:tcW w:type="dxa" w:w="702"/>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val="false"/>
                <w:bCs w:val="false"/>
                <w:sz w:val="15"/>
                <w:szCs w:val="15"/>
              </w:rPr>
              <w:t xml:space="preserve">206</w:t>
            </w:r>
          </w:p>
        </w:tc>
      </w:tr>
      <w:tr>
        <w:trPr>
          <w:cantSplit/>
        </w:trPr>
        <w:tc>
          <w:tcPr>
            <w:tcW w:type="dxa" w:w="327"/>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val="false"/>
              <w:keepLines/>
              <w:jc w:val="center"/>
              <w:rPr>
                <w:sz w:val="15"/>
                <w:szCs w:val="15"/>
              </w:rPr>
            </w:pPr>
            <w:r>
              <w:rPr>
                <w:b w:val="false"/>
                <w:bCs w:val="false"/>
                <w:sz w:val="15"/>
                <w:szCs w:val="15"/>
              </w:rPr>
              <w:t xml:space="preserve">10</w:t>
            </w:r>
          </w:p>
        </w:tc>
        <w:tc>
          <w:tcPr>
            <w:tcW w:type="dxa" w:w="2713"/>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val="false"/>
              <w:keepLines/>
              <w:jc w:val="left"/>
              <w:rPr>
                <w:sz w:val="15"/>
                <w:szCs w:val="15"/>
              </w:rPr>
            </w:pPr>
            <w:r>
              <w:rPr>
                <w:b w:val="false"/>
                <w:bCs w:val="false"/>
                <w:sz w:val="15"/>
                <w:szCs w:val="15"/>
              </w:rPr>
              <w:t xml:space="preserve">Eastway Dr &amp; The Plaza</w:t>
            </w:r>
          </w:p>
        </w:tc>
        <w:tc>
          <w:tcPr>
            <w:tcW w:type="dxa" w:w="935"/>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val="false"/>
              <w:keepLines/>
              <w:jc w:val="left"/>
              <w:rPr>
                <w:sz w:val="15"/>
                <w:szCs w:val="15"/>
              </w:rPr>
            </w:pPr>
            <w:r>
              <w:rPr>
                <w:b w:val="false"/>
                <w:bCs w:val="false"/>
                <w:sz w:val="15"/>
                <w:szCs w:val="15"/>
              </w:rPr>
              <w:t xml:space="preserve">Charlotte, NC</w:t>
            </w:r>
          </w:p>
        </w:tc>
        <w:tc>
          <w:tcPr>
            <w:tcW w:type="dxa" w:w="702"/>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val="false"/>
              <w:keepLines/>
              <w:jc w:val="center"/>
              <w:rPr>
                <w:sz w:val="15"/>
                <w:szCs w:val="15"/>
              </w:rPr>
            </w:pPr>
            <w:r>
              <w:rPr>
                <w:b w:val="false"/>
                <w:bCs w:val="false"/>
                <w:sz w:val="15"/>
                <w:szCs w:val="15"/>
              </w:rPr>
              <w:t xml:space="preserve">205</w:t>
            </w:r>
          </w:p>
        </w:tc>
      </w:tr>
    </w:tbl>
    <w:p>
      <w:pPr>
        <w:spacing w:after="60"/>
      </w:pPr>
      <w:r>
        <w:rPr>
          <w:sz w:val="12"/>
          <w:szCs w:val="12"/>
        </w:rPr>
        <w:t xml:space="preserve"/>
      </w:r>
    </w:p>
    <w:p>
      <w:pPr>
        <w:ind w:firstLine="284"/>
        <w:jc w:val="both"/>
      </w:pPr>
      <w:r>
        <w:t xml:space="preserve">Siete de las diez esquinas están en Charlotte (Carolina del Norte). Ese resultado refleja, además de la siniestralidad, en qué ciudades las fuentes informan la calle transversal, y debe leerse como un sesgo de cobertura. Hay otras dos limitaciones: los nombres de vías no están unificados entre fuentes (US-19 y US Highway 19 se cuentan por separado), y el texto no permite distinguir un cruce a nivel de un enlace a distinto nivel.</w:t>
      </w:r>
    </w:p>
    <w:p>
      <w:pPr>
        <w:ind w:firstLine="284"/>
        <w:jc w:val="both"/>
      </w:pPr>
      <w:r>
        <w:t xml:space="preserve">Las expresiones regulares se escribieron con la sintaxis común a Java y a Python, y evitan las construcciones cuyo significado difiere entre motores ante caracteres no ASCII: el límite de palabra </w:t>
      </w:r>
      <w:r>
        <w:rPr>
          <w:rFonts w:ascii="Courier New" w:cs="Courier New" w:eastAsia="Courier New" w:hAnsi="Courier New"/>
          <w:sz w:val="18"/>
          <w:szCs w:val="18"/>
        </w:rPr>
        <w:t xml:space="preserve">\b</w:t>
      </w:r>
      <w:r>
        <w:t xml:space="preserve">, la opción de ignorar mayúsculas y el paso a mayúsculas de letras acentuadas. Es una condición para que ambos motores clasifiquen cada fila de la misma manera.</w:t>
      </w:r>
    </w:p>
    <w:p>
      <w:pPr>
        <w:keepNext/>
        <w:spacing w:after="120" w:before="120"/>
      </w:pPr>
      <w:r>
        <w:rPr>
          <w:b/>
          <w:bCs/>
          <w:sz w:val="22"/>
          <w:szCs w:val="22"/>
        </w:rPr>
        <w:t xml:space="preserve">3.5. Tiempo de despeje según iluminación y tipo de día (C10)</w:t>
      </w:r>
    </w:p>
    <w:p>
      <w:pPr>
        <w:ind w:firstLine="284"/>
        <w:jc w:val="both"/>
      </w:pPr>
      <w:r>
        <w:t xml:space="preserve">El tiempo de despeje es la duración del siniestro. Se lo comparó entre el día y la noche, con dos definiciones de noche, y entre días hábiles y fines de semana. </w:t>
      </w:r>
      <w:r>
        <w:rPr>
          <w:rFonts w:ascii="Courier New" w:cs="Courier New" w:eastAsia="Courier New" w:hAnsi="Courier New"/>
          <w:sz w:val="18"/>
          <w:szCs w:val="18"/>
        </w:rPr>
        <w:t xml:space="preserve">Sunrise_Sunset</w:t>
      </w:r>
      <w:r>
        <w:t xml:space="preserve"> considera noche el lapso entre la puesta y la salida del sol; </w:t>
      </w:r>
      <w:r>
        <w:rPr>
          <w:rFonts w:ascii="Courier New" w:cs="Courier New" w:eastAsia="Courier New" w:hAnsi="Courier New"/>
          <w:sz w:val="18"/>
          <w:szCs w:val="18"/>
        </w:rPr>
        <w:t xml:space="preserve">Astronomical_Twilight</w:t>
      </w:r>
      <w:r>
        <w:t xml:space="preserve">, solo la oscuridad total. Por lo visto en C5, la comparación se apoya en la media acotada y en la mediana (Tabla 6 y Figura 2); la media sin acotar va de 353,5 a 783,3 minutos y está dominada por los valores extremos.</w:t>
      </w:r>
    </w:p>
    <w:p>
      <w:pPr>
        <w:keepNext/>
        <w:keepLines/>
        <w:spacing w:after="60" w:before="160"/>
        <w:jc w:val="center"/>
      </w:pPr>
      <w:r>
        <w:rPr>
          <w:rFonts w:ascii="Arial" w:cs="Arial" w:eastAsia="Arial" w:hAnsi="Arial"/>
          <w:b/>
          <w:bCs/>
          <w:sz w:val="18"/>
          <w:szCs w:val="18"/>
        </w:rPr>
        <w:t xml:space="preserve">Tabla 6. Tiempo de despeje (min) según iluminación y tipo de día.</w:t>
      </w:r>
    </w:p>
    <w:tbl>
      <w:tblPr>
        <w:tblW w:type="dxa" w:w="4677"/>
        <w:jc w:val="center"/>
        <w:tblBorders>
          <w:top w:val="single" w:color="auto" w:sz="4"/>
          <w:left w:val="single" w:color="auto" w:sz="4"/>
          <w:bottom w:val="single" w:color="auto" w:sz="4"/>
          <w:right w:val="single" w:color="auto" w:sz="4"/>
          <w:insideH w:val="single" w:color="auto" w:sz="4"/>
          <w:insideV w:val="single" w:color="auto" w:sz="4"/>
        </w:tblBorders>
      </w:tblPr>
      <w:tblGrid>
        <w:gridCol w:w="748"/>
        <w:gridCol w:w="1216"/>
        <w:gridCol w:w="1029"/>
        <w:gridCol w:w="889"/>
        <w:gridCol w:w="795"/>
      </w:tblGrid>
      <w:tr>
        <w:trPr>
          <w:cantSplit/>
          <w:tblHeader/>
        </w:trPr>
        <w:tc>
          <w:tcPr>
            <w:tcW w:type="dxa" w:w="748"/>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bCs/>
                <w:sz w:val="15"/>
                <w:szCs w:val="15"/>
              </w:rPr>
              <w:t xml:space="preserve">Luz</w:t>
            </w:r>
          </w:p>
        </w:tc>
        <w:tc>
          <w:tcPr>
            <w:tcW w:type="dxa" w:w="1216"/>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bCs/>
                <w:sz w:val="15"/>
                <w:szCs w:val="15"/>
              </w:rPr>
              <w:t xml:space="preserve">Tipo de día</w:t>
            </w:r>
          </w:p>
        </w:tc>
        <w:tc>
          <w:tcPr>
            <w:tcW w:type="dxa" w:w="1029"/>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bCs/>
                <w:sz w:val="15"/>
                <w:szCs w:val="15"/>
              </w:rPr>
              <w:t xml:space="preserve">Siniestros</w:t>
            </w:r>
          </w:p>
        </w:tc>
        <w:tc>
          <w:tcPr>
            <w:tcW w:type="dxa" w:w="889"/>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bCs/>
                <w:sz w:val="15"/>
                <w:szCs w:val="15"/>
              </w:rPr>
              <w:t xml:space="preserve">Media acotada</w:t>
            </w:r>
          </w:p>
        </w:tc>
        <w:tc>
          <w:tcPr>
            <w:tcW w:type="dxa" w:w="795"/>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bCs/>
                <w:sz w:val="15"/>
                <w:szCs w:val="15"/>
              </w:rPr>
              <w:t xml:space="preserve">Mediana</w:t>
            </w:r>
          </w:p>
        </w:tc>
      </w:tr>
      <w:tr>
        <w:trPr>
          <w:cantSplit/>
        </w:trPr>
        <w:tc>
          <w:tcPr>
            <w:tcW w:type="dxa" w:w="4677"/>
            <w:gridSpan w:val="5"/>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left"/>
              <w:rPr>
                <w:sz w:val="15"/>
                <w:szCs w:val="15"/>
              </w:rPr>
            </w:pPr>
            <w:r>
              <w:rPr>
                <w:b/>
                <w:bCs/>
                <w:sz w:val="15"/>
                <w:szCs w:val="15"/>
              </w:rPr>
              <w:t xml:space="preserve">Sunrise_Sunset</w:t>
            </w:r>
          </w:p>
        </w:tc>
      </w:tr>
      <w:tr>
        <w:trPr>
          <w:cantSplit/>
        </w:trPr>
        <w:tc>
          <w:tcPr>
            <w:tcW w:type="dxa" w:w="748"/>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left"/>
              <w:rPr>
                <w:sz w:val="15"/>
                <w:szCs w:val="15"/>
              </w:rPr>
            </w:pPr>
            <w:r>
              <w:rPr>
                <w:b w:val="false"/>
                <w:bCs w:val="false"/>
                <w:sz w:val="15"/>
                <w:szCs w:val="15"/>
              </w:rPr>
              <w:t xml:space="preserve">Día</w:t>
            </w:r>
          </w:p>
        </w:tc>
        <w:tc>
          <w:tcPr>
            <w:tcW w:type="dxa" w:w="1216"/>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left"/>
              <w:rPr>
                <w:sz w:val="15"/>
                <w:szCs w:val="15"/>
              </w:rPr>
            </w:pPr>
            <w:r>
              <w:rPr>
                <w:b w:val="false"/>
                <w:bCs w:val="false"/>
                <w:sz w:val="15"/>
                <w:szCs w:val="15"/>
              </w:rPr>
              <w:t xml:space="preserve">Hábil</w:t>
            </w:r>
          </w:p>
        </w:tc>
        <w:tc>
          <w:tcPr>
            <w:tcW w:type="dxa" w:w="1029"/>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val="false"/>
                <w:bCs w:val="false"/>
                <w:sz w:val="15"/>
                <w:szCs w:val="15"/>
              </w:rPr>
              <w:t xml:space="preserve">4.587.701</w:t>
            </w:r>
          </w:p>
        </w:tc>
        <w:tc>
          <w:tcPr>
            <w:tcW w:type="dxa" w:w="889"/>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val="false"/>
                <w:bCs w:val="false"/>
                <w:sz w:val="15"/>
                <w:szCs w:val="15"/>
              </w:rPr>
              <w:t xml:space="preserve">108,2</w:t>
            </w:r>
          </w:p>
        </w:tc>
        <w:tc>
          <w:tcPr>
            <w:tcW w:type="dxa" w:w="795"/>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val="false"/>
                <w:bCs w:val="false"/>
                <w:sz w:val="15"/>
                <w:szCs w:val="15"/>
              </w:rPr>
              <w:t xml:space="preserve">60,6</w:t>
            </w:r>
          </w:p>
        </w:tc>
      </w:tr>
      <w:tr>
        <w:trPr>
          <w:cantSplit/>
        </w:trPr>
        <w:tc>
          <w:tcPr>
            <w:tcW w:type="dxa" w:w="748"/>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left"/>
              <w:rPr>
                <w:sz w:val="15"/>
                <w:szCs w:val="15"/>
              </w:rPr>
            </w:pPr>
            <w:r>
              <w:rPr>
                <w:b w:val="false"/>
                <w:bCs w:val="false"/>
                <w:sz w:val="15"/>
                <w:szCs w:val="15"/>
              </w:rPr>
              <w:t xml:space="preserve">Día</w:t>
            </w:r>
          </w:p>
        </w:tc>
        <w:tc>
          <w:tcPr>
            <w:tcW w:type="dxa" w:w="1216"/>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left"/>
              <w:rPr>
                <w:sz w:val="15"/>
                <w:szCs w:val="15"/>
              </w:rPr>
            </w:pPr>
            <w:r>
              <w:rPr>
                <w:b w:val="false"/>
                <w:bCs w:val="false"/>
                <w:sz w:val="15"/>
                <w:szCs w:val="15"/>
              </w:rPr>
              <w:t xml:space="preserve">Fin de semana</w:t>
            </w:r>
          </w:p>
        </w:tc>
        <w:tc>
          <w:tcPr>
            <w:tcW w:type="dxa" w:w="1029"/>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val="false"/>
                <w:bCs w:val="false"/>
                <w:sz w:val="15"/>
                <w:szCs w:val="15"/>
              </w:rPr>
              <w:t xml:space="preserve">746.852</w:t>
            </w:r>
          </w:p>
        </w:tc>
        <w:tc>
          <w:tcPr>
            <w:tcW w:type="dxa" w:w="889"/>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val="false"/>
                <w:bCs w:val="false"/>
                <w:sz w:val="15"/>
                <w:szCs w:val="15"/>
              </w:rPr>
              <w:t xml:space="preserve">117,1</w:t>
            </w:r>
          </w:p>
        </w:tc>
        <w:tc>
          <w:tcPr>
            <w:tcW w:type="dxa" w:w="795"/>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val="false"/>
                <w:bCs w:val="false"/>
                <w:sz w:val="15"/>
                <w:szCs w:val="15"/>
              </w:rPr>
              <w:t xml:space="preserve">77,9</w:t>
            </w:r>
          </w:p>
        </w:tc>
      </w:tr>
      <w:tr>
        <w:trPr>
          <w:cantSplit/>
        </w:trPr>
        <w:tc>
          <w:tcPr>
            <w:tcW w:type="dxa" w:w="748"/>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left"/>
              <w:rPr>
                <w:sz w:val="15"/>
                <w:szCs w:val="15"/>
              </w:rPr>
            </w:pPr>
            <w:r>
              <w:rPr>
                <w:b w:val="false"/>
                <w:bCs w:val="false"/>
                <w:sz w:val="15"/>
                <w:szCs w:val="15"/>
              </w:rPr>
              <w:t xml:space="preserve">Noche</w:t>
            </w:r>
          </w:p>
        </w:tc>
        <w:tc>
          <w:tcPr>
            <w:tcW w:type="dxa" w:w="1216"/>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left"/>
              <w:rPr>
                <w:sz w:val="15"/>
                <w:szCs w:val="15"/>
              </w:rPr>
            </w:pPr>
            <w:r>
              <w:rPr>
                <w:b w:val="false"/>
                <w:bCs w:val="false"/>
                <w:sz w:val="15"/>
                <w:szCs w:val="15"/>
              </w:rPr>
              <w:t xml:space="preserve">Hábil</w:t>
            </w:r>
          </w:p>
        </w:tc>
        <w:tc>
          <w:tcPr>
            <w:tcW w:type="dxa" w:w="1029"/>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val="false"/>
                <w:bCs w:val="false"/>
                <w:sz w:val="15"/>
                <w:szCs w:val="15"/>
              </w:rPr>
              <w:t xml:space="preserve">1.891.308</w:t>
            </w:r>
          </w:p>
        </w:tc>
        <w:tc>
          <w:tcPr>
            <w:tcW w:type="dxa" w:w="889"/>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val="false"/>
                <w:bCs w:val="false"/>
                <w:sz w:val="15"/>
                <w:szCs w:val="15"/>
              </w:rPr>
              <w:t xml:space="preserve">126,2</w:t>
            </w:r>
          </w:p>
        </w:tc>
        <w:tc>
          <w:tcPr>
            <w:tcW w:type="dxa" w:w="795"/>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val="false"/>
                <w:bCs w:val="false"/>
                <w:sz w:val="15"/>
                <w:szCs w:val="15"/>
              </w:rPr>
              <w:t xml:space="preserve">76,1</w:t>
            </w:r>
          </w:p>
        </w:tc>
      </w:tr>
      <w:tr>
        <w:trPr>
          <w:cantSplit/>
        </w:trPr>
        <w:tc>
          <w:tcPr>
            <w:tcW w:type="dxa" w:w="748"/>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left"/>
              <w:rPr>
                <w:sz w:val="15"/>
                <w:szCs w:val="15"/>
              </w:rPr>
            </w:pPr>
            <w:r>
              <w:rPr>
                <w:b w:val="false"/>
                <w:bCs w:val="false"/>
                <w:sz w:val="15"/>
                <w:szCs w:val="15"/>
              </w:rPr>
              <w:t xml:space="preserve">Noche</w:t>
            </w:r>
          </w:p>
        </w:tc>
        <w:tc>
          <w:tcPr>
            <w:tcW w:type="dxa" w:w="1216"/>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left"/>
              <w:rPr>
                <w:sz w:val="15"/>
                <w:szCs w:val="15"/>
              </w:rPr>
            </w:pPr>
            <w:r>
              <w:rPr>
                <w:b w:val="false"/>
                <w:bCs w:val="false"/>
                <w:sz w:val="15"/>
                <w:szCs w:val="15"/>
              </w:rPr>
              <w:t xml:space="preserve">Fin de semana</w:t>
            </w:r>
          </w:p>
        </w:tc>
        <w:tc>
          <w:tcPr>
            <w:tcW w:type="dxa" w:w="1029"/>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val="false"/>
                <w:bCs w:val="false"/>
                <w:sz w:val="15"/>
                <w:szCs w:val="15"/>
              </w:rPr>
              <w:t xml:space="preserve">479.287</w:t>
            </w:r>
          </w:p>
        </w:tc>
        <w:tc>
          <w:tcPr>
            <w:tcW w:type="dxa" w:w="889"/>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val="false"/>
                <w:bCs w:val="false"/>
                <w:sz w:val="15"/>
                <w:szCs w:val="15"/>
              </w:rPr>
              <w:t xml:space="preserve">135,8</w:t>
            </w:r>
          </w:p>
        </w:tc>
        <w:tc>
          <w:tcPr>
            <w:tcW w:type="dxa" w:w="795"/>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val="false"/>
                <w:bCs w:val="false"/>
                <w:sz w:val="15"/>
                <w:szCs w:val="15"/>
              </w:rPr>
              <w:t xml:space="preserve">87,9</w:t>
            </w:r>
          </w:p>
        </w:tc>
      </w:tr>
      <w:tr>
        <w:trPr>
          <w:cantSplit/>
        </w:trPr>
        <w:tc>
          <w:tcPr>
            <w:tcW w:type="dxa" w:w="4677"/>
            <w:gridSpan w:val="5"/>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left"/>
              <w:rPr>
                <w:sz w:val="15"/>
                <w:szCs w:val="15"/>
              </w:rPr>
            </w:pPr>
            <w:r>
              <w:rPr>
                <w:b/>
                <w:bCs/>
                <w:sz w:val="15"/>
                <w:szCs w:val="15"/>
              </w:rPr>
              <w:t xml:space="preserve">Astronomical_Twilight</w:t>
            </w:r>
          </w:p>
        </w:tc>
      </w:tr>
      <w:tr>
        <w:trPr>
          <w:cantSplit/>
        </w:trPr>
        <w:tc>
          <w:tcPr>
            <w:tcW w:type="dxa" w:w="748"/>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left"/>
              <w:rPr>
                <w:sz w:val="15"/>
                <w:szCs w:val="15"/>
              </w:rPr>
            </w:pPr>
            <w:r>
              <w:rPr>
                <w:b w:val="false"/>
                <w:bCs w:val="false"/>
                <w:sz w:val="15"/>
                <w:szCs w:val="15"/>
              </w:rPr>
              <w:t xml:space="preserve">Día</w:t>
            </w:r>
          </w:p>
        </w:tc>
        <w:tc>
          <w:tcPr>
            <w:tcW w:type="dxa" w:w="1216"/>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left"/>
              <w:rPr>
                <w:sz w:val="15"/>
                <w:szCs w:val="15"/>
              </w:rPr>
            </w:pPr>
            <w:r>
              <w:rPr>
                <w:b w:val="false"/>
                <w:bCs w:val="false"/>
                <w:sz w:val="15"/>
                <w:szCs w:val="15"/>
              </w:rPr>
              <w:t xml:space="preserve">Hábil</w:t>
            </w:r>
          </w:p>
        </w:tc>
        <w:tc>
          <w:tcPr>
            <w:tcW w:type="dxa" w:w="1029"/>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val="false"/>
                <w:bCs w:val="false"/>
                <w:sz w:val="15"/>
                <w:szCs w:val="15"/>
              </w:rPr>
              <w:t xml:space="preserve">5.490.023</w:t>
            </w:r>
          </w:p>
        </w:tc>
        <w:tc>
          <w:tcPr>
            <w:tcW w:type="dxa" w:w="889"/>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val="false"/>
                <w:bCs w:val="false"/>
                <w:sz w:val="15"/>
                <w:szCs w:val="15"/>
              </w:rPr>
              <w:t xml:space="preserve">109,2</w:t>
            </w:r>
          </w:p>
        </w:tc>
        <w:tc>
          <w:tcPr>
            <w:tcW w:type="dxa" w:w="795"/>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val="false"/>
                <w:bCs w:val="false"/>
                <w:sz w:val="15"/>
                <w:szCs w:val="15"/>
              </w:rPr>
              <w:t xml:space="preserve">60,7</w:t>
            </w:r>
          </w:p>
        </w:tc>
      </w:tr>
      <w:tr>
        <w:trPr>
          <w:cantSplit/>
        </w:trPr>
        <w:tc>
          <w:tcPr>
            <w:tcW w:type="dxa" w:w="748"/>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left"/>
              <w:rPr>
                <w:sz w:val="15"/>
                <w:szCs w:val="15"/>
              </w:rPr>
            </w:pPr>
            <w:r>
              <w:rPr>
                <w:b w:val="false"/>
                <w:bCs w:val="false"/>
                <w:sz w:val="15"/>
                <w:szCs w:val="15"/>
              </w:rPr>
              <w:t xml:space="preserve">Día</w:t>
            </w:r>
          </w:p>
        </w:tc>
        <w:tc>
          <w:tcPr>
            <w:tcW w:type="dxa" w:w="1216"/>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left"/>
              <w:rPr>
                <w:sz w:val="15"/>
                <w:szCs w:val="15"/>
              </w:rPr>
            </w:pPr>
            <w:r>
              <w:rPr>
                <w:b w:val="false"/>
                <w:bCs w:val="false"/>
                <w:sz w:val="15"/>
                <w:szCs w:val="15"/>
              </w:rPr>
              <w:t xml:space="preserve">Fin de semana</w:t>
            </w:r>
          </w:p>
        </w:tc>
        <w:tc>
          <w:tcPr>
            <w:tcW w:type="dxa" w:w="1029"/>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val="false"/>
                <w:bCs w:val="false"/>
                <w:sz w:val="15"/>
                <w:szCs w:val="15"/>
              </w:rPr>
              <w:t xml:space="preserve">887.525</w:t>
            </w:r>
          </w:p>
        </w:tc>
        <w:tc>
          <w:tcPr>
            <w:tcW w:type="dxa" w:w="889"/>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val="false"/>
                <w:bCs w:val="false"/>
                <w:sz w:val="15"/>
                <w:szCs w:val="15"/>
              </w:rPr>
              <w:t xml:space="preserve">119,4</w:t>
            </w:r>
          </w:p>
        </w:tc>
        <w:tc>
          <w:tcPr>
            <w:tcW w:type="dxa" w:w="795"/>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val="false"/>
                <w:bCs w:val="false"/>
                <w:sz w:val="15"/>
                <w:szCs w:val="15"/>
              </w:rPr>
              <w:t xml:space="preserve">78,1</w:t>
            </w:r>
          </w:p>
        </w:tc>
      </w:tr>
      <w:tr>
        <w:trPr>
          <w:cantSplit/>
        </w:trPr>
        <w:tc>
          <w:tcPr>
            <w:tcW w:type="dxa" w:w="748"/>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left"/>
              <w:rPr>
                <w:sz w:val="15"/>
                <w:szCs w:val="15"/>
              </w:rPr>
            </w:pPr>
            <w:r>
              <w:rPr>
                <w:b w:val="false"/>
                <w:bCs w:val="false"/>
                <w:sz w:val="15"/>
                <w:szCs w:val="15"/>
              </w:rPr>
              <w:t xml:space="preserve">Noche</w:t>
            </w:r>
          </w:p>
        </w:tc>
        <w:tc>
          <w:tcPr>
            <w:tcW w:type="dxa" w:w="1216"/>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left"/>
              <w:rPr>
                <w:sz w:val="15"/>
                <w:szCs w:val="15"/>
              </w:rPr>
            </w:pPr>
            <w:r>
              <w:rPr>
                <w:b w:val="false"/>
                <w:bCs w:val="false"/>
                <w:sz w:val="15"/>
                <w:szCs w:val="15"/>
              </w:rPr>
              <w:t xml:space="preserve">Hábil</w:t>
            </w:r>
          </w:p>
        </w:tc>
        <w:tc>
          <w:tcPr>
            <w:tcW w:type="dxa" w:w="1029"/>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val="false"/>
                <w:bCs w:val="false"/>
                <w:sz w:val="15"/>
                <w:szCs w:val="15"/>
              </w:rPr>
              <w:t xml:space="preserve">988.986</w:t>
            </w:r>
          </w:p>
        </w:tc>
        <w:tc>
          <w:tcPr>
            <w:tcW w:type="dxa" w:w="889"/>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val="false"/>
                <w:bCs w:val="false"/>
                <w:sz w:val="15"/>
                <w:szCs w:val="15"/>
              </w:rPr>
              <w:t xml:space="preserve">137,2</w:t>
            </w:r>
          </w:p>
        </w:tc>
        <w:tc>
          <w:tcPr>
            <w:tcW w:type="dxa" w:w="795"/>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val="false"/>
                <w:bCs w:val="false"/>
                <w:sz w:val="15"/>
                <w:szCs w:val="15"/>
              </w:rPr>
              <w:t xml:space="preserve">79,8</w:t>
            </w:r>
          </w:p>
        </w:tc>
      </w:tr>
      <w:tr>
        <w:trPr>
          <w:cantSplit/>
        </w:trPr>
        <w:tc>
          <w:tcPr>
            <w:tcW w:type="dxa" w:w="748"/>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val="false"/>
              <w:keepLines/>
              <w:jc w:val="left"/>
              <w:rPr>
                <w:sz w:val="15"/>
                <w:szCs w:val="15"/>
              </w:rPr>
            </w:pPr>
            <w:r>
              <w:rPr>
                <w:b w:val="false"/>
                <w:bCs w:val="false"/>
                <w:sz w:val="15"/>
                <w:szCs w:val="15"/>
              </w:rPr>
              <w:t xml:space="preserve">Noche</w:t>
            </w:r>
          </w:p>
        </w:tc>
        <w:tc>
          <w:tcPr>
            <w:tcW w:type="dxa" w:w="1216"/>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val="false"/>
              <w:keepLines/>
              <w:jc w:val="left"/>
              <w:rPr>
                <w:sz w:val="15"/>
                <w:szCs w:val="15"/>
              </w:rPr>
            </w:pPr>
            <w:r>
              <w:rPr>
                <w:b w:val="false"/>
                <w:bCs w:val="false"/>
                <w:sz w:val="15"/>
                <w:szCs w:val="15"/>
              </w:rPr>
              <w:t xml:space="preserve">Fin de semana</w:t>
            </w:r>
          </w:p>
        </w:tc>
        <w:tc>
          <w:tcPr>
            <w:tcW w:type="dxa" w:w="1029"/>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val="false"/>
              <w:keepLines/>
              <w:jc w:val="center"/>
              <w:rPr>
                <w:sz w:val="15"/>
                <w:szCs w:val="15"/>
              </w:rPr>
            </w:pPr>
            <w:r>
              <w:rPr>
                <w:b w:val="false"/>
                <w:bCs w:val="false"/>
                <w:sz w:val="15"/>
                <w:szCs w:val="15"/>
              </w:rPr>
              <w:t xml:space="preserve">338.614</w:t>
            </w:r>
          </w:p>
        </w:tc>
        <w:tc>
          <w:tcPr>
            <w:tcW w:type="dxa" w:w="889"/>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val="false"/>
              <w:keepLines/>
              <w:jc w:val="center"/>
              <w:rPr>
                <w:sz w:val="15"/>
                <w:szCs w:val="15"/>
              </w:rPr>
            </w:pPr>
            <w:r>
              <w:rPr>
                <w:b w:val="false"/>
                <w:bCs w:val="false"/>
                <w:sz w:val="15"/>
                <w:szCs w:val="15"/>
              </w:rPr>
              <w:t xml:space="preserve">137,6</w:t>
            </w:r>
          </w:p>
        </w:tc>
        <w:tc>
          <w:tcPr>
            <w:tcW w:type="dxa" w:w="795"/>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val="false"/>
              <w:keepLines/>
              <w:jc w:val="center"/>
              <w:rPr>
                <w:sz w:val="15"/>
                <w:szCs w:val="15"/>
              </w:rPr>
            </w:pPr>
            <w:r>
              <w:rPr>
                <w:b w:val="false"/>
                <w:bCs w:val="false"/>
                <w:sz w:val="15"/>
                <w:szCs w:val="15"/>
              </w:rPr>
              <w:t xml:space="preserve">92,5</w:t>
            </w:r>
          </w:p>
        </w:tc>
      </w:tr>
    </w:tbl>
    <w:p>
      <w:pPr>
        <w:spacing w:after="60"/>
      </w:pPr>
      <w:r>
        <w:rPr>
          <w:sz w:val="12"/>
          <w:szCs w:val="12"/>
        </w:rPr>
        <w:t xml:space="preserve"/>
      </w:r>
    </w:p>
    <w:p>
      <w:pPr>
        <w:keepNext/>
        <w:spacing w:before="120"/>
        <w:jc w:val="center"/>
      </w:pPr>
      <w:r>
        <w:drawing>
          <wp:inline distT="0" distB="0" distL="0" distR="0">
            <wp:extent cx="2876550" cy="1771650"/>
            <wp:effectExtent t="0" r="0" b="0" l="0"/>
            <wp:docPr id="1" name="c10_despeje.png" descr="Figura 2. Tiempo de despeje de día y de noche (Sunrise_Sunset)." title="Figura 2. Tiempo de despeje de día y de noche (Sunrise_Sun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876550" cy="1771650"/>
                    </a:xfrm>
                    <a:prstGeom prst="rect">
                      <a:avLst/>
                    </a:prstGeom>
                  </pic:spPr>
                </pic:pic>
              </a:graphicData>
            </a:graphic>
          </wp:inline>
        </w:drawing>
      </w:r>
    </w:p>
    <w:p>
      <w:pPr>
        <w:keepNext w:val="false"/>
        <w:keepLines/>
        <w:spacing w:after="160" w:before="60"/>
        <w:jc w:val="center"/>
      </w:pPr>
      <w:r>
        <w:rPr>
          <w:rFonts w:ascii="Arial" w:cs="Arial" w:eastAsia="Arial" w:hAnsi="Arial"/>
          <w:b/>
          <w:bCs/>
          <w:sz w:val="18"/>
          <w:szCs w:val="18"/>
        </w:rPr>
        <w:t xml:space="preserve">Figura 2. Tiempo de despeje de día y de noche (Sunrise_Sunset).</w:t>
      </w:r>
    </w:p>
    <w:p>
      <w:pPr>
        <w:ind w:firstLine="284"/>
        <w:jc w:val="both"/>
      </w:pPr>
      <w:r>
        <w:t xml:space="preserve">Las dos medidas y las dos definiciones coinciden: el despeje tarda más de noche que de día, y más en fin de semana que en día hábil. Con </w:t>
      </w:r>
      <w:r>
        <w:rPr>
          <w:rFonts w:ascii="Courier New" w:cs="Courier New" w:eastAsia="Courier New" w:hAnsi="Courier New"/>
          <w:sz w:val="18"/>
          <w:szCs w:val="18"/>
        </w:rPr>
        <w:t xml:space="preserve">Sunrise_Sunset</w:t>
      </w:r>
      <w:r>
        <w:t xml:space="preserve">, la mediana pasa de 60,6 minutos en un día hábil a 76,1 en una noche hábil y a 87,9 en una noche de fin de semana, un 45 % más que en el caso más favorable. La definición astronómica, más estricta, acentúa la diferencia: la mediana nocturna en fin de semana llega a 92,5 minutos. El resultado es descriptivo, porque no controla por severidad, lugar ni fuente del dato.</w:t>
      </w:r>
    </w:p>
    <w:p>
      <w:pPr>
        <w:keepNext/>
        <w:spacing w:after="240" w:before="480"/>
      </w:pPr>
      <w:r>
        <w:rPr>
          <w:b/>
          <w:bCs/>
          <w:sz w:val="24"/>
          <w:szCs w:val="24"/>
        </w:rPr>
        <w:t xml:space="preserve">4. Modelado con Spark MLlib</w:t>
      </w:r>
    </w:p>
    <w:p>
      <w:pPr>
        <w:keepNext/>
        <w:spacing w:after="120" w:before="120"/>
      </w:pPr>
      <w:r>
        <w:rPr>
          <w:b/>
          <w:bCs/>
          <w:sz w:val="22"/>
          <w:szCs w:val="22"/>
        </w:rPr>
        <w:t xml:space="preserve">4.1. Problema e hipótesis</w:t>
      </w:r>
    </w:p>
    <w:p>
      <w:pPr>
        <w:ind w:firstLine="284"/>
        <w:jc w:val="both"/>
      </w:pPr>
      <w:r>
        <w:t xml:space="preserve">Se planteó un problema de clasificación binaria: anticipar si un siniestro será de severidad alta (</w:t>
      </w:r>
      <w:r>
        <w:rPr>
          <w:rFonts w:ascii="Courier New" w:cs="Courier New" w:eastAsia="Courier New" w:hAnsi="Courier New"/>
          <w:sz w:val="18"/>
          <w:szCs w:val="18"/>
        </w:rPr>
        <w:t xml:space="preserve">Severity</w:t>
      </w:r>
      <w:r>
        <w:t xml:space="preserve"> ≥ 3) o no. Una alerta temprana de ese tipo permitiría priorizar recursos de asistencia vial. De los 7.728.394 siniestros, 1.504.047 (19,46 %) pertenecen a la clase positiva.</w:t>
      </w:r>
    </w:p>
    <w:p>
      <w:pPr>
        <w:ind w:firstLine="284"/>
        <w:jc w:val="both"/>
      </w:pPr>
      <w:r>
        <w:t xml:space="preserve">La hipótesis fue que las condiciones meteorológicas, el momento del siniestro y la infraestructura vial del lugar aportan información para distinguir ambas clases. Es una hipótesis predictiva, no causal. Las variables son seis meteorológicas numéricas (temperatura, humedad, presión, visibilidad, velocidad del viento y precipitación), la condición meteorológica, la hora, el día de la semana y el mes, el indicador de día o noche, doce indicadores de infraestructura vial y el estado. La severidad solo se usa para construir la etiqueta, y se excluyó la hora de fin, que se conoce después del inicio.</w:t>
      </w:r>
    </w:p>
    <w:p>
      <w:pPr>
        <w:keepNext/>
        <w:spacing w:after="120" w:before="120"/>
      </w:pPr>
      <w:r>
        <w:rPr>
          <w:b/>
          <w:bCs/>
          <w:sz w:val="22"/>
          <w:szCs w:val="22"/>
        </w:rPr>
        <w:t xml:space="preserve">4.2. Pipeline y entrenamiento</w:t>
      </w:r>
    </w:p>
    <w:p>
      <w:pPr>
        <w:ind w:firstLine="284"/>
        <w:jc w:val="both"/>
      </w:pPr>
      <w:r>
        <w:t xml:space="preserve">El modelo se construyó como un </w:t>
      </w:r>
      <w:r>
        <w:rPr>
          <w:i/>
          <w:iCs/>
        </w:rPr>
        <w:t xml:space="preserve">pipeline</w:t>
      </w:r>
      <w:r>
        <w:t xml:space="preserve"> de </w:t>
      </w:r>
      <w:r>
        <w:rPr>
          <w:rFonts w:ascii="Courier New" w:cs="Courier New" w:eastAsia="Courier New" w:hAnsi="Courier New"/>
          <w:sz w:val="18"/>
          <w:szCs w:val="18"/>
        </w:rPr>
        <w:t xml:space="preserve">pyspark.ml</w:t>
      </w:r>
      <w:r>
        <w:t xml:space="preserve">. Un </w:t>
      </w:r>
      <w:r>
        <w:rPr>
          <w:rFonts w:ascii="Courier New" w:cs="Courier New" w:eastAsia="Courier New" w:hAnsi="Courier New"/>
          <w:sz w:val="18"/>
          <w:szCs w:val="18"/>
        </w:rPr>
        <w:t xml:space="preserve">Imputer</w:t>
      </w:r>
      <w:r>
        <w:t xml:space="preserve"> reemplaza los valores numéricos faltantes por la mediana. </w:t>
      </w:r>
      <w:r>
        <w:rPr>
          <w:rFonts w:ascii="Courier New" w:cs="Courier New" w:eastAsia="Courier New" w:hAnsi="Courier New"/>
          <w:sz w:val="18"/>
          <w:szCs w:val="18"/>
        </w:rPr>
        <w:t xml:space="preserve">StringIndexer</w:t>
      </w:r>
      <w:r>
        <w:t xml:space="preserve"> y </w:t>
      </w:r>
      <w:r>
        <w:rPr>
          <w:rFonts w:ascii="Courier New" w:cs="Courier New" w:eastAsia="Courier New" w:hAnsi="Courier New"/>
          <w:sz w:val="18"/>
          <w:szCs w:val="18"/>
        </w:rPr>
        <w:t xml:space="preserve">OneHotEncoder</w:t>
      </w:r>
      <w:r>
        <w:t xml:space="preserve"> codifican las variables categóricas, cuyos valores faltantes forman una categoría propia. </w:t>
      </w:r>
      <w:r>
        <w:rPr>
          <w:rFonts w:ascii="Courier New" w:cs="Courier New" w:eastAsia="Courier New" w:hAnsi="Courier New"/>
          <w:sz w:val="18"/>
          <w:szCs w:val="18"/>
        </w:rPr>
        <w:t xml:space="preserve">VectorAssembler</w:t>
      </w:r>
      <w:r>
        <w:t xml:space="preserve"> reúne las 244 columnas resultantes, y un </w:t>
      </w:r>
      <w:r>
        <w:rPr>
          <w:rFonts w:ascii="Courier New" w:cs="Courier New" w:eastAsia="Courier New" w:hAnsi="Courier New"/>
          <w:sz w:val="18"/>
          <w:szCs w:val="18"/>
        </w:rPr>
        <w:t xml:space="preserve">RandomForestClassifier</w:t>
      </w:r>
      <w:r>
        <w:t xml:space="preserve"> [9] de 60 árboles y profundidad máxima 8 hace la clasificación. No se escalaron las variables porque los árboles de decisión no dependen de su escala. Los datos se dividieron al azar en 80 % para entrenamiento (6.183.503 filas) y 20 % para prueba (1.544.891), con semilla fija, y todas las transformaciones se ajustaron solo con el conjunto de entrenamiento.</w:t>
      </w:r>
    </w:p>
    <w:p>
      <w:pPr>
        <w:ind w:firstLine="284"/>
        <w:jc w:val="both"/>
      </w:pPr>
      <w:r>
        <w:t xml:space="preserve">El desbalance de clases resultó determinante. En una ejecución previa del mismo </w:t>
      </w:r>
      <w:r>
        <w:rPr>
          <w:i/>
          <w:iCs/>
        </w:rPr>
        <w:t xml:space="preserve">pipeline</w:t>
      </w:r>
      <w:r>
        <w:t xml:space="preserve"> sin corrección, que se reproduce quitando el parámetro </w:t>
      </w:r>
      <w:r>
        <w:rPr>
          <w:rFonts w:ascii="Courier New" w:cs="Courier New" w:eastAsia="Courier New" w:hAnsi="Courier New"/>
          <w:sz w:val="18"/>
          <w:szCs w:val="18"/>
        </w:rPr>
        <w:t xml:space="preserve">weightCol</w:t>
      </w:r>
      <w:r>
        <w:t xml:space="preserve">, el bosque predecía siempre la clase mayoritaria: su exactitud, 0,805, era la de esa regla trivial, y no detectaba ningún siniestro grave. Por eso cada fila de entrenamiento recibe un peso inversamente proporcional a la frecuencia de su clase (0,621 para la clase negativa y 2,569 para la positiva), que el clasificador toma mediante el parámetro </w:t>
      </w:r>
      <w:r>
        <w:rPr>
          <w:rFonts w:ascii="Courier New" w:cs="Courier New" w:eastAsia="Courier New" w:hAnsi="Courier New"/>
          <w:sz w:val="18"/>
          <w:szCs w:val="18"/>
        </w:rPr>
        <w:t xml:space="preserve">weightCol</w:t>
      </w:r>
      <w:r>
        <w:t xml:space="preserve">.</w:t>
      </w:r>
    </w:p>
    <w:p>
      <w:pPr>
        <w:keepNext/>
        <w:spacing w:after="120" w:before="120"/>
      </w:pPr>
      <w:r>
        <w:rPr>
          <w:b/>
          <w:bCs/>
          <w:sz w:val="22"/>
          <w:szCs w:val="22"/>
        </w:rPr>
        <w:t xml:space="preserve">4.3. Resultados</w:t>
      </w:r>
    </w:p>
    <w:p>
      <w:pPr>
        <w:keepNext/>
        <w:keepLines/>
        <w:spacing w:after="60" w:before="160"/>
        <w:jc w:val="center"/>
      </w:pPr>
      <w:r>
        <w:rPr>
          <w:rFonts w:ascii="Arial" w:cs="Arial" w:eastAsia="Arial" w:hAnsi="Arial"/>
          <w:b/>
          <w:bCs/>
          <w:sz w:val="18"/>
          <w:szCs w:val="18"/>
        </w:rPr>
        <w:t xml:space="preserve">Tabla 7. Métricas del clasificador sobre el conjunto de prueba.</w:t>
      </w:r>
    </w:p>
    <w:tbl>
      <w:tblPr>
        <w:tblW w:type="dxa" w:w="4677"/>
        <w:jc w:val="center"/>
        <w:tblBorders>
          <w:top w:val="single" w:color="auto" w:sz="4"/>
          <w:left w:val="single" w:color="auto" w:sz="4"/>
          <w:bottom w:val="single" w:color="auto" w:sz="4"/>
          <w:right w:val="single" w:color="auto" w:sz="4"/>
          <w:insideH w:val="single" w:color="auto" w:sz="4"/>
          <w:insideV w:val="single" w:color="auto" w:sz="4"/>
        </w:tblBorders>
      </w:tblPr>
      <w:tblGrid>
        <w:gridCol w:w="1403"/>
        <w:gridCol w:w="935"/>
        <w:gridCol w:w="2339"/>
      </w:tblGrid>
      <w:tr>
        <w:trPr>
          <w:cantSplit/>
          <w:tblHeader/>
        </w:trPr>
        <w:tc>
          <w:tcPr>
            <w:tcW w:type="dxa" w:w="1403"/>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7"/>
                <w:szCs w:val="17"/>
              </w:rPr>
            </w:pPr>
            <w:r>
              <w:rPr>
                <w:b/>
                <w:bCs/>
                <w:sz w:val="17"/>
                <w:szCs w:val="17"/>
              </w:rPr>
              <w:t xml:space="preserve">Métrica</w:t>
            </w:r>
          </w:p>
        </w:tc>
        <w:tc>
          <w:tcPr>
            <w:tcW w:type="dxa" w:w="935"/>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7"/>
                <w:szCs w:val="17"/>
              </w:rPr>
            </w:pPr>
            <w:r>
              <w:rPr>
                <w:b/>
                <w:bCs/>
                <w:sz w:val="17"/>
                <w:szCs w:val="17"/>
              </w:rPr>
              <w:t xml:space="preserve">Modelo</w:t>
            </w:r>
          </w:p>
        </w:tc>
        <w:tc>
          <w:tcPr>
            <w:tcW w:type="dxa" w:w="2339"/>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7"/>
                <w:szCs w:val="17"/>
              </w:rPr>
            </w:pPr>
            <w:r>
              <w:rPr>
                <w:b/>
                <w:bCs/>
                <w:sz w:val="17"/>
                <w:szCs w:val="17"/>
              </w:rPr>
              <w:t xml:space="preserve">Referencia</w:t>
            </w:r>
          </w:p>
        </w:tc>
      </w:tr>
      <w:tr>
        <w:trPr>
          <w:cantSplit/>
        </w:trPr>
        <w:tc>
          <w:tcPr>
            <w:tcW w:type="dxa" w:w="1403"/>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left"/>
              <w:rPr>
                <w:sz w:val="17"/>
                <w:szCs w:val="17"/>
              </w:rPr>
            </w:pPr>
            <w:r>
              <w:rPr>
                <w:b w:val="false"/>
                <w:bCs w:val="false"/>
                <w:sz w:val="17"/>
                <w:szCs w:val="17"/>
              </w:rPr>
              <w:t xml:space="preserve">ROC-AUC</w:t>
            </w:r>
          </w:p>
        </w:tc>
        <w:tc>
          <w:tcPr>
            <w:tcW w:type="dxa" w:w="935"/>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7"/>
                <w:szCs w:val="17"/>
              </w:rPr>
            </w:pPr>
            <w:r>
              <w:rPr>
                <w:b w:val="false"/>
                <w:bCs w:val="false"/>
                <w:sz w:val="17"/>
                <w:szCs w:val="17"/>
              </w:rPr>
              <w:t xml:space="preserve">0,724</w:t>
            </w:r>
          </w:p>
        </w:tc>
        <w:tc>
          <w:tcPr>
            <w:tcW w:type="dxa" w:w="2339"/>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left"/>
              <w:rPr>
                <w:sz w:val="17"/>
                <w:szCs w:val="17"/>
              </w:rPr>
            </w:pPr>
            <w:r>
              <w:rPr>
                <w:b w:val="false"/>
                <w:bCs w:val="false"/>
                <w:sz w:val="17"/>
                <w:szCs w:val="17"/>
              </w:rPr>
              <w:t xml:space="preserve">0,500 (azar)</w:t>
            </w:r>
          </w:p>
        </w:tc>
      </w:tr>
      <w:tr>
        <w:trPr>
          <w:cantSplit/>
        </w:trPr>
        <w:tc>
          <w:tcPr>
            <w:tcW w:type="dxa" w:w="1403"/>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left"/>
              <w:rPr>
                <w:sz w:val="17"/>
                <w:szCs w:val="17"/>
              </w:rPr>
            </w:pPr>
            <w:r>
              <w:rPr>
                <w:b w:val="false"/>
                <w:bCs w:val="false"/>
                <w:sz w:val="17"/>
                <w:szCs w:val="17"/>
              </w:rPr>
              <w:t xml:space="preserve">PR-AUC</w:t>
            </w:r>
          </w:p>
        </w:tc>
        <w:tc>
          <w:tcPr>
            <w:tcW w:type="dxa" w:w="935"/>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7"/>
                <w:szCs w:val="17"/>
              </w:rPr>
            </w:pPr>
            <w:r>
              <w:rPr>
                <w:b w:val="false"/>
                <w:bCs w:val="false"/>
                <w:sz w:val="17"/>
                <w:szCs w:val="17"/>
              </w:rPr>
              <w:t xml:space="preserve">0,383</w:t>
            </w:r>
          </w:p>
        </w:tc>
        <w:tc>
          <w:tcPr>
            <w:tcW w:type="dxa" w:w="2339"/>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left"/>
              <w:rPr>
                <w:sz w:val="17"/>
                <w:szCs w:val="17"/>
              </w:rPr>
            </w:pPr>
            <w:r>
              <w:rPr>
                <w:b w:val="false"/>
                <w:bCs w:val="false"/>
                <w:sz w:val="17"/>
                <w:szCs w:val="17"/>
              </w:rPr>
              <w:t xml:space="preserve">0,195 (azar)</w:t>
            </w:r>
          </w:p>
        </w:tc>
      </w:tr>
      <w:tr>
        <w:trPr>
          <w:cantSplit/>
        </w:trPr>
        <w:tc>
          <w:tcPr>
            <w:tcW w:type="dxa" w:w="1403"/>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left"/>
              <w:rPr>
                <w:sz w:val="17"/>
                <w:szCs w:val="17"/>
              </w:rPr>
            </w:pPr>
            <w:r>
              <w:rPr>
                <w:b w:val="false"/>
                <w:bCs w:val="false"/>
                <w:sz w:val="17"/>
                <w:szCs w:val="17"/>
              </w:rPr>
              <w:t xml:space="preserve">Recall</w:t>
            </w:r>
          </w:p>
        </w:tc>
        <w:tc>
          <w:tcPr>
            <w:tcW w:type="dxa" w:w="935"/>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7"/>
                <w:szCs w:val="17"/>
              </w:rPr>
            </w:pPr>
            <w:r>
              <w:rPr>
                <w:b w:val="false"/>
                <w:bCs w:val="false"/>
                <w:sz w:val="17"/>
                <w:szCs w:val="17"/>
              </w:rPr>
              <w:t xml:space="preserve">0,696</w:t>
            </w:r>
          </w:p>
        </w:tc>
        <w:tc>
          <w:tcPr>
            <w:tcW w:type="dxa" w:w="2339"/>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left"/>
              <w:rPr>
                <w:sz w:val="17"/>
                <w:szCs w:val="17"/>
              </w:rPr>
            </w:pPr>
            <w:r>
              <w:rPr>
                <w:b w:val="false"/>
                <w:bCs w:val="false"/>
                <w:sz w:val="17"/>
                <w:szCs w:val="17"/>
              </w:rPr>
              <w:t xml:space="preserve">—</w:t>
            </w:r>
          </w:p>
        </w:tc>
      </w:tr>
      <w:tr>
        <w:trPr>
          <w:cantSplit/>
        </w:trPr>
        <w:tc>
          <w:tcPr>
            <w:tcW w:type="dxa" w:w="1403"/>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left"/>
              <w:rPr>
                <w:sz w:val="17"/>
                <w:szCs w:val="17"/>
              </w:rPr>
            </w:pPr>
            <w:r>
              <w:rPr>
                <w:b w:val="false"/>
                <w:bCs w:val="false"/>
                <w:sz w:val="17"/>
                <w:szCs w:val="17"/>
              </w:rPr>
              <w:t xml:space="preserve">Precisión</w:t>
            </w:r>
          </w:p>
        </w:tc>
        <w:tc>
          <w:tcPr>
            <w:tcW w:type="dxa" w:w="935"/>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7"/>
                <w:szCs w:val="17"/>
              </w:rPr>
            </w:pPr>
            <w:r>
              <w:rPr>
                <w:b w:val="false"/>
                <w:bCs w:val="false"/>
                <w:sz w:val="17"/>
                <w:szCs w:val="17"/>
              </w:rPr>
              <w:t xml:space="preserve">0,313</w:t>
            </w:r>
          </w:p>
        </w:tc>
        <w:tc>
          <w:tcPr>
            <w:tcW w:type="dxa" w:w="2339"/>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left"/>
              <w:rPr>
                <w:sz w:val="17"/>
                <w:szCs w:val="17"/>
              </w:rPr>
            </w:pPr>
            <w:r>
              <w:rPr>
                <w:b w:val="false"/>
                <w:bCs w:val="false"/>
                <w:sz w:val="17"/>
                <w:szCs w:val="17"/>
              </w:rPr>
              <w:t xml:space="preserve">0,195 (alertar al azar)</w:t>
            </w:r>
          </w:p>
        </w:tc>
      </w:tr>
      <w:tr>
        <w:trPr>
          <w:cantSplit/>
        </w:trPr>
        <w:tc>
          <w:tcPr>
            <w:tcW w:type="dxa" w:w="1403"/>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left"/>
              <w:rPr>
                <w:sz w:val="17"/>
                <w:szCs w:val="17"/>
              </w:rPr>
            </w:pPr>
            <w:r>
              <w:rPr>
                <w:b w:val="false"/>
                <w:bCs w:val="false"/>
                <w:sz w:val="17"/>
                <w:szCs w:val="17"/>
              </w:rPr>
              <w:t xml:space="preserve">F1</w:t>
            </w:r>
          </w:p>
        </w:tc>
        <w:tc>
          <w:tcPr>
            <w:tcW w:type="dxa" w:w="935"/>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7"/>
                <w:szCs w:val="17"/>
              </w:rPr>
            </w:pPr>
            <w:r>
              <w:rPr>
                <w:b w:val="false"/>
                <w:bCs w:val="false"/>
                <w:sz w:val="17"/>
                <w:szCs w:val="17"/>
              </w:rPr>
              <w:t xml:space="preserve">0,432</w:t>
            </w:r>
          </w:p>
        </w:tc>
        <w:tc>
          <w:tcPr>
            <w:tcW w:type="dxa" w:w="2339"/>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left"/>
              <w:rPr>
                <w:sz w:val="17"/>
                <w:szCs w:val="17"/>
              </w:rPr>
            </w:pPr>
            <w:r>
              <w:rPr>
                <w:b w:val="false"/>
                <w:bCs w:val="false"/>
                <w:sz w:val="17"/>
                <w:szCs w:val="17"/>
              </w:rPr>
              <w:t xml:space="preserve">0,326 (alertar siempre)</w:t>
            </w:r>
          </w:p>
        </w:tc>
      </w:tr>
      <w:tr>
        <w:trPr>
          <w:cantSplit/>
        </w:trPr>
        <w:tc>
          <w:tcPr>
            <w:tcW w:type="dxa" w:w="1403"/>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val="false"/>
              <w:keepLines/>
              <w:jc w:val="left"/>
              <w:rPr>
                <w:sz w:val="17"/>
                <w:szCs w:val="17"/>
              </w:rPr>
            </w:pPr>
            <w:r>
              <w:rPr>
                <w:b w:val="false"/>
                <w:bCs w:val="false"/>
                <w:sz w:val="17"/>
                <w:szCs w:val="17"/>
              </w:rPr>
              <w:t xml:space="preserve">Exactitud</w:t>
            </w:r>
          </w:p>
        </w:tc>
        <w:tc>
          <w:tcPr>
            <w:tcW w:type="dxa" w:w="935"/>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val="false"/>
              <w:keepLines/>
              <w:jc w:val="center"/>
              <w:rPr>
                <w:sz w:val="17"/>
                <w:szCs w:val="17"/>
              </w:rPr>
            </w:pPr>
            <w:r>
              <w:rPr>
                <w:b w:val="false"/>
                <w:bCs w:val="false"/>
                <w:sz w:val="17"/>
                <w:szCs w:val="17"/>
              </w:rPr>
              <w:t xml:space="preserve">0,644</w:t>
            </w:r>
          </w:p>
        </w:tc>
        <w:tc>
          <w:tcPr>
            <w:tcW w:type="dxa" w:w="2339"/>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val="false"/>
              <w:keepLines/>
              <w:jc w:val="left"/>
              <w:rPr>
                <w:sz w:val="17"/>
                <w:szCs w:val="17"/>
              </w:rPr>
            </w:pPr>
            <w:r>
              <w:rPr>
                <w:b w:val="false"/>
                <w:bCs w:val="false"/>
                <w:sz w:val="17"/>
                <w:szCs w:val="17"/>
              </w:rPr>
              <w:t xml:space="preserve">0,805 (no alertar nunca)</w:t>
            </w:r>
          </w:p>
        </w:tc>
      </w:tr>
    </w:tbl>
    <w:p>
      <w:pPr>
        <w:spacing w:after="60"/>
      </w:pPr>
      <w:r>
        <w:rPr>
          <w:sz w:val="12"/>
          <w:szCs w:val="12"/>
        </w:rPr>
        <w:t xml:space="preserve"/>
      </w:r>
    </w:p>
    <w:p>
      <w:pPr>
        <w:ind w:firstLine="284"/>
        <w:jc w:val="both"/>
      </w:pPr>
      <w:r>
        <w:t xml:space="preserve">Sobre el conjunto de prueba (Tablas 7 y 8), el modelo detecta 209.217 de los 300.658 siniestros graves, es decir, el 69,6 %, y deja sin detectar 91.441. A cambio emite 458.461 falsas alarmas: de cada 100 alertas, 31 corresponden a un siniestro grave, frente a 19 si se alertara al azar. La exactitud, 0,644, queda por debajo de la que se obtiene sin alertar nunca (0,805). Es el costo de detectar la clase minoritaria, y por eso la exactitud no es una medida adecuada para este problema. La capacidad de ordenar los casos por riesgo es moderada (ROC-AUC de 0,724).</w:t>
      </w:r>
    </w:p>
    <w:p>
      <w:pPr>
        <w:keepNext/>
        <w:keepLines/>
        <w:spacing w:after="60" w:before="160"/>
        <w:jc w:val="center"/>
      </w:pPr>
      <w:r>
        <w:rPr>
          <w:rFonts w:ascii="Arial" w:cs="Arial" w:eastAsia="Arial" w:hAnsi="Arial"/>
          <w:b/>
          <w:bCs/>
          <w:sz w:val="18"/>
          <w:szCs w:val="18"/>
        </w:rPr>
        <w:t xml:space="preserve">Tabla 8. Matriz de confusión sobre el conjunto de prueba.</w:t>
      </w:r>
    </w:p>
    <w:tbl>
      <w:tblPr>
        <w:tblW w:type="dxa" w:w="4677"/>
        <w:jc w:val="center"/>
        <w:tblBorders>
          <w:top w:val="single" w:color="auto" w:sz="4"/>
          <w:left w:val="single" w:color="auto" w:sz="4"/>
          <w:bottom w:val="single" w:color="auto" w:sz="4"/>
          <w:right w:val="single" w:color="auto" w:sz="4"/>
          <w:insideH w:val="single" w:color="auto" w:sz="4"/>
          <w:insideV w:val="single" w:color="auto" w:sz="4"/>
        </w:tblBorders>
      </w:tblPr>
      <w:tblGrid>
        <w:gridCol w:w="1590"/>
        <w:gridCol w:w="1543"/>
        <w:gridCol w:w="1544"/>
      </w:tblGrid>
      <w:tr>
        <w:trPr>
          <w:cantSplit/>
          <w:tblHeader/>
        </w:trPr>
        <w:tc>
          <w:tcPr>
            <w:tcW w:type="dxa" w:w="1590"/>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6"/>
                <w:szCs w:val="16"/>
              </w:rPr>
            </w:pPr>
          </w:p>
        </w:tc>
        <w:tc>
          <w:tcPr>
            <w:tcW w:type="dxa" w:w="1543"/>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6"/>
                <w:szCs w:val="16"/>
              </w:rPr>
            </w:pPr>
            <w:r>
              <w:rPr>
                <w:b/>
                <w:bCs/>
                <w:sz w:val="16"/>
                <w:szCs w:val="16"/>
              </w:rPr>
              <w:t xml:space="preserve">Predicho: no grave</w:t>
            </w:r>
          </w:p>
        </w:tc>
        <w:tc>
          <w:tcPr>
            <w:tcW w:type="dxa" w:w="1544"/>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6"/>
                <w:szCs w:val="16"/>
              </w:rPr>
            </w:pPr>
            <w:r>
              <w:rPr>
                <w:b/>
                <w:bCs/>
                <w:sz w:val="16"/>
                <w:szCs w:val="16"/>
              </w:rPr>
              <w:t xml:space="preserve">Predicho: grave</w:t>
            </w:r>
          </w:p>
        </w:tc>
      </w:tr>
      <w:tr>
        <w:trPr>
          <w:cantSplit/>
        </w:trPr>
        <w:tc>
          <w:tcPr>
            <w:tcW w:type="dxa" w:w="1590"/>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left"/>
              <w:rPr>
                <w:sz w:val="16"/>
                <w:szCs w:val="16"/>
              </w:rPr>
            </w:pPr>
            <w:r>
              <w:rPr>
                <w:b w:val="false"/>
                <w:bCs w:val="false"/>
                <w:sz w:val="16"/>
                <w:szCs w:val="16"/>
              </w:rPr>
              <w:t xml:space="preserve">Real: no grave</w:t>
            </w:r>
          </w:p>
        </w:tc>
        <w:tc>
          <w:tcPr>
            <w:tcW w:type="dxa" w:w="1543"/>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6"/>
                <w:szCs w:val="16"/>
              </w:rPr>
            </w:pPr>
            <w:r>
              <w:rPr>
                <w:b w:val="false"/>
                <w:bCs w:val="false"/>
                <w:sz w:val="16"/>
                <w:szCs w:val="16"/>
              </w:rPr>
              <w:t xml:space="preserve">785.772</w:t>
            </w:r>
          </w:p>
        </w:tc>
        <w:tc>
          <w:tcPr>
            <w:tcW w:type="dxa" w:w="1544"/>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6"/>
                <w:szCs w:val="16"/>
              </w:rPr>
            </w:pPr>
            <w:r>
              <w:rPr>
                <w:b w:val="false"/>
                <w:bCs w:val="false"/>
                <w:sz w:val="16"/>
                <w:szCs w:val="16"/>
              </w:rPr>
              <w:t xml:space="preserve">458.461</w:t>
            </w:r>
          </w:p>
        </w:tc>
      </w:tr>
      <w:tr>
        <w:trPr>
          <w:cantSplit/>
        </w:trPr>
        <w:tc>
          <w:tcPr>
            <w:tcW w:type="dxa" w:w="1590"/>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val="false"/>
              <w:keepLines/>
              <w:jc w:val="left"/>
              <w:rPr>
                <w:sz w:val="16"/>
                <w:szCs w:val="16"/>
              </w:rPr>
            </w:pPr>
            <w:r>
              <w:rPr>
                <w:b w:val="false"/>
                <w:bCs w:val="false"/>
                <w:sz w:val="16"/>
                <w:szCs w:val="16"/>
              </w:rPr>
              <w:t xml:space="preserve">Real: grave</w:t>
            </w:r>
          </w:p>
        </w:tc>
        <w:tc>
          <w:tcPr>
            <w:tcW w:type="dxa" w:w="1543"/>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val="false"/>
              <w:keepLines/>
              <w:jc w:val="center"/>
              <w:rPr>
                <w:sz w:val="16"/>
                <w:szCs w:val="16"/>
              </w:rPr>
            </w:pPr>
            <w:r>
              <w:rPr>
                <w:b w:val="false"/>
                <w:bCs w:val="false"/>
                <w:sz w:val="16"/>
                <w:szCs w:val="16"/>
              </w:rPr>
              <w:t xml:space="preserve">91.441</w:t>
            </w:r>
          </w:p>
        </w:tc>
        <w:tc>
          <w:tcPr>
            <w:tcW w:type="dxa" w:w="1544"/>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val="false"/>
              <w:keepLines/>
              <w:jc w:val="center"/>
              <w:rPr>
                <w:sz w:val="16"/>
                <w:szCs w:val="16"/>
              </w:rPr>
            </w:pPr>
            <w:r>
              <w:rPr>
                <w:b w:val="false"/>
                <w:bCs w:val="false"/>
                <w:sz w:val="16"/>
                <w:szCs w:val="16"/>
              </w:rPr>
              <w:t xml:space="preserve">209.217</w:t>
            </w:r>
          </w:p>
        </w:tc>
      </w:tr>
    </w:tbl>
    <w:p>
      <w:pPr>
        <w:spacing w:after="60"/>
      </w:pPr>
      <w:r>
        <w:rPr>
          <w:sz w:val="12"/>
          <w:szCs w:val="12"/>
        </w:rPr>
        <w:t xml:space="preserve"/>
      </w:r>
    </w:p>
    <w:p>
      <w:pPr>
        <w:ind w:firstLine="284"/>
        <w:jc w:val="both"/>
      </w:pPr>
      <w:r>
        <w:t xml:space="preserve">El bosque aleatorio informa la importancia de cada columna de entrada. Como la codificación </w:t>
      </w:r>
      <w:r>
        <w:rPr>
          <w:i/>
          <w:iCs/>
        </w:rPr>
        <w:t xml:space="preserve">one-hot</w:t>
      </w:r>
      <w:r>
        <w:t xml:space="preserve"> reparte cada variable categórica en varias columnas, la Tabla 9 suma las columnas de cada variable original y agrupa las variables según la hipótesis; el cálculo está en el script </w:t>
      </w:r>
      <w:r>
        <w:rPr>
          <w:rFonts w:ascii="Courier New" w:cs="Courier New" w:eastAsia="Courier New" w:hAnsi="Courier New"/>
          <w:sz w:val="18"/>
          <w:szCs w:val="18"/>
        </w:rPr>
        <w:t xml:space="preserve">importancia_por_variable.py</w:t>
      </w:r>
      <w:r>
        <w:t xml:space="preserve"> del repositorio.</w:t>
      </w:r>
    </w:p>
    <w:p>
      <w:pPr>
        <w:keepNext/>
        <w:keepLines/>
        <w:spacing w:after="60" w:before="160"/>
        <w:jc w:val="center"/>
      </w:pPr>
      <w:r>
        <w:rPr>
          <w:rFonts w:ascii="Arial" w:cs="Arial" w:eastAsia="Arial" w:hAnsi="Arial"/>
          <w:b/>
          <w:bCs/>
          <w:sz w:val="18"/>
          <w:szCs w:val="18"/>
        </w:rPr>
        <w:t xml:space="preserve">Tabla 9. Importancia de las variables, sumada por variable original.</w:t>
      </w:r>
    </w:p>
    <w:tbl>
      <w:tblPr>
        <w:tblW w:type="dxa" w:w="4677"/>
        <w:jc w:val="center"/>
        <w:tblBorders>
          <w:top w:val="single" w:color="auto" w:sz="4"/>
          <w:left w:val="single" w:color="auto" w:sz="4"/>
          <w:bottom w:val="single" w:color="auto" w:sz="4"/>
          <w:right w:val="single" w:color="auto" w:sz="4"/>
          <w:insideH w:val="single" w:color="auto" w:sz="4"/>
          <w:insideV w:val="single" w:color="auto" w:sz="4"/>
        </w:tblBorders>
      </w:tblPr>
      <w:tblGrid>
        <w:gridCol w:w="1684"/>
        <w:gridCol w:w="1964"/>
        <w:gridCol w:w="1029"/>
      </w:tblGrid>
      <w:tr>
        <w:trPr>
          <w:cantSplit/>
          <w:tblHeader/>
        </w:trPr>
        <w:tc>
          <w:tcPr>
            <w:tcW w:type="dxa" w:w="1684"/>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6"/>
                <w:szCs w:val="16"/>
              </w:rPr>
            </w:pPr>
            <w:r>
              <w:rPr>
                <w:b/>
                <w:bCs/>
                <w:sz w:val="16"/>
                <w:szCs w:val="16"/>
              </w:rPr>
              <w:t xml:space="preserve">Grupo</w:t>
            </w:r>
          </w:p>
        </w:tc>
        <w:tc>
          <w:tcPr>
            <w:tcW w:type="dxa" w:w="1964"/>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6"/>
                <w:szCs w:val="16"/>
              </w:rPr>
            </w:pPr>
            <w:r>
              <w:rPr>
                <w:b/>
                <w:bCs/>
                <w:sz w:val="16"/>
                <w:szCs w:val="16"/>
              </w:rPr>
              <w:t xml:space="preserve">Variable</w:t>
            </w:r>
          </w:p>
        </w:tc>
        <w:tc>
          <w:tcPr>
            <w:tcW w:type="dxa" w:w="1029"/>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6"/>
                <w:szCs w:val="16"/>
              </w:rPr>
            </w:pPr>
            <w:r>
              <w:rPr>
                <w:b/>
                <w:bCs/>
                <w:sz w:val="16"/>
                <w:szCs w:val="16"/>
              </w:rPr>
              <w:t xml:space="preserve">Importancia</w:t>
            </w:r>
          </w:p>
        </w:tc>
      </w:tr>
      <w:tr>
        <w:trPr>
          <w:cantSplit/>
        </w:trPr>
        <w:tc>
          <w:tcPr>
            <w:tcW w:type="dxa" w:w="1684"/>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left"/>
              <w:rPr>
                <w:sz w:val="16"/>
                <w:szCs w:val="16"/>
              </w:rPr>
            </w:pPr>
            <w:r>
              <w:rPr>
                <w:b/>
                <w:bCs/>
                <w:sz w:val="16"/>
                <w:szCs w:val="16"/>
              </w:rPr>
              <w:t xml:space="preserve">Infraestructura vial</w:t>
            </w:r>
          </w:p>
        </w:tc>
        <w:tc>
          <w:tcPr>
            <w:tcW w:type="dxa" w:w="1964"/>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left"/>
              <w:rPr>
                <w:sz w:val="16"/>
                <w:szCs w:val="16"/>
              </w:rPr>
            </w:pPr>
            <w:r>
              <w:rPr>
                <w:b/>
                <w:bCs/>
                <w:sz w:val="16"/>
                <w:szCs w:val="16"/>
              </w:rPr>
              <w:t xml:space="preserve">Total del grupo</w:t>
            </w:r>
          </w:p>
        </w:tc>
        <w:tc>
          <w:tcPr>
            <w:tcW w:type="dxa" w:w="1029"/>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6"/>
                <w:szCs w:val="16"/>
              </w:rPr>
            </w:pPr>
            <w:r>
              <w:rPr>
                <w:b/>
                <w:bCs/>
                <w:sz w:val="16"/>
                <w:szCs w:val="16"/>
              </w:rPr>
              <w:t xml:space="preserve">0,417</w:t>
            </w:r>
          </w:p>
        </w:tc>
      </w:tr>
      <w:tr>
        <w:trPr>
          <w:cantSplit/>
        </w:trPr>
        <w:tc>
          <w:tcPr>
            <w:tcW w:type="dxa" w:w="1684"/>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left"/>
              <w:rPr>
                <w:sz w:val="16"/>
                <w:szCs w:val="16"/>
              </w:rPr>
            </w:pPr>
          </w:p>
        </w:tc>
        <w:tc>
          <w:tcPr>
            <w:tcW w:type="dxa" w:w="1964"/>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left"/>
              <w:rPr>
                <w:sz w:val="16"/>
                <w:szCs w:val="16"/>
              </w:rPr>
            </w:pPr>
            <w:r>
              <w:rPr>
                <w:b w:val="false"/>
                <w:bCs w:val="false"/>
                <w:sz w:val="16"/>
                <w:szCs w:val="16"/>
              </w:rPr>
              <w:t xml:space="preserve">Crossing</w:t>
            </w:r>
          </w:p>
        </w:tc>
        <w:tc>
          <w:tcPr>
            <w:tcW w:type="dxa" w:w="1029"/>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6"/>
                <w:szCs w:val="16"/>
              </w:rPr>
            </w:pPr>
            <w:r>
              <w:rPr>
                <w:b w:val="false"/>
                <w:bCs w:val="false"/>
                <w:sz w:val="16"/>
                <w:szCs w:val="16"/>
              </w:rPr>
              <w:t xml:space="preserve">0,195</w:t>
            </w:r>
          </w:p>
        </w:tc>
      </w:tr>
      <w:tr>
        <w:trPr>
          <w:cantSplit/>
        </w:trPr>
        <w:tc>
          <w:tcPr>
            <w:tcW w:type="dxa" w:w="1684"/>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left"/>
              <w:rPr>
                <w:sz w:val="16"/>
                <w:szCs w:val="16"/>
              </w:rPr>
            </w:pPr>
          </w:p>
        </w:tc>
        <w:tc>
          <w:tcPr>
            <w:tcW w:type="dxa" w:w="1964"/>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left"/>
              <w:rPr>
                <w:sz w:val="16"/>
                <w:szCs w:val="16"/>
              </w:rPr>
            </w:pPr>
            <w:r>
              <w:rPr>
                <w:b w:val="false"/>
                <w:bCs w:val="false"/>
                <w:sz w:val="16"/>
                <w:szCs w:val="16"/>
              </w:rPr>
              <w:t xml:space="preserve">Traffic_Signal</w:t>
            </w:r>
          </w:p>
        </w:tc>
        <w:tc>
          <w:tcPr>
            <w:tcW w:type="dxa" w:w="1029"/>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6"/>
                <w:szCs w:val="16"/>
              </w:rPr>
            </w:pPr>
            <w:r>
              <w:rPr>
                <w:b w:val="false"/>
                <w:bCs w:val="false"/>
                <w:sz w:val="16"/>
                <w:szCs w:val="16"/>
              </w:rPr>
              <w:t xml:space="preserve">0,140</w:t>
            </w:r>
          </w:p>
        </w:tc>
      </w:tr>
      <w:tr>
        <w:trPr>
          <w:cantSplit/>
        </w:trPr>
        <w:tc>
          <w:tcPr>
            <w:tcW w:type="dxa" w:w="1684"/>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left"/>
              <w:rPr>
                <w:sz w:val="16"/>
                <w:szCs w:val="16"/>
              </w:rPr>
            </w:pPr>
          </w:p>
        </w:tc>
        <w:tc>
          <w:tcPr>
            <w:tcW w:type="dxa" w:w="1964"/>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left"/>
              <w:rPr>
                <w:sz w:val="16"/>
                <w:szCs w:val="16"/>
              </w:rPr>
            </w:pPr>
            <w:r>
              <w:rPr>
                <w:b w:val="false"/>
                <w:bCs w:val="false"/>
                <w:sz w:val="16"/>
                <w:szCs w:val="16"/>
              </w:rPr>
              <w:t xml:space="preserve">Stop</w:t>
            </w:r>
          </w:p>
        </w:tc>
        <w:tc>
          <w:tcPr>
            <w:tcW w:type="dxa" w:w="1029"/>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6"/>
                <w:szCs w:val="16"/>
              </w:rPr>
            </w:pPr>
            <w:r>
              <w:rPr>
                <w:b w:val="false"/>
                <w:bCs w:val="false"/>
                <w:sz w:val="16"/>
                <w:szCs w:val="16"/>
              </w:rPr>
              <w:t xml:space="preserve">0,039</w:t>
            </w:r>
          </w:p>
        </w:tc>
      </w:tr>
      <w:tr>
        <w:trPr>
          <w:cantSplit/>
        </w:trPr>
        <w:tc>
          <w:tcPr>
            <w:tcW w:type="dxa" w:w="1684"/>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left"/>
              <w:rPr>
                <w:sz w:val="16"/>
                <w:szCs w:val="16"/>
              </w:rPr>
            </w:pPr>
          </w:p>
        </w:tc>
        <w:tc>
          <w:tcPr>
            <w:tcW w:type="dxa" w:w="1964"/>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left"/>
              <w:rPr>
                <w:sz w:val="16"/>
                <w:szCs w:val="16"/>
              </w:rPr>
            </w:pPr>
            <w:r>
              <w:rPr>
                <w:b w:val="false"/>
                <w:bCs w:val="false"/>
                <w:sz w:val="16"/>
                <w:szCs w:val="16"/>
              </w:rPr>
              <w:t xml:space="preserve">Otras nueve</w:t>
            </w:r>
          </w:p>
        </w:tc>
        <w:tc>
          <w:tcPr>
            <w:tcW w:type="dxa" w:w="1029"/>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6"/>
                <w:szCs w:val="16"/>
              </w:rPr>
            </w:pPr>
            <w:r>
              <w:rPr>
                <w:b w:val="false"/>
                <w:bCs w:val="false"/>
                <w:sz w:val="16"/>
                <w:szCs w:val="16"/>
              </w:rPr>
              <w:t xml:space="preserve">0,042</w:t>
            </w:r>
          </w:p>
        </w:tc>
      </w:tr>
      <w:tr>
        <w:trPr>
          <w:cantSplit/>
        </w:trPr>
        <w:tc>
          <w:tcPr>
            <w:tcW w:type="dxa" w:w="1684"/>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left"/>
              <w:rPr>
                <w:sz w:val="16"/>
                <w:szCs w:val="16"/>
              </w:rPr>
            </w:pPr>
            <w:r>
              <w:rPr>
                <w:b/>
                <w:bCs/>
                <w:sz w:val="16"/>
                <w:szCs w:val="16"/>
              </w:rPr>
              <w:t xml:space="preserve">Meteorología</w:t>
            </w:r>
          </w:p>
        </w:tc>
        <w:tc>
          <w:tcPr>
            <w:tcW w:type="dxa" w:w="1964"/>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left"/>
              <w:rPr>
                <w:sz w:val="16"/>
                <w:szCs w:val="16"/>
              </w:rPr>
            </w:pPr>
            <w:r>
              <w:rPr>
                <w:b/>
                <w:bCs/>
                <w:sz w:val="16"/>
                <w:szCs w:val="16"/>
              </w:rPr>
              <w:t xml:space="preserve">Total del grupo</w:t>
            </w:r>
          </w:p>
        </w:tc>
        <w:tc>
          <w:tcPr>
            <w:tcW w:type="dxa" w:w="1029"/>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6"/>
                <w:szCs w:val="16"/>
              </w:rPr>
            </w:pPr>
            <w:r>
              <w:rPr>
                <w:b/>
                <w:bCs/>
                <w:sz w:val="16"/>
                <w:szCs w:val="16"/>
              </w:rPr>
              <w:t xml:space="preserve">0,393</w:t>
            </w:r>
          </w:p>
        </w:tc>
      </w:tr>
      <w:tr>
        <w:trPr>
          <w:cantSplit/>
        </w:trPr>
        <w:tc>
          <w:tcPr>
            <w:tcW w:type="dxa" w:w="1684"/>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left"/>
              <w:rPr>
                <w:sz w:val="16"/>
                <w:szCs w:val="16"/>
              </w:rPr>
            </w:pPr>
          </w:p>
        </w:tc>
        <w:tc>
          <w:tcPr>
            <w:tcW w:type="dxa" w:w="1964"/>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left"/>
              <w:rPr>
                <w:sz w:val="16"/>
                <w:szCs w:val="16"/>
              </w:rPr>
            </w:pPr>
            <w:r>
              <w:rPr>
                <w:b w:val="false"/>
                <w:bCs w:val="false"/>
                <w:sz w:val="16"/>
                <w:szCs w:val="16"/>
              </w:rPr>
              <w:t xml:space="preserve">Weather_Condition</w:t>
            </w:r>
          </w:p>
        </w:tc>
        <w:tc>
          <w:tcPr>
            <w:tcW w:type="dxa" w:w="1029"/>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6"/>
                <w:szCs w:val="16"/>
              </w:rPr>
            </w:pPr>
            <w:r>
              <w:rPr>
                <w:b w:val="false"/>
                <w:bCs w:val="false"/>
                <w:sz w:val="16"/>
                <w:szCs w:val="16"/>
              </w:rPr>
              <w:t xml:space="preserve">0,293</w:t>
            </w:r>
          </w:p>
        </w:tc>
      </w:tr>
      <w:tr>
        <w:trPr>
          <w:cantSplit/>
        </w:trPr>
        <w:tc>
          <w:tcPr>
            <w:tcW w:type="dxa" w:w="1684"/>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left"/>
              <w:rPr>
                <w:sz w:val="16"/>
                <w:szCs w:val="16"/>
              </w:rPr>
            </w:pPr>
          </w:p>
        </w:tc>
        <w:tc>
          <w:tcPr>
            <w:tcW w:type="dxa" w:w="1964"/>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left"/>
              <w:rPr>
                <w:sz w:val="16"/>
                <w:szCs w:val="16"/>
              </w:rPr>
            </w:pPr>
            <w:r>
              <w:rPr>
                <w:b w:val="false"/>
                <w:bCs w:val="false"/>
                <w:sz w:val="16"/>
                <w:szCs w:val="16"/>
              </w:rPr>
              <w:t xml:space="preserve">Pressure_in</w:t>
            </w:r>
          </w:p>
        </w:tc>
        <w:tc>
          <w:tcPr>
            <w:tcW w:type="dxa" w:w="1029"/>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6"/>
                <w:szCs w:val="16"/>
              </w:rPr>
            </w:pPr>
            <w:r>
              <w:rPr>
                <w:b w:val="false"/>
                <w:bCs w:val="false"/>
                <w:sz w:val="16"/>
                <w:szCs w:val="16"/>
              </w:rPr>
              <w:t xml:space="preserve">0,052</w:t>
            </w:r>
          </w:p>
        </w:tc>
      </w:tr>
      <w:tr>
        <w:trPr>
          <w:cantSplit/>
        </w:trPr>
        <w:tc>
          <w:tcPr>
            <w:tcW w:type="dxa" w:w="1684"/>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left"/>
              <w:rPr>
                <w:sz w:val="16"/>
                <w:szCs w:val="16"/>
              </w:rPr>
            </w:pPr>
          </w:p>
        </w:tc>
        <w:tc>
          <w:tcPr>
            <w:tcW w:type="dxa" w:w="1964"/>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left"/>
              <w:rPr>
                <w:sz w:val="16"/>
                <w:szCs w:val="16"/>
              </w:rPr>
            </w:pPr>
            <w:r>
              <w:rPr>
                <w:b w:val="false"/>
                <w:bCs w:val="false"/>
                <w:sz w:val="16"/>
                <w:szCs w:val="16"/>
              </w:rPr>
              <w:t xml:space="preserve">Wind_Speed_mph</w:t>
            </w:r>
          </w:p>
        </w:tc>
        <w:tc>
          <w:tcPr>
            <w:tcW w:type="dxa" w:w="1029"/>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6"/>
                <w:szCs w:val="16"/>
              </w:rPr>
            </w:pPr>
            <w:r>
              <w:rPr>
                <w:b w:val="false"/>
                <w:bCs w:val="false"/>
                <w:sz w:val="16"/>
                <w:szCs w:val="16"/>
              </w:rPr>
              <w:t xml:space="preserve">0,044</w:t>
            </w:r>
          </w:p>
        </w:tc>
      </w:tr>
      <w:tr>
        <w:trPr>
          <w:cantSplit/>
        </w:trPr>
        <w:tc>
          <w:tcPr>
            <w:tcW w:type="dxa" w:w="1684"/>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left"/>
              <w:rPr>
                <w:sz w:val="16"/>
                <w:szCs w:val="16"/>
              </w:rPr>
            </w:pPr>
          </w:p>
        </w:tc>
        <w:tc>
          <w:tcPr>
            <w:tcW w:type="dxa" w:w="1964"/>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left"/>
              <w:rPr>
                <w:sz w:val="16"/>
                <w:szCs w:val="16"/>
              </w:rPr>
            </w:pPr>
            <w:r>
              <w:rPr>
                <w:b w:val="false"/>
                <w:bCs w:val="false"/>
                <w:sz w:val="16"/>
                <w:szCs w:val="16"/>
              </w:rPr>
              <w:t xml:space="preserve">Otras cuatro</w:t>
            </w:r>
          </w:p>
        </w:tc>
        <w:tc>
          <w:tcPr>
            <w:tcW w:type="dxa" w:w="1029"/>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6"/>
                <w:szCs w:val="16"/>
              </w:rPr>
            </w:pPr>
            <w:r>
              <w:rPr>
                <w:b w:val="false"/>
                <w:bCs w:val="false"/>
                <w:sz w:val="16"/>
                <w:szCs w:val="16"/>
              </w:rPr>
              <w:t xml:space="preserve">0,005</w:t>
            </w:r>
          </w:p>
        </w:tc>
      </w:tr>
      <w:tr>
        <w:trPr>
          <w:cantSplit/>
        </w:trPr>
        <w:tc>
          <w:tcPr>
            <w:tcW w:type="dxa" w:w="1684"/>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left"/>
              <w:rPr>
                <w:sz w:val="16"/>
                <w:szCs w:val="16"/>
              </w:rPr>
            </w:pPr>
            <w:r>
              <w:rPr>
                <w:b/>
                <w:bCs/>
                <w:sz w:val="16"/>
                <w:szCs w:val="16"/>
              </w:rPr>
              <w:t xml:space="preserve">Ubicación</w:t>
            </w:r>
          </w:p>
        </w:tc>
        <w:tc>
          <w:tcPr>
            <w:tcW w:type="dxa" w:w="1964"/>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left"/>
              <w:rPr>
                <w:sz w:val="16"/>
                <w:szCs w:val="16"/>
              </w:rPr>
            </w:pPr>
            <w:r>
              <w:rPr>
                <w:b/>
                <w:bCs/>
                <w:sz w:val="16"/>
                <w:szCs w:val="16"/>
              </w:rPr>
              <w:t xml:space="preserve">State</w:t>
            </w:r>
          </w:p>
        </w:tc>
        <w:tc>
          <w:tcPr>
            <w:tcW w:type="dxa" w:w="1029"/>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6"/>
                <w:szCs w:val="16"/>
              </w:rPr>
            </w:pPr>
            <w:r>
              <w:rPr>
                <w:b/>
                <w:bCs/>
                <w:sz w:val="16"/>
                <w:szCs w:val="16"/>
              </w:rPr>
              <w:t xml:space="preserve">0,172</w:t>
            </w:r>
          </w:p>
        </w:tc>
      </w:tr>
      <w:tr>
        <w:trPr>
          <w:cantSplit/>
        </w:trPr>
        <w:tc>
          <w:tcPr>
            <w:tcW w:type="dxa" w:w="1684"/>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left"/>
              <w:rPr>
                <w:sz w:val="16"/>
                <w:szCs w:val="16"/>
              </w:rPr>
            </w:pPr>
            <w:r>
              <w:rPr>
                <w:b/>
                <w:bCs/>
                <w:sz w:val="16"/>
                <w:szCs w:val="16"/>
              </w:rPr>
              <w:t xml:space="preserve">Momento</w:t>
            </w:r>
          </w:p>
        </w:tc>
        <w:tc>
          <w:tcPr>
            <w:tcW w:type="dxa" w:w="1964"/>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left"/>
              <w:rPr>
                <w:sz w:val="16"/>
                <w:szCs w:val="16"/>
              </w:rPr>
            </w:pPr>
            <w:r>
              <w:rPr>
                <w:b/>
                <w:bCs/>
                <w:sz w:val="16"/>
                <w:szCs w:val="16"/>
              </w:rPr>
              <w:t xml:space="preserve">Total del grupo</w:t>
            </w:r>
          </w:p>
        </w:tc>
        <w:tc>
          <w:tcPr>
            <w:tcW w:type="dxa" w:w="1029"/>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6"/>
                <w:szCs w:val="16"/>
              </w:rPr>
            </w:pPr>
            <w:r>
              <w:rPr>
                <w:b/>
                <w:bCs/>
                <w:sz w:val="16"/>
                <w:szCs w:val="16"/>
              </w:rPr>
              <w:t xml:space="preserve">0,018</w:t>
            </w:r>
          </w:p>
        </w:tc>
      </w:tr>
      <w:tr>
        <w:trPr>
          <w:cantSplit/>
        </w:trPr>
        <w:tc>
          <w:tcPr>
            <w:tcW w:type="dxa" w:w="1684"/>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left"/>
              <w:rPr>
                <w:sz w:val="16"/>
                <w:szCs w:val="16"/>
              </w:rPr>
            </w:pPr>
          </w:p>
        </w:tc>
        <w:tc>
          <w:tcPr>
            <w:tcW w:type="dxa" w:w="1964"/>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left"/>
              <w:rPr>
                <w:sz w:val="16"/>
                <w:szCs w:val="16"/>
              </w:rPr>
            </w:pPr>
            <w:r>
              <w:rPr>
                <w:b w:val="false"/>
                <w:bCs w:val="false"/>
                <w:sz w:val="16"/>
                <w:szCs w:val="16"/>
              </w:rPr>
              <w:t xml:space="preserve">Mes</w:t>
            </w:r>
          </w:p>
        </w:tc>
        <w:tc>
          <w:tcPr>
            <w:tcW w:type="dxa" w:w="1029"/>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6"/>
                <w:szCs w:val="16"/>
              </w:rPr>
            </w:pPr>
            <w:r>
              <w:rPr>
                <w:b w:val="false"/>
                <w:bCs w:val="false"/>
                <w:sz w:val="16"/>
                <w:szCs w:val="16"/>
              </w:rPr>
              <w:t xml:space="preserve">0,011</w:t>
            </w:r>
          </w:p>
        </w:tc>
      </w:tr>
      <w:tr>
        <w:trPr>
          <w:cantSplit/>
        </w:trPr>
        <w:tc>
          <w:tcPr>
            <w:tcW w:type="dxa" w:w="1684"/>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val="false"/>
              <w:keepLines/>
              <w:jc w:val="left"/>
              <w:rPr>
                <w:sz w:val="16"/>
                <w:szCs w:val="16"/>
              </w:rPr>
            </w:pPr>
          </w:p>
        </w:tc>
        <w:tc>
          <w:tcPr>
            <w:tcW w:type="dxa" w:w="1964"/>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val="false"/>
              <w:keepLines/>
              <w:jc w:val="left"/>
              <w:rPr>
                <w:sz w:val="16"/>
                <w:szCs w:val="16"/>
              </w:rPr>
            </w:pPr>
            <w:r>
              <w:rPr>
                <w:b w:val="false"/>
                <w:bCs w:val="false"/>
                <w:sz w:val="16"/>
                <w:szCs w:val="16"/>
              </w:rPr>
              <w:t xml:space="preserve">Otras tres</w:t>
            </w:r>
          </w:p>
        </w:tc>
        <w:tc>
          <w:tcPr>
            <w:tcW w:type="dxa" w:w="1029"/>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val="false"/>
              <w:keepLines/>
              <w:jc w:val="center"/>
              <w:rPr>
                <w:sz w:val="16"/>
                <w:szCs w:val="16"/>
              </w:rPr>
            </w:pPr>
            <w:r>
              <w:rPr>
                <w:b w:val="false"/>
                <w:bCs w:val="false"/>
                <w:sz w:val="16"/>
                <w:szCs w:val="16"/>
              </w:rPr>
              <w:t xml:space="preserve">0,007</w:t>
            </w:r>
          </w:p>
        </w:tc>
      </w:tr>
    </w:tbl>
    <w:p>
      <w:pPr>
        <w:spacing w:after="60"/>
      </w:pPr>
      <w:r>
        <w:rPr>
          <w:sz w:val="12"/>
          <w:szCs w:val="12"/>
        </w:rPr>
        <w:t xml:space="preserve"/>
      </w:r>
    </w:p>
    <w:p>
      <w:pPr>
        <w:keepNext/>
        <w:spacing w:after="120" w:before="120"/>
      </w:pPr>
      <w:r>
        <w:rPr>
          <w:b/>
          <w:bCs/>
          <w:sz w:val="22"/>
          <w:szCs w:val="22"/>
        </w:rPr>
        <w:t xml:space="preserve">4.4. Contraste con la hipótesis</w:t>
      </w:r>
    </w:p>
    <w:p>
      <w:pPr>
        <w:ind w:firstLine="284"/>
        <w:jc w:val="both"/>
      </w:pPr>
      <w:r>
        <w:t xml:space="preserve">La hipótesis se sostiene solo en parte. La infraestructura vial (0,417) y la meteorología (0,393) concentran la mayor parte de la importancia, pero dentro de cada grupo pesan muy pocas variables: la presencia de un cruce o de un semáforo cerca del lugar, y la condición meteorológica. La visibilidad y la precipitación, que motivaron la hipótesis, aportan 0,001 cada una, y el momento del siniestro, 0,018 en total. El estado, incluido como variable de ubicación, aporta 0,172.</w:t>
      </w:r>
    </w:p>
    <w:p>
      <w:pPr>
        <w:ind w:firstLine="284"/>
        <w:jc w:val="both"/>
      </w:pPr>
      <w:r>
        <w:t xml:space="preserve">Tres limitaciones acotan estas conclusiones. Primero, la importancia mide cuánto usa el modelo cada variable, no el sentido ni la causa del efecto. Segundo, dentro de la condición meteorológica pesan sobre todo las categorías </w:t>
      </w:r>
      <w:r>
        <w:rPr>
          <w:i/>
          <w:iCs/>
        </w:rPr>
        <w:t xml:space="preserve">Fair</w:t>
      </w:r>
      <w:r>
        <w:t xml:space="preserve"> (0,141) y </w:t>
      </w:r>
      <w:r>
        <w:rPr>
          <w:i/>
          <w:iCs/>
        </w:rPr>
        <w:t xml:space="preserve">Clear</w:t>
      </w:r>
      <w:r>
        <w:t xml:space="preserve"> (0,074), que describen el mismo cielo despejado. Es posible que el modelo las use como indicador indirecto del período en que se registró el siniestro y no del clima, algo que no se verificó en este trabajo. Tercero, la partición aleatoria es una primera estimación: una partición temporal, que entrene con los años anteriores y pruebe con los últimos, sería más exigente y más cercana al uso real.</w:t>
      </w:r>
    </w:p>
    <w:p>
      <w:pPr>
        <w:keepNext/>
        <w:spacing w:after="240" w:before="480"/>
      </w:pPr>
      <w:r>
        <w:rPr>
          <w:b/>
          <w:bCs/>
          <w:sz w:val="24"/>
          <w:szCs w:val="24"/>
        </w:rPr>
        <w:t xml:space="preserve">5. Evaluación experimental de rendimiento</w:t>
      </w:r>
    </w:p>
    <w:p>
      <w:pPr>
        <w:keepNext/>
        <w:spacing w:after="120" w:before="120"/>
      </w:pPr>
      <w:r>
        <w:rPr>
          <w:b/>
          <w:bCs/>
          <w:sz w:val="22"/>
          <w:szCs w:val="22"/>
        </w:rPr>
        <w:t xml:space="preserve">5.1. Tiempos y factor de aceleración</w:t>
      </w:r>
    </w:p>
    <w:p>
      <w:pPr>
        <w:keepNext/>
        <w:keepLines/>
        <w:spacing w:after="60" w:before="160"/>
        <w:jc w:val="center"/>
      </w:pPr>
      <w:r>
        <w:rPr>
          <w:rFonts w:ascii="Arial" w:cs="Arial" w:eastAsia="Arial" w:hAnsi="Arial"/>
          <w:b/>
          <w:bCs/>
          <w:sz w:val="18"/>
          <w:szCs w:val="18"/>
        </w:rPr>
        <w:t xml:space="preserve">Tabla 10. Tiempo de ejecución (s) y Speedup; mejor de tres ejecuciones.</w:t>
      </w:r>
    </w:p>
    <w:tbl>
      <w:tblPr>
        <w:tblW w:type="dxa" w:w="4677"/>
        <w:jc w:val="center"/>
        <w:tblBorders>
          <w:top w:val="single" w:color="auto" w:sz="4"/>
          <w:left w:val="single" w:color="auto" w:sz="4"/>
          <w:bottom w:val="single" w:color="auto" w:sz="4"/>
          <w:right w:val="single" w:color="auto" w:sz="4"/>
          <w:insideH w:val="single" w:color="auto" w:sz="4"/>
          <w:insideV w:val="single" w:color="auto" w:sz="4"/>
        </w:tblBorders>
      </w:tblPr>
      <w:tblGrid>
        <w:gridCol w:w="468"/>
        <w:gridCol w:w="702"/>
        <w:gridCol w:w="655"/>
        <w:gridCol w:w="748"/>
        <w:gridCol w:w="702"/>
        <w:gridCol w:w="655"/>
        <w:gridCol w:w="747"/>
      </w:tblGrid>
      <w:tr>
        <w:trPr>
          <w:cantSplit/>
          <w:tblHeader/>
        </w:trPr>
        <w:tc>
          <w:tcPr>
            <w:tcW w:type="dxa" w:w="468"/>
            <w:vMerge w:val="restart"/>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bCs/>
                <w:sz w:val="15"/>
                <w:szCs w:val="15"/>
              </w:rPr>
              <w:t xml:space="preserve">Cons.</w:t>
            </w:r>
          </w:p>
        </w:tc>
        <w:tc>
          <w:tcPr>
            <w:tcW w:type="dxa" w:w="2105"/>
            <w:gridSpan w:val="3"/>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bCs/>
                <w:sz w:val="15"/>
                <w:szCs w:val="15"/>
              </w:rPr>
              <w:t xml:space="preserve">CSV</w:t>
            </w:r>
          </w:p>
        </w:tc>
        <w:tc>
          <w:tcPr>
            <w:tcW w:type="dxa" w:w="2104"/>
            <w:gridSpan w:val="3"/>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bCs/>
                <w:sz w:val="15"/>
                <w:szCs w:val="15"/>
              </w:rPr>
              <w:t xml:space="preserve">Parquet</w:t>
            </w:r>
          </w:p>
        </w:tc>
      </w:tr>
      <w:tr>
        <w:trPr>
          <w:cantSplit/>
          <w:tblHeader/>
        </w:trPr>
        <w:tc>
          <w:tcPr>
            <w:vMerge w:val="continue"/>
            <w:tcBorders>
              <w:top w:val="single" w:color="000000" w:sz="4"/>
              <w:left w:val="single" w:color="000000" w:sz="4"/>
              <w:bottom w:val="single" w:color="000000" w:sz="4"/>
              <w:right w:val="single" w:color="000000" w:sz="4"/>
            </w:tcBorders>
          </w:tcPr>
          <w:p/>
        </w:tc>
        <w:tc>
          <w:tcPr>
            <w:tcW w:type="dxa" w:w="702"/>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bCs/>
                <w:sz w:val="15"/>
                <w:szCs w:val="15"/>
              </w:rPr>
              <w:t xml:space="preserve">Pandas</w:t>
            </w:r>
          </w:p>
        </w:tc>
        <w:tc>
          <w:tcPr>
            <w:tcW w:type="dxa" w:w="655"/>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bCs/>
                <w:sz w:val="15"/>
                <w:szCs w:val="15"/>
              </w:rPr>
              <w:t xml:space="preserve">Spark</w:t>
            </w:r>
          </w:p>
        </w:tc>
        <w:tc>
          <w:tcPr>
            <w:tcW w:type="dxa" w:w="748"/>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bCs/>
                <w:sz w:val="15"/>
                <w:szCs w:val="15"/>
              </w:rPr>
              <w:t xml:space="preserve">Speedup</w:t>
            </w:r>
          </w:p>
        </w:tc>
        <w:tc>
          <w:tcPr>
            <w:tcW w:type="dxa" w:w="702"/>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bCs/>
                <w:sz w:val="15"/>
                <w:szCs w:val="15"/>
              </w:rPr>
              <w:t xml:space="preserve">Pandas</w:t>
            </w:r>
          </w:p>
        </w:tc>
        <w:tc>
          <w:tcPr>
            <w:tcW w:type="dxa" w:w="655"/>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bCs/>
                <w:sz w:val="15"/>
                <w:szCs w:val="15"/>
              </w:rPr>
              <w:t xml:space="preserve">Spark</w:t>
            </w:r>
          </w:p>
        </w:tc>
        <w:tc>
          <w:tcPr>
            <w:tcW w:type="dxa" w:w="747"/>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bCs/>
                <w:sz w:val="15"/>
                <w:szCs w:val="15"/>
              </w:rPr>
              <w:t xml:space="preserve">Speedup</w:t>
            </w:r>
          </w:p>
        </w:tc>
      </w:tr>
      <w:tr>
        <w:trPr>
          <w:cantSplit/>
        </w:trPr>
        <w:tc>
          <w:tcPr>
            <w:tcW w:type="dxa" w:w="468"/>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val="false"/>
                <w:bCs w:val="false"/>
                <w:sz w:val="15"/>
                <w:szCs w:val="15"/>
              </w:rPr>
              <w:t xml:space="preserve">C1</w:t>
            </w:r>
          </w:p>
        </w:tc>
        <w:tc>
          <w:tcPr>
            <w:tcW w:type="dxa" w:w="702"/>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val="false"/>
                <w:bCs w:val="false"/>
                <w:sz w:val="15"/>
                <w:szCs w:val="15"/>
              </w:rPr>
              <w:t xml:space="preserve">21,26</w:t>
            </w:r>
          </w:p>
        </w:tc>
        <w:tc>
          <w:tcPr>
            <w:tcW w:type="dxa" w:w="655"/>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val="false"/>
                <w:bCs w:val="false"/>
                <w:sz w:val="15"/>
                <w:szCs w:val="15"/>
              </w:rPr>
              <w:t xml:space="preserve">4,11</w:t>
            </w:r>
          </w:p>
        </w:tc>
        <w:tc>
          <w:tcPr>
            <w:tcW w:type="dxa" w:w="748"/>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val="false"/>
                <w:bCs w:val="false"/>
                <w:sz w:val="15"/>
                <w:szCs w:val="15"/>
              </w:rPr>
              <w:t xml:space="preserve">5,18</w:t>
            </w:r>
          </w:p>
        </w:tc>
        <w:tc>
          <w:tcPr>
            <w:tcW w:type="dxa" w:w="702"/>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val="false"/>
                <w:bCs w:val="false"/>
                <w:sz w:val="15"/>
                <w:szCs w:val="15"/>
              </w:rPr>
              <w:t xml:space="preserve">0,33</w:t>
            </w:r>
          </w:p>
        </w:tc>
        <w:tc>
          <w:tcPr>
            <w:tcW w:type="dxa" w:w="655"/>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val="false"/>
                <w:bCs w:val="false"/>
                <w:sz w:val="15"/>
                <w:szCs w:val="15"/>
              </w:rPr>
              <w:t xml:space="preserve">0,53</w:t>
            </w:r>
          </w:p>
        </w:tc>
        <w:tc>
          <w:tcPr>
            <w:tcW w:type="dxa" w:w="747"/>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val="false"/>
                <w:bCs w:val="false"/>
                <w:sz w:val="15"/>
                <w:szCs w:val="15"/>
              </w:rPr>
              <w:t xml:space="preserve">0,61</w:t>
            </w:r>
          </w:p>
        </w:tc>
      </w:tr>
      <w:tr>
        <w:trPr>
          <w:cantSplit/>
        </w:trPr>
        <w:tc>
          <w:tcPr>
            <w:tcW w:type="dxa" w:w="468"/>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val="false"/>
                <w:bCs w:val="false"/>
                <w:sz w:val="15"/>
                <w:szCs w:val="15"/>
              </w:rPr>
              <w:t xml:space="preserve">C4</w:t>
            </w:r>
          </w:p>
        </w:tc>
        <w:tc>
          <w:tcPr>
            <w:tcW w:type="dxa" w:w="702"/>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val="false"/>
                <w:bCs w:val="false"/>
                <w:sz w:val="15"/>
                <w:szCs w:val="15"/>
              </w:rPr>
              <w:t xml:space="preserve">22,40</w:t>
            </w:r>
          </w:p>
        </w:tc>
        <w:tc>
          <w:tcPr>
            <w:tcW w:type="dxa" w:w="655"/>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val="false"/>
                <w:bCs w:val="false"/>
                <w:sz w:val="15"/>
                <w:szCs w:val="15"/>
              </w:rPr>
              <w:t xml:space="preserve">8,86</w:t>
            </w:r>
          </w:p>
        </w:tc>
        <w:tc>
          <w:tcPr>
            <w:tcW w:type="dxa" w:w="748"/>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val="false"/>
                <w:bCs w:val="false"/>
                <w:sz w:val="15"/>
                <w:szCs w:val="15"/>
              </w:rPr>
              <w:t xml:space="preserve">2,53</w:t>
            </w:r>
          </w:p>
        </w:tc>
        <w:tc>
          <w:tcPr>
            <w:tcW w:type="dxa" w:w="702"/>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val="false"/>
                <w:bCs w:val="false"/>
                <w:sz w:val="15"/>
                <w:szCs w:val="15"/>
              </w:rPr>
              <w:t xml:space="preserve">3,34</w:t>
            </w:r>
          </w:p>
        </w:tc>
        <w:tc>
          <w:tcPr>
            <w:tcW w:type="dxa" w:w="655"/>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val="false"/>
                <w:bCs w:val="false"/>
                <w:sz w:val="15"/>
                <w:szCs w:val="15"/>
              </w:rPr>
              <w:t xml:space="preserve">6,08</w:t>
            </w:r>
          </w:p>
        </w:tc>
        <w:tc>
          <w:tcPr>
            <w:tcW w:type="dxa" w:w="747"/>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val="false"/>
                <w:bCs w:val="false"/>
                <w:sz w:val="15"/>
                <w:szCs w:val="15"/>
              </w:rPr>
              <w:t xml:space="preserve">0,55</w:t>
            </w:r>
          </w:p>
        </w:tc>
      </w:tr>
      <w:tr>
        <w:trPr>
          <w:cantSplit/>
        </w:trPr>
        <w:tc>
          <w:tcPr>
            <w:tcW w:type="dxa" w:w="468"/>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val="false"/>
                <w:bCs w:val="false"/>
                <w:sz w:val="15"/>
                <w:szCs w:val="15"/>
              </w:rPr>
              <w:t xml:space="preserve">C5</w:t>
            </w:r>
          </w:p>
        </w:tc>
        <w:tc>
          <w:tcPr>
            <w:tcW w:type="dxa" w:w="702"/>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val="false"/>
                <w:bCs w:val="false"/>
                <w:sz w:val="15"/>
                <w:szCs w:val="15"/>
              </w:rPr>
              <w:t xml:space="preserve">29,63</w:t>
            </w:r>
          </w:p>
        </w:tc>
        <w:tc>
          <w:tcPr>
            <w:tcW w:type="dxa" w:w="655"/>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val="false"/>
                <w:bCs w:val="false"/>
                <w:sz w:val="15"/>
                <w:szCs w:val="15"/>
              </w:rPr>
              <w:t xml:space="preserve">5,55</w:t>
            </w:r>
          </w:p>
        </w:tc>
        <w:tc>
          <w:tcPr>
            <w:tcW w:type="dxa" w:w="748"/>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val="false"/>
                <w:bCs w:val="false"/>
                <w:sz w:val="15"/>
                <w:szCs w:val="15"/>
              </w:rPr>
              <w:t xml:space="preserve">5,34</w:t>
            </w:r>
          </w:p>
        </w:tc>
        <w:tc>
          <w:tcPr>
            <w:tcW w:type="dxa" w:w="702"/>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val="false"/>
                <w:bCs w:val="false"/>
                <w:sz w:val="15"/>
                <w:szCs w:val="15"/>
              </w:rPr>
              <w:t xml:space="preserve">1,59</w:t>
            </w:r>
          </w:p>
        </w:tc>
        <w:tc>
          <w:tcPr>
            <w:tcW w:type="dxa" w:w="655"/>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val="false"/>
                <w:bCs w:val="false"/>
                <w:sz w:val="15"/>
                <w:szCs w:val="15"/>
              </w:rPr>
              <w:t xml:space="preserve">1,86</w:t>
            </w:r>
          </w:p>
        </w:tc>
        <w:tc>
          <w:tcPr>
            <w:tcW w:type="dxa" w:w="747"/>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val="false"/>
                <w:bCs w:val="false"/>
                <w:sz w:val="15"/>
                <w:szCs w:val="15"/>
              </w:rPr>
              <w:t xml:space="preserve">0,85</w:t>
            </w:r>
          </w:p>
        </w:tc>
      </w:tr>
      <w:tr>
        <w:trPr>
          <w:cantSplit/>
        </w:trPr>
        <w:tc>
          <w:tcPr>
            <w:tcW w:type="dxa" w:w="468"/>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val="false"/>
                <w:bCs w:val="false"/>
                <w:sz w:val="15"/>
                <w:szCs w:val="15"/>
              </w:rPr>
              <w:t xml:space="preserve">C9</w:t>
            </w:r>
          </w:p>
        </w:tc>
        <w:tc>
          <w:tcPr>
            <w:tcW w:type="dxa" w:w="702"/>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val="false"/>
                <w:bCs w:val="false"/>
                <w:sz w:val="15"/>
                <w:szCs w:val="15"/>
              </w:rPr>
              <w:t xml:space="preserve">79,77</w:t>
            </w:r>
          </w:p>
        </w:tc>
        <w:tc>
          <w:tcPr>
            <w:tcW w:type="dxa" w:w="655"/>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val="false"/>
                <w:bCs w:val="false"/>
                <w:sz w:val="15"/>
                <w:szCs w:val="15"/>
              </w:rPr>
              <w:t xml:space="preserve">60,69</w:t>
            </w:r>
          </w:p>
        </w:tc>
        <w:tc>
          <w:tcPr>
            <w:tcW w:type="dxa" w:w="748"/>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val="false"/>
                <w:bCs w:val="false"/>
                <w:sz w:val="15"/>
                <w:szCs w:val="15"/>
              </w:rPr>
              <w:t xml:space="preserve">1,31</w:t>
            </w:r>
          </w:p>
        </w:tc>
        <w:tc>
          <w:tcPr>
            <w:tcW w:type="dxa" w:w="702"/>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val="false"/>
                <w:bCs w:val="false"/>
                <w:sz w:val="15"/>
                <w:szCs w:val="15"/>
              </w:rPr>
              <w:t xml:space="preserve">56,09</w:t>
            </w:r>
          </w:p>
        </w:tc>
        <w:tc>
          <w:tcPr>
            <w:tcW w:type="dxa" w:w="655"/>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val="false"/>
                <w:bCs w:val="false"/>
                <w:sz w:val="15"/>
                <w:szCs w:val="15"/>
              </w:rPr>
              <w:t xml:space="preserve">57,32</w:t>
            </w:r>
          </w:p>
        </w:tc>
        <w:tc>
          <w:tcPr>
            <w:tcW w:type="dxa" w:w="747"/>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5"/>
                <w:szCs w:val="15"/>
              </w:rPr>
            </w:pPr>
            <w:r>
              <w:rPr>
                <w:b w:val="false"/>
                <w:bCs w:val="false"/>
                <w:sz w:val="15"/>
                <w:szCs w:val="15"/>
              </w:rPr>
              <w:t xml:space="preserve">0,98</w:t>
            </w:r>
          </w:p>
        </w:tc>
      </w:tr>
      <w:tr>
        <w:trPr>
          <w:cantSplit/>
        </w:trPr>
        <w:tc>
          <w:tcPr>
            <w:tcW w:type="dxa" w:w="468"/>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val="false"/>
              <w:keepLines/>
              <w:jc w:val="center"/>
              <w:rPr>
                <w:sz w:val="15"/>
                <w:szCs w:val="15"/>
              </w:rPr>
            </w:pPr>
            <w:r>
              <w:rPr>
                <w:b w:val="false"/>
                <w:bCs w:val="false"/>
                <w:sz w:val="15"/>
                <w:szCs w:val="15"/>
              </w:rPr>
              <w:t xml:space="preserve">C10</w:t>
            </w:r>
          </w:p>
        </w:tc>
        <w:tc>
          <w:tcPr>
            <w:tcW w:type="dxa" w:w="702"/>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val="false"/>
              <w:keepLines/>
              <w:jc w:val="center"/>
              <w:rPr>
                <w:sz w:val="15"/>
                <w:szCs w:val="15"/>
              </w:rPr>
            </w:pPr>
            <w:r>
              <w:rPr>
                <w:b w:val="false"/>
                <w:bCs w:val="false"/>
                <w:sz w:val="15"/>
                <w:szCs w:val="15"/>
              </w:rPr>
              <w:t xml:space="preserve">34,85</w:t>
            </w:r>
          </w:p>
        </w:tc>
        <w:tc>
          <w:tcPr>
            <w:tcW w:type="dxa" w:w="655"/>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val="false"/>
              <w:keepLines/>
              <w:jc w:val="center"/>
              <w:rPr>
                <w:sz w:val="15"/>
                <w:szCs w:val="15"/>
              </w:rPr>
            </w:pPr>
            <w:r>
              <w:rPr>
                <w:b w:val="false"/>
                <w:bCs w:val="false"/>
                <w:sz w:val="15"/>
                <w:szCs w:val="15"/>
              </w:rPr>
              <w:t xml:space="preserve">8,32</w:t>
            </w:r>
          </w:p>
        </w:tc>
        <w:tc>
          <w:tcPr>
            <w:tcW w:type="dxa" w:w="748"/>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val="false"/>
              <w:keepLines/>
              <w:jc w:val="center"/>
              <w:rPr>
                <w:sz w:val="15"/>
                <w:szCs w:val="15"/>
              </w:rPr>
            </w:pPr>
            <w:r>
              <w:rPr>
                <w:b w:val="false"/>
                <w:bCs w:val="false"/>
                <w:sz w:val="15"/>
                <w:szCs w:val="15"/>
              </w:rPr>
              <w:t xml:space="preserve">4,19</w:t>
            </w:r>
          </w:p>
        </w:tc>
        <w:tc>
          <w:tcPr>
            <w:tcW w:type="dxa" w:w="702"/>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val="false"/>
              <w:keepLines/>
              <w:jc w:val="center"/>
              <w:rPr>
                <w:sz w:val="15"/>
                <w:szCs w:val="15"/>
              </w:rPr>
            </w:pPr>
            <w:r>
              <w:rPr>
                <w:b w:val="false"/>
                <w:bCs w:val="false"/>
                <w:sz w:val="15"/>
                <w:szCs w:val="15"/>
              </w:rPr>
              <w:t xml:space="preserve">5,64</w:t>
            </w:r>
          </w:p>
        </w:tc>
        <w:tc>
          <w:tcPr>
            <w:tcW w:type="dxa" w:w="655"/>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val="false"/>
              <w:keepLines/>
              <w:jc w:val="center"/>
              <w:rPr>
                <w:sz w:val="15"/>
                <w:szCs w:val="15"/>
              </w:rPr>
            </w:pPr>
            <w:r>
              <w:rPr>
                <w:b w:val="false"/>
                <w:bCs w:val="false"/>
                <w:sz w:val="15"/>
                <w:szCs w:val="15"/>
              </w:rPr>
              <w:t xml:space="preserve">2,62</w:t>
            </w:r>
          </w:p>
        </w:tc>
        <w:tc>
          <w:tcPr>
            <w:tcW w:type="dxa" w:w="747"/>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val="false"/>
              <w:keepLines/>
              <w:jc w:val="center"/>
              <w:rPr>
                <w:sz w:val="15"/>
                <w:szCs w:val="15"/>
              </w:rPr>
            </w:pPr>
            <w:r>
              <w:rPr>
                <w:b w:val="false"/>
                <w:bCs w:val="false"/>
                <w:sz w:val="15"/>
                <w:szCs w:val="15"/>
              </w:rPr>
              <w:t xml:space="preserve">2,15</w:t>
            </w:r>
          </w:p>
        </w:tc>
      </w:tr>
    </w:tbl>
    <w:p>
      <w:pPr>
        <w:spacing w:after="60"/>
      </w:pPr>
      <w:r>
        <w:rPr>
          <w:sz w:val="12"/>
          <w:szCs w:val="12"/>
        </w:rPr>
        <w:t xml:space="preserve"/>
      </w:r>
    </w:p>
    <w:p>
      <w:pPr>
        <w:ind w:firstLine="284"/>
        <w:jc w:val="both"/>
      </w:pPr>
      <w:r>
        <w:t xml:space="preserve">Con el CSV original (Tabla 10 y Figura 3), Spark fue más rápido en las cinco consultas, con un Speedup de 1,31 a 5,34. Con Parquet (Figura 4) el resultado se invierte en parte: Pandas fue más rápido en C1, C4 y C5 (Speedup de 0,55 a 0,85), C9 resultó equivalente (0,98) y Spark ganó C10 (2,15). El cambio de formato aceleró a los dos motores, pero mucho más a Pandas: en C1 pasó de 21,26 s a 0,33 s, 65 veces menos, frente a 7,7 veces en Spark; en C5, 18,6 veces frente a 3,0. Los promedios de las tres ejecuciones conservan el orden entre motores en los diez casos.</w:t>
      </w:r>
    </w:p>
    <w:p>
      <w:pPr>
        <w:keepNext/>
        <w:spacing w:before="120"/>
        <w:jc w:val="center"/>
      </w:pPr>
      <w:r>
        <w:drawing>
          <wp:inline distT="0" distB="0" distL="0" distR="0">
            <wp:extent cx="2524125" cy="2695575"/>
            <wp:effectExtent t="0" r="0" b="0" l="0"/>
            <wp:docPr id="1" name="benchmark_tiempos.png" descr="Figura 3. Tiempos con el CSV original." title="Figura 3. Tiempos con el CSV 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524125" cy="2695575"/>
                    </a:xfrm>
                    <a:prstGeom prst="rect">
                      <a:avLst/>
                    </a:prstGeom>
                  </pic:spPr>
                </pic:pic>
              </a:graphicData>
            </a:graphic>
          </wp:inline>
        </w:drawing>
      </w:r>
    </w:p>
    <w:p>
      <w:pPr>
        <w:keepNext w:val="false"/>
        <w:keepLines/>
        <w:spacing w:after="160" w:before="60"/>
        <w:jc w:val="center"/>
      </w:pPr>
      <w:r>
        <w:rPr>
          <w:rFonts w:ascii="Arial" w:cs="Arial" w:eastAsia="Arial" w:hAnsi="Arial"/>
          <w:b/>
          <w:bCs/>
          <w:sz w:val="18"/>
          <w:szCs w:val="18"/>
        </w:rPr>
        <w:t xml:space="preserve">Figura 3. Tiempos con el CSV original.</w:t>
      </w:r>
    </w:p>
    <w:p>
      <w:pPr>
        <w:keepNext/>
        <w:spacing w:before="120"/>
        <w:jc w:val="center"/>
      </w:pPr>
      <w:r>
        <w:drawing>
          <wp:inline distT="0" distB="0" distL="0" distR="0">
            <wp:extent cx="2524125" cy="2695575"/>
            <wp:effectExtent t="0" r="0" b="0" l="0"/>
            <wp:docPr id="1" name="benchmark_tiempos_parquet.png" descr="Figura 4. Tiempos con Parquet." title="Figura 4. Tiempos con Parqu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524125" cy="2695575"/>
                    </a:xfrm>
                    <a:prstGeom prst="rect">
                      <a:avLst/>
                    </a:prstGeom>
                  </pic:spPr>
                </pic:pic>
              </a:graphicData>
            </a:graphic>
          </wp:inline>
        </w:drawing>
      </w:r>
    </w:p>
    <w:p>
      <w:pPr>
        <w:keepNext w:val="false"/>
        <w:keepLines/>
        <w:spacing w:after="160" w:before="60"/>
        <w:jc w:val="center"/>
      </w:pPr>
      <w:r>
        <w:rPr>
          <w:rFonts w:ascii="Arial" w:cs="Arial" w:eastAsia="Arial" w:hAnsi="Arial"/>
          <w:b/>
          <w:bCs/>
          <w:sz w:val="18"/>
          <w:szCs w:val="18"/>
        </w:rPr>
        <w:t xml:space="preserve">Figura 4. Tiempos con Parquet.</w:t>
      </w:r>
    </w:p>
    <w:p>
      <w:pPr>
        <w:keepNext/>
        <w:spacing w:after="120" w:before="120"/>
      </w:pPr>
      <w:r>
        <w:rPr>
          <w:b/>
          <w:bCs/>
          <w:sz w:val="22"/>
          <w:szCs w:val="22"/>
        </w:rPr>
        <w:t xml:space="preserve">5.2. Discusión</w:t>
      </w:r>
    </w:p>
    <w:p>
      <w:pPr>
        <w:ind w:firstLine="284"/>
        <w:jc w:val="both"/>
      </w:pPr>
      <w:r>
        <w:t xml:space="preserve">En un CSV el costo dominante es interpretar texto. Spark divide el archivo en particiones (con el tamaño máximo por defecto, de 128 MB, unas 23 para este archivo) y las interpreta en paralelo con los 16 hilos, mientras que el lector de Pandas trabaja en un solo hilo. Además, la evaluación perezosa permite que el optimizador Catalyst [3] conozca la consulta completa antes de leer: convierte solo las columnas que se usan y encadena filtro, proyección y agregación en una única pasada, que el motor Tungsten compila a código especializado y ejecuta sobre un formato binario propio, sin crear objetos por fila. Las consultas dominadas por la lectura (C1, C5 y C10) son las de mayor Speedup, entre 4,19 y 5,34.</w:t>
      </w:r>
    </w:p>
    <w:p>
      <w:pPr>
        <w:ind w:firstLine="284"/>
        <w:jc w:val="both"/>
      </w:pPr>
      <w:r>
        <w:t xml:space="preserve">Parquet elimina ese costo en los dos motores: los datos ya tienen tipo, y cada consulta lee del disco solo sus columnas. Con la lectura resuelta, lo que queda es un cómputo sobre 7,7 millones de filas que entran holgadamente en memoria, y allí las operaciones vectorizadas de Pandas y NumPy son muy eficientes. Spark, en cambio, conserva sus costos fijos: planificar el trabajo, coordinar tareas, redistribuir datos entre particiones (</w:t>
      </w:r>
      <w:r>
        <w:rPr>
          <w:i/>
          <w:iCs/>
        </w:rPr>
        <w:t xml:space="preserve">shuffle</w:t>
      </w:r>
      <w:r>
        <w:t xml:space="preserve">) en las agregaciones y devolver el resultado al proceso de Python. C1 lo muestra con claridad: Spark tarda 0,53 s y Pandas 0,33 s. En C4, que exige varias agregaciones y cruces entre tablas, Pandas tarda 3,34 s y Spark 6,08 s.</w:t>
      </w:r>
    </w:p>
    <w:p>
      <w:pPr>
        <w:ind w:firstLine="284"/>
        <w:jc w:val="both"/>
      </w:pPr>
      <w:r>
        <w:t xml:space="preserve">Sumadas, las cinco consultas tardaron 187,9 s en Pandas y 87,5 s en Spark con CSV, y 67,0 s y 68,4 s con Parquet: con el formato columnar los dos motores quedan prácticamente igualados en el total. La conversión, de 49 s, se amortiza de manera distinta en cada uno. En Pandas ahorra 120,9 s por cada pasada de las cinco consultas, de modo que se recupera en la primera. En Spark ahorra 19,1 s, y se recupera recién a partir de la tercera pasada.</w:t>
      </w:r>
    </w:p>
    <w:p>
      <w:pPr>
        <w:ind w:firstLine="284"/>
        <w:jc w:val="both"/>
      </w:pPr>
      <w:r>
        <w:t xml:space="preserve">La excepción es C10, en la que Spark sigue siendo 2,15 veces más rápido con Parquet. Es la consulta con más trabajo de agregación: calcula medianas por grupo para dos indicadores, y la versión en Pandas duplica las filas con </w:t>
      </w:r>
      <w:r>
        <w:rPr>
          <w:rFonts w:ascii="Courier New" w:cs="Courier New" w:eastAsia="Courier New" w:hAnsi="Courier New"/>
          <w:sz w:val="18"/>
          <w:szCs w:val="18"/>
        </w:rPr>
        <w:t xml:space="preserve">melt</w:t>
      </w:r>
      <w:r>
        <w:t xml:space="preserve"> y las procesa en un solo hilo, mientras que Spark reparte ese trabajo entre los núcleos.</w:t>
      </w:r>
    </w:p>
    <w:p>
      <w:pPr>
        <w:ind w:firstLine="284"/>
        <w:jc w:val="both"/>
      </w:pPr>
      <w:r>
        <w:t xml:space="preserve">C9 se comporta distinto de las demás. Es la más lenta, entre 56 y 80 s, y el formato casi no influye, porque el tiempo lo consume la evaluación de expresiones regulares sobre millones de descripciones y no la lectura. El paralelismo de Spark tampoco produjo aquí una ventaja comparable a la de las otras consultas (Speedup de 1,31 y 0,98). No se investigó la causa, que queda como trabajo futuro.</w:t>
      </w:r>
    </w:p>
    <w:p>
      <w:pPr>
        <w:keepNext/>
        <w:keepLines/>
        <w:spacing w:after="60" w:before="160"/>
        <w:jc w:val="center"/>
      </w:pPr>
      <w:r>
        <w:rPr>
          <w:rFonts w:ascii="Arial" w:cs="Arial" w:eastAsia="Arial" w:hAnsi="Arial"/>
          <w:b/>
          <w:bCs/>
          <w:sz w:val="18"/>
          <w:szCs w:val="18"/>
        </w:rPr>
        <w:t xml:space="preserve">Tabla 11. Pico de memoria (GB) por consulta.</w:t>
      </w:r>
    </w:p>
    <w:tbl>
      <w:tblPr>
        <w:tblW w:type="dxa" w:w="4677"/>
        <w:jc w:val="center"/>
        <w:tblBorders>
          <w:top w:val="single" w:color="auto" w:sz="4"/>
          <w:left w:val="single" w:color="auto" w:sz="4"/>
          <w:bottom w:val="single" w:color="auto" w:sz="4"/>
          <w:right w:val="single" w:color="auto" w:sz="4"/>
          <w:insideH w:val="single" w:color="auto" w:sz="4"/>
          <w:insideV w:val="single" w:color="auto" w:sz="4"/>
        </w:tblBorders>
      </w:tblPr>
      <w:tblGrid>
        <w:gridCol w:w="748"/>
        <w:gridCol w:w="982"/>
        <w:gridCol w:w="982"/>
        <w:gridCol w:w="982"/>
        <w:gridCol w:w="983"/>
      </w:tblGrid>
      <w:tr>
        <w:trPr>
          <w:cantSplit/>
          <w:tblHeader/>
        </w:trPr>
        <w:tc>
          <w:tcPr>
            <w:tcW w:type="dxa" w:w="748"/>
            <w:vMerge w:val="restart"/>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6"/>
                <w:szCs w:val="16"/>
              </w:rPr>
            </w:pPr>
            <w:r>
              <w:rPr>
                <w:b/>
                <w:bCs/>
                <w:sz w:val="16"/>
                <w:szCs w:val="16"/>
              </w:rPr>
              <w:t xml:space="preserve">Cons.</w:t>
            </w:r>
          </w:p>
        </w:tc>
        <w:tc>
          <w:tcPr>
            <w:tcW w:type="dxa" w:w="1964"/>
            <w:gridSpan w:val="2"/>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6"/>
                <w:szCs w:val="16"/>
              </w:rPr>
            </w:pPr>
            <w:r>
              <w:rPr>
                <w:b/>
                <w:bCs/>
                <w:sz w:val="16"/>
                <w:szCs w:val="16"/>
              </w:rPr>
              <w:t xml:space="preserve">CSV</w:t>
            </w:r>
          </w:p>
        </w:tc>
        <w:tc>
          <w:tcPr>
            <w:tcW w:type="dxa" w:w="1965"/>
            <w:gridSpan w:val="2"/>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6"/>
                <w:szCs w:val="16"/>
              </w:rPr>
            </w:pPr>
            <w:r>
              <w:rPr>
                <w:b/>
                <w:bCs/>
                <w:sz w:val="16"/>
                <w:szCs w:val="16"/>
              </w:rPr>
              <w:t xml:space="preserve">Parquet</w:t>
            </w:r>
          </w:p>
        </w:tc>
      </w:tr>
      <w:tr>
        <w:trPr>
          <w:cantSplit/>
          <w:tblHeader/>
        </w:trPr>
        <w:tc>
          <w:tcPr>
            <w:vMerge w:val="continue"/>
            <w:tcBorders>
              <w:top w:val="single" w:color="000000" w:sz="4"/>
              <w:left w:val="single" w:color="000000" w:sz="4"/>
              <w:bottom w:val="single" w:color="000000" w:sz="4"/>
              <w:right w:val="single" w:color="000000" w:sz="4"/>
            </w:tcBorders>
          </w:tcPr>
          <w:p/>
        </w:tc>
        <w:tc>
          <w:tcPr>
            <w:tcW w:type="dxa" w:w="982"/>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6"/>
                <w:szCs w:val="16"/>
              </w:rPr>
            </w:pPr>
            <w:r>
              <w:rPr>
                <w:b/>
                <w:bCs/>
                <w:sz w:val="16"/>
                <w:szCs w:val="16"/>
              </w:rPr>
              <w:t xml:space="preserve">Pandas</w:t>
            </w:r>
          </w:p>
        </w:tc>
        <w:tc>
          <w:tcPr>
            <w:tcW w:type="dxa" w:w="982"/>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6"/>
                <w:szCs w:val="16"/>
              </w:rPr>
            </w:pPr>
            <w:r>
              <w:rPr>
                <w:b/>
                <w:bCs/>
                <w:sz w:val="16"/>
                <w:szCs w:val="16"/>
              </w:rPr>
              <w:t xml:space="preserve">Spark (JVM)</w:t>
            </w:r>
          </w:p>
        </w:tc>
        <w:tc>
          <w:tcPr>
            <w:tcW w:type="dxa" w:w="982"/>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6"/>
                <w:szCs w:val="16"/>
              </w:rPr>
            </w:pPr>
            <w:r>
              <w:rPr>
                <w:b/>
                <w:bCs/>
                <w:sz w:val="16"/>
                <w:szCs w:val="16"/>
              </w:rPr>
              <w:t xml:space="preserve">Pandas</w:t>
            </w:r>
          </w:p>
        </w:tc>
        <w:tc>
          <w:tcPr>
            <w:tcW w:type="dxa" w:w="983"/>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6"/>
                <w:szCs w:val="16"/>
              </w:rPr>
            </w:pPr>
            <w:r>
              <w:rPr>
                <w:b/>
                <w:bCs/>
                <w:sz w:val="16"/>
                <w:szCs w:val="16"/>
              </w:rPr>
              <w:t xml:space="preserve">Spark (JVM)</w:t>
            </w:r>
          </w:p>
        </w:tc>
      </w:tr>
      <w:tr>
        <w:trPr>
          <w:cantSplit/>
        </w:trPr>
        <w:tc>
          <w:tcPr>
            <w:tcW w:type="dxa" w:w="748"/>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6"/>
                <w:szCs w:val="16"/>
              </w:rPr>
            </w:pPr>
            <w:r>
              <w:rPr>
                <w:b w:val="false"/>
                <w:bCs w:val="false"/>
                <w:sz w:val="16"/>
                <w:szCs w:val="16"/>
              </w:rPr>
              <w:t xml:space="preserve">C1</w:t>
            </w:r>
          </w:p>
        </w:tc>
        <w:tc>
          <w:tcPr>
            <w:tcW w:type="dxa" w:w="982"/>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6"/>
                <w:szCs w:val="16"/>
              </w:rPr>
            </w:pPr>
            <w:r>
              <w:rPr>
                <w:b w:val="false"/>
                <w:bCs w:val="false"/>
                <w:sz w:val="16"/>
                <w:szCs w:val="16"/>
              </w:rPr>
              <w:t xml:space="preserve">1,27</w:t>
            </w:r>
          </w:p>
        </w:tc>
        <w:tc>
          <w:tcPr>
            <w:tcW w:type="dxa" w:w="982"/>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6"/>
                <w:szCs w:val="16"/>
              </w:rPr>
            </w:pPr>
            <w:r>
              <w:rPr>
                <w:b w:val="false"/>
                <w:bCs w:val="false"/>
                <w:sz w:val="16"/>
                <w:szCs w:val="16"/>
              </w:rPr>
              <w:t xml:space="preserve">3,92</w:t>
            </w:r>
          </w:p>
        </w:tc>
        <w:tc>
          <w:tcPr>
            <w:tcW w:type="dxa" w:w="982"/>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6"/>
                <w:szCs w:val="16"/>
              </w:rPr>
            </w:pPr>
            <w:r>
              <w:rPr>
                <w:b w:val="false"/>
                <w:bCs w:val="false"/>
                <w:sz w:val="16"/>
                <w:szCs w:val="16"/>
              </w:rPr>
              <w:t xml:space="preserve">0,89</w:t>
            </w:r>
          </w:p>
        </w:tc>
        <w:tc>
          <w:tcPr>
            <w:tcW w:type="dxa" w:w="983"/>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6"/>
                <w:szCs w:val="16"/>
              </w:rPr>
            </w:pPr>
            <w:r>
              <w:rPr>
                <w:b w:val="false"/>
                <w:bCs w:val="false"/>
                <w:sz w:val="16"/>
                <w:szCs w:val="16"/>
              </w:rPr>
              <w:t xml:space="preserve">7,78</w:t>
            </w:r>
          </w:p>
        </w:tc>
      </w:tr>
      <w:tr>
        <w:trPr>
          <w:cantSplit/>
        </w:trPr>
        <w:tc>
          <w:tcPr>
            <w:tcW w:type="dxa" w:w="748"/>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6"/>
                <w:szCs w:val="16"/>
              </w:rPr>
            </w:pPr>
            <w:r>
              <w:rPr>
                <w:b w:val="false"/>
                <w:bCs w:val="false"/>
                <w:sz w:val="16"/>
                <w:szCs w:val="16"/>
              </w:rPr>
              <w:t xml:space="preserve">C4</w:t>
            </w:r>
          </w:p>
        </w:tc>
        <w:tc>
          <w:tcPr>
            <w:tcW w:type="dxa" w:w="982"/>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6"/>
                <w:szCs w:val="16"/>
              </w:rPr>
            </w:pPr>
            <w:r>
              <w:rPr>
                <w:b w:val="false"/>
                <w:bCs w:val="false"/>
                <w:sz w:val="16"/>
                <w:szCs w:val="16"/>
              </w:rPr>
              <w:t xml:space="preserve">1,21</w:t>
            </w:r>
          </w:p>
        </w:tc>
        <w:tc>
          <w:tcPr>
            <w:tcW w:type="dxa" w:w="982"/>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6"/>
                <w:szCs w:val="16"/>
              </w:rPr>
            </w:pPr>
            <w:r>
              <w:rPr>
                <w:b w:val="false"/>
                <w:bCs w:val="false"/>
                <w:sz w:val="16"/>
                <w:szCs w:val="16"/>
              </w:rPr>
              <w:t xml:space="preserve">5,36</w:t>
            </w:r>
          </w:p>
        </w:tc>
        <w:tc>
          <w:tcPr>
            <w:tcW w:type="dxa" w:w="982"/>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6"/>
                <w:szCs w:val="16"/>
              </w:rPr>
            </w:pPr>
            <w:r>
              <w:rPr>
                <w:b w:val="false"/>
                <w:bCs w:val="false"/>
                <w:sz w:val="16"/>
                <w:szCs w:val="16"/>
              </w:rPr>
              <w:t xml:space="preserve">1,96</w:t>
            </w:r>
          </w:p>
        </w:tc>
        <w:tc>
          <w:tcPr>
            <w:tcW w:type="dxa" w:w="983"/>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6"/>
                <w:szCs w:val="16"/>
              </w:rPr>
            </w:pPr>
            <w:r>
              <w:rPr>
                <w:b w:val="false"/>
                <w:bCs w:val="false"/>
                <w:sz w:val="16"/>
                <w:szCs w:val="16"/>
              </w:rPr>
              <w:t xml:space="preserve">8,22</w:t>
            </w:r>
          </w:p>
        </w:tc>
      </w:tr>
      <w:tr>
        <w:trPr>
          <w:cantSplit/>
        </w:trPr>
        <w:tc>
          <w:tcPr>
            <w:tcW w:type="dxa" w:w="748"/>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6"/>
                <w:szCs w:val="16"/>
              </w:rPr>
            </w:pPr>
            <w:r>
              <w:rPr>
                <w:b w:val="false"/>
                <w:bCs w:val="false"/>
                <w:sz w:val="16"/>
                <w:szCs w:val="16"/>
              </w:rPr>
              <w:t xml:space="preserve">C5</w:t>
            </w:r>
          </w:p>
        </w:tc>
        <w:tc>
          <w:tcPr>
            <w:tcW w:type="dxa" w:w="982"/>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6"/>
                <w:szCs w:val="16"/>
              </w:rPr>
            </w:pPr>
            <w:r>
              <w:rPr>
                <w:b w:val="false"/>
                <w:bCs w:val="false"/>
                <w:sz w:val="16"/>
                <w:szCs w:val="16"/>
              </w:rPr>
              <w:t xml:space="preserve">2,33</w:t>
            </w:r>
          </w:p>
        </w:tc>
        <w:tc>
          <w:tcPr>
            <w:tcW w:type="dxa" w:w="982"/>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6"/>
                <w:szCs w:val="16"/>
              </w:rPr>
            </w:pPr>
            <w:r>
              <w:rPr>
                <w:b w:val="false"/>
                <w:bCs w:val="false"/>
                <w:sz w:val="16"/>
                <w:szCs w:val="16"/>
              </w:rPr>
              <w:t xml:space="preserve">5,35</w:t>
            </w:r>
          </w:p>
        </w:tc>
        <w:tc>
          <w:tcPr>
            <w:tcW w:type="dxa" w:w="982"/>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6"/>
                <w:szCs w:val="16"/>
              </w:rPr>
            </w:pPr>
            <w:r>
              <w:rPr>
                <w:b w:val="false"/>
                <w:bCs w:val="false"/>
                <w:sz w:val="16"/>
                <w:szCs w:val="16"/>
              </w:rPr>
              <w:t xml:space="preserve">2,56</w:t>
            </w:r>
          </w:p>
        </w:tc>
        <w:tc>
          <w:tcPr>
            <w:tcW w:type="dxa" w:w="983"/>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6"/>
                <w:szCs w:val="16"/>
              </w:rPr>
            </w:pPr>
            <w:r>
              <w:rPr>
                <w:b w:val="false"/>
                <w:bCs w:val="false"/>
                <w:sz w:val="16"/>
                <w:szCs w:val="16"/>
              </w:rPr>
              <w:t xml:space="preserve">5,59</w:t>
            </w:r>
          </w:p>
        </w:tc>
      </w:tr>
      <w:tr>
        <w:trPr>
          <w:cantSplit/>
        </w:trPr>
        <w:tc>
          <w:tcPr>
            <w:tcW w:type="dxa" w:w="748"/>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6"/>
                <w:szCs w:val="16"/>
              </w:rPr>
            </w:pPr>
            <w:r>
              <w:rPr>
                <w:b w:val="false"/>
                <w:bCs w:val="false"/>
                <w:sz w:val="16"/>
                <w:szCs w:val="16"/>
              </w:rPr>
              <w:t xml:space="preserve">C9</w:t>
            </w:r>
          </w:p>
        </w:tc>
        <w:tc>
          <w:tcPr>
            <w:tcW w:type="dxa" w:w="982"/>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6"/>
                <w:szCs w:val="16"/>
              </w:rPr>
            </w:pPr>
            <w:r>
              <w:rPr>
                <w:b w:val="false"/>
                <w:bCs w:val="false"/>
                <w:sz w:val="16"/>
                <w:szCs w:val="16"/>
              </w:rPr>
              <w:t xml:space="preserve">3,12</w:t>
            </w:r>
          </w:p>
        </w:tc>
        <w:tc>
          <w:tcPr>
            <w:tcW w:type="dxa" w:w="982"/>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6"/>
                <w:szCs w:val="16"/>
              </w:rPr>
            </w:pPr>
            <w:r>
              <w:rPr>
                <w:b w:val="false"/>
                <w:bCs w:val="false"/>
                <w:sz w:val="16"/>
                <w:szCs w:val="16"/>
              </w:rPr>
              <w:t xml:space="preserve">5,38</w:t>
            </w:r>
          </w:p>
        </w:tc>
        <w:tc>
          <w:tcPr>
            <w:tcW w:type="dxa" w:w="982"/>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6"/>
                <w:szCs w:val="16"/>
              </w:rPr>
            </w:pPr>
            <w:r>
              <w:rPr>
                <w:b w:val="false"/>
                <w:bCs w:val="false"/>
                <w:sz w:val="16"/>
                <w:szCs w:val="16"/>
              </w:rPr>
              <w:t xml:space="preserve">3,69</w:t>
            </w:r>
          </w:p>
        </w:tc>
        <w:tc>
          <w:tcPr>
            <w:tcW w:type="dxa" w:w="983"/>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keepLines/>
              <w:jc w:val="center"/>
              <w:rPr>
                <w:sz w:val="16"/>
                <w:szCs w:val="16"/>
              </w:rPr>
            </w:pPr>
            <w:r>
              <w:rPr>
                <w:b w:val="false"/>
                <w:bCs w:val="false"/>
                <w:sz w:val="16"/>
                <w:szCs w:val="16"/>
              </w:rPr>
              <w:t xml:space="preserve">6,15</w:t>
            </w:r>
          </w:p>
        </w:tc>
      </w:tr>
      <w:tr>
        <w:trPr>
          <w:cantSplit/>
        </w:trPr>
        <w:tc>
          <w:tcPr>
            <w:tcW w:type="dxa" w:w="748"/>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val="false"/>
              <w:keepLines/>
              <w:jc w:val="center"/>
              <w:rPr>
                <w:sz w:val="16"/>
                <w:szCs w:val="16"/>
              </w:rPr>
            </w:pPr>
            <w:r>
              <w:rPr>
                <w:b w:val="false"/>
                <w:bCs w:val="false"/>
                <w:sz w:val="16"/>
                <w:szCs w:val="16"/>
              </w:rPr>
              <w:t xml:space="preserve">C10</w:t>
            </w:r>
          </w:p>
        </w:tc>
        <w:tc>
          <w:tcPr>
            <w:tcW w:type="dxa" w:w="982"/>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val="false"/>
              <w:keepLines/>
              <w:jc w:val="center"/>
              <w:rPr>
                <w:sz w:val="16"/>
                <w:szCs w:val="16"/>
              </w:rPr>
            </w:pPr>
            <w:r>
              <w:rPr>
                <w:b w:val="false"/>
                <w:bCs w:val="false"/>
                <w:sz w:val="16"/>
                <w:szCs w:val="16"/>
              </w:rPr>
              <w:t xml:space="preserve">3,17</w:t>
            </w:r>
          </w:p>
        </w:tc>
        <w:tc>
          <w:tcPr>
            <w:tcW w:type="dxa" w:w="982"/>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val="false"/>
              <w:keepLines/>
              <w:jc w:val="center"/>
              <w:rPr>
                <w:sz w:val="16"/>
                <w:szCs w:val="16"/>
              </w:rPr>
            </w:pPr>
            <w:r>
              <w:rPr>
                <w:b w:val="false"/>
                <w:bCs w:val="false"/>
                <w:sz w:val="16"/>
                <w:szCs w:val="16"/>
              </w:rPr>
              <w:t xml:space="preserve">4,81</w:t>
            </w:r>
          </w:p>
        </w:tc>
        <w:tc>
          <w:tcPr>
            <w:tcW w:type="dxa" w:w="982"/>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val="false"/>
              <w:keepLines/>
              <w:jc w:val="center"/>
              <w:rPr>
                <w:sz w:val="16"/>
                <w:szCs w:val="16"/>
              </w:rPr>
            </w:pPr>
            <w:r>
              <w:rPr>
                <w:b w:val="false"/>
                <w:bCs w:val="false"/>
                <w:sz w:val="16"/>
                <w:szCs w:val="16"/>
              </w:rPr>
              <w:t xml:space="preserve">3,08</w:t>
            </w:r>
          </w:p>
        </w:tc>
        <w:tc>
          <w:tcPr>
            <w:tcW w:type="dxa" w:w="983"/>
            <w:tcBorders>
              <w:top w:val="single" w:color="000000" w:sz="4"/>
              <w:left w:val="single" w:color="000000" w:sz="4"/>
              <w:bottom w:val="single" w:color="000000" w:sz="4"/>
              <w:right w:val="single" w:color="000000" w:sz="4"/>
            </w:tcBorders>
            <w:tcMar>
              <w:top w:type="dxa" w:w="15"/>
              <w:left w:type="dxa" w:w="40"/>
              <w:bottom w:type="dxa" w:w="15"/>
              <w:right w:type="dxa" w:w="40"/>
            </w:tcMar>
            <w:vAlign w:val="center"/>
          </w:tcPr>
          <w:p>
            <w:pPr>
              <w:keepNext w:val="false"/>
              <w:keepLines/>
              <w:jc w:val="center"/>
              <w:rPr>
                <w:sz w:val="16"/>
                <w:szCs w:val="16"/>
              </w:rPr>
            </w:pPr>
            <w:r>
              <w:rPr>
                <w:b w:val="false"/>
                <w:bCs w:val="false"/>
                <w:sz w:val="16"/>
                <w:szCs w:val="16"/>
              </w:rPr>
              <w:t xml:space="preserve">5,65</w:t>
            </w:r>
          </w:p>
        </w:tc>
      </w:tr>
    </w:tbl>
    <w:p>
      <w:pPr>
        <w:spacing w:after="60"/>
      </w:pPr>
      <w:r>
        <w:rPr>
          <w:sz w:val="12"/>
          <w:szCs w:val="12"/>
        </w:rPr>
        <w:t xml:space="preserve"/>
      </w:r>
    </w:p>
    <w:p>
      <w:pPr>
        <w:ind w:firstLine="284"/>
        <w:jc w:val="both"/>
      </w:pPr>
      <w:r>
        <w:t xml:space="preserve">En memoria (Tabla 11), el proceso de Python alcanzó picos de entre 0,89 y 3,69 GB con Pandas, y el de Java, de entre 3,92 y 8,22 GB con Spark. Pandas no agotó la memoria en ningún caso. Al leer solo las columnas necesarias, su pico no superó los 3,7 GB, y el cuaderno estima que el conjunto completo ocuparía 3,55 GB en un único DataFrame con el tipo de texto de Pandas 3, muy por debajo de los 31,7 GB instalados. El escenario de falla por memoria no se presentó en este entorno.</w:t>
      </w:r>
    </w:p>
    <w:p>
      <w:pPr>
        <w:ind w:firstLine="284"/>
        <w:jc w:val="both"/>
      </w:pPr>
      <w:r>
        <w:t xml:space="preserve">Las mediciones tienen un alcance acotado. Corresponden a una sola máquina y a Spark en modo local, por lo que no incluyen los costos de red ni la escalabilidad horizontal de un clúster. El conjunto entra en memoria, que es el caso más favorable para Pandas, y se evaluó una única configuración de hardware: no se midió cómo cambia el Speedup con la cantidad de núcleos.</w:t>
      </w:r>
    </w:p>
    <w:p>
      <w:pPr>
        <w:keepNext/>
        <w:spacing w:after="240" w:before="480"/>
      </w:pPr>
      <w:r>
        <w:rPr>
          <w:b/>
          <w:bCs/>
          <w:sz w:val="24"/>
          <w:szCs w:val="24"/>
        </w:rPr>
        <w:t xml:space="preserve">6. Conclusiones</w:t>
      </w:r>
    </w:p>
    <w:p>
      <w:pPr>
        <w:ind w:firstLine="284"/>
        <w:jc w:val="both"/>
      </w:pPr>
      <w:r>
        <w:t xml:space="preserve">Para un conjunto de 3 GB y 7,7 millones de filas, ninguno de los dos motores es mejor en todos los casos. Con CSV y 16 hilos, Spark fue más rápido en las cinco consultas (Speedup de 1,31 a 5,34), porque paraleliza la interpretación del texto. Con Parquet, Pandas fue más rápido en tres de las cinco, una resultó equivalente y Spark conservó la ventaja en una.</w:t>
      </w:r>
    </w:p>
    <w:p>
      <w:pPr>
        <w:ind w:firstLine="284"/>
        <w:jc w:val="both"/>
      </w:pPr>
      <w:r>
        <w:t xml:space="preserve">El formato de almacenamiento influyó más que la elección del motor. Convertir el conjunto a Parquet costó 49 s, una sola vez, y redujo el tiempo de cuatro de las cinco consultas entre 6 y 65 veces en Pandas y entre 1,5 y 7,7 veces en Spark. En un flujo de trabajo con consultas repetidas, la primera optimización es dejar de leer CSV.</w:t>
      </w:r>
    </w:p>
    <w:p>
      <w:pPr>
        <w:ind w:firstLine="284"/>
        <w:jc w:val="both"/>
      </w:pPr>
      <w:r>
        <w:t xml:space="preserve">Las consultas dominadas por el cómputo se comportan distinto de las dominadas por la lectura. El procesamiento de texto con expresiones regulares (C9) tardó cerca de un minuto en ambos motores y con ambos formatos. Spark usó más memoria en todos los casos, y Pandas, leyendo solo las columnas necesarias, no se acercó al límite de la máquina.</w:t>
      </w:r>
    </w:p>
    <w:p>
      <w:pPr>
        <w:ind w:firstLine="284"/>
        <w:jc w:val="both"/>
      </w:pPr>
      <w:r>
        <w:t xml:space="preserve">La verificación automática de resultados entre motores fue parte del método y no un control final. Obligó a resolver diferencias que de otro modo habrían pasado inadvertidas, como los dos formatos de fecha del archivo o el comportamiento de las expresiones regulares ante caracteres no ASCII, y es lo que permite afirmar que los tiempos comparan el mismo cálculo.</w:t>
      </w:r>
    </w:p>
    <w:p>
      <w:pPr>
        <w:ind w:firstLine="284"/>
        <w:jc w:val="both"/>
      </w:pPr>
      <w:r>
        <w:t xml:space="preserve">Con Spark MLlib, un bosque aleatorio con pesos de clase detecta el 69,6 % de los siniestros de severidad alta, con una precisión de 0,313 y un ROC-AUC de 0,724. Sin esos pesos no detectaba ninguno, aunque su exactitud era mayor: en un problema desbalanceado, la exactitud sola conduce a la conclusión equivocada. La hipótesis se sostuvo en parte. Aportan la infraestructura vial y la condición meteorológica; casi no aportan el momento del siniestro, la visibilidad ni la precipitación.</w:t>
      </w:r>
    </w:p>
    <w:p>
      <w:pPr>
        <w:ind w:firstLine="284"/>
        <w:jc w:val="both"/>
      </w:pPr>
      <w:r>
        <w:t xml:space="preserve">Como trabajo futuro quedan tres líneas: repetir las mediciones en un clúster y variando la cantidad de núcleos, para medir la escalabilidad que el modo local no permite observar; evaluar el clasificador con una partición temporal y verificar el papel de la condición meteorológica como indicador del período, y estudiar por qué el procesamiento de texto no se benefició del paralelismo.</w:t>
      </w:r>
    </w:p>
    <w:p>
      <w:pPr>
        <w:keepNext/>
        <w:spacing w:after="240" w:before="480"/>
      </w:pPr>
      <w:r>
        <w:rPr>
          <w:b/>
          <w:bCs/>
          <w:sz w:val="24"/>
          <w:szCs w:val="24"/>
        </w:rPr>
        <w:t xml:space="preserve">Referencias</w:t>
      </w:r>
    </w:p>
    <w:p>
      <w:pPr>
        <w:spacing w:after="60"/>
        <w:ind w:left="340" w:hanging="340"/>
        <w:jc w:val="left"/>
      </w:pPr>
      <w:r>
        <w:rPr>
          <w:sz w:val="18"/>
          <w:szCs w:val="18"/>
        </w:rPr>
        <w:t xml:space="preserve">[1] W. McKinney, "Data Structures for Statistical Computing in Python", in Proceedings of the 9th Python in Science Conference (SciPy 2010), Austin, TX, USA, 2010, pp. 56-61.</w:t>
      </w:r>
    </w:p>
    <w:p>
      <w:pPr>
        <w:spacing w:after="60"/>
        <w:ind w:left="340" w:hanging="340"/>
        <w:jc w:val="left"/>
      </w:pPr>
      <w:r>
        <w:rPr>
          <w:sz w:val="18"/>
          <w:szCs w:val="18"/>
        </w:rPr>
        <w:t xml:space="preserve">[2] M. Zaharia et al., "Resilient Distributed Datasets: A Fault-Tolerant Abstraction for In-Memory Cluster Computing", in Proceedings of the 9th USENIX Symposium on Networked Systems Design and Implementation (NSDI '12), San Jose, CA, USA, 2012, pp. 15-28.</w:t>
      </w:r>
    </w:p>
    <w:p>
      <w:pPr>
        <w:spacing w:after="60"/>
        <w:ind w:left="340" w:hanging="340"/>
        <w:jc w:val="left"/>
      </w:pPr>
      <w:r>
        <w:rPr>
          <w:sz w:val="18"/>
          <w:szCs w:val="18"/>
        </w:rPr>
        <w:t xml:space="preserve">[3] M. Armbrust et al., "Spark SQL: Relational Data Processing in Spark", in Proceedings of the 2015 ACM SIGMOD International Conference on Management of Data, Melbourne, Australia, 2015, pp. 1383-1394.</w:t>
      </w:r>
    </w:p>
    <w:p>
      <w:pPr>
        <w:spacing w:after="60"/>
        <w:ind w:left="340" w:hanging="340"/>
        <w:jc w:val="left"/>
      </w:pPr>
      <w:r>
        <w:rPr>
          <w:sz w:val="18"/>
          <w:szCs w:val="18"/>
        </w:rPr>
        <w:t xml:space="preserve">[4] S. Moosavi, M. H. Samavatian, S. Parthasarathy, and R. Ramnath, "A Countrywide Traffic Accident Dataset", arXiv:1906.05409, 2019.</w:t>
      </w:r>
    </w:p>
    <w:p>
      <w:pPr>
        <w:spacing w:after="60"/>
        <w:ind w:left="340" w:hanging="340"/>
        <w:jc w:val="left"/>
      </w:pPr>
      <w:r>
        <w:rPr>
          <w:sz w:val="18"/>
          <w:szCs w:val="18"/>
        </w:rPr>
        <w:t xml:space="preserve">[5] S. Moosavi, M. H. Samavatian, S. Parthasarathy, R. Teodorescu, and R. Ramnath, "Accident Risk Prediction based on Heterogeneous Sparse Data: New Dataset and Insights", in Proceedings of the 27th ACM SIGSPATIAL International Conference on Advances in Geographic Information Systems, Chicago, IL, USA, 2019.</w:t>
      </w:r>
    </w:p>
    <w:p>
      <w:pPr>
        <w:spacing w:after="60"/>
        <w:ind w:left="340" w:hanging="340"/>
        <w:jc w:val="left"/>
      </w:pPr>
      <w:r>
        <w:rPr>
          <w:sz w:val="18"/>
          <w:szCs w:val="18"/>
        </w:rPr>
        <w:t xml:space="preserve">[6] S. Moosavi, "US Accidents (2016 - 2023)", Kaggle, 2023. Disponible en: https://www.kaggle.com/datasets/sobhanmoosavi/us-accidents</w:t>
      </w:r>
    </w:p>
    <w:p>
      <w:pPr>
        <w:spacing w:after="60"/>
        <w:ind w:left="340" w:hanging="340"/>
        <w:jc w:val="left"/>
      </w:pPr>
      <w:r>
        <w:rPr>
          <w:sz w:val="18"/>
          <w:szCs w:val="18"/>
        </w:rPr>
        <w:t xml:space="preserve">[7] X. Meng et al., "MLlib: Machine Learning in Apache Spark", Journal of Machine Learning Research, 17(34), 2016, pp. 1-7.</w:t>
      </w:r>
    </w:p>
    <w:p>
      <w:pPr>
        <w:spacing w:after="60"/>
        <w:ind w:left="340" w:hanging="340"/>
        <w:jc w:val="left"/>
      </w:pPr>
      <w:r>
        <w:rPr>
          <w:sz w:val="18"/>
          <w:szCs w:val="18"/>
        </w:rPr>
        <w:t xml:space="preserve">[8] S. Melnik et al., "Dremel: Interactive Analysis of Web-Scale Datasets", Proceedings of the VLDB Endowment, 3(1), 2010, pp. 330-339.</w:t>
      </w:r>
    </w:p>
    <w:p>
      <w:pPr>
        <w:spacing w:after="60"/>
        <w:ind w:left="340" w:hanging="340"/>
        <w:jc w:val="left"/>
      </w:pPr>
      <w:r>
        <w:rPr>
          <w:sz w:val="18"/>
          <w:szCs w:val="18"/>
        </w:rPr>
        <w:t xml:space="preserve">[9] L. Breiman, "Random Forests", Machine Learning, 45(1), 2001, pp. 5-32.</w:t>
      </w:r>
    </w:p>
    <w:sectPr>
      <w:type w:val="continuous"/>
      <w:pgSz w:w="11906" w:h="16838" w:orient="portrait"/>
      <w:pgMar w:top="1701" w:right="1049" w:bottom="1701" w:left="1049" w:header="708" w:footer="708" w:gutter="0"/>
      <w:pgNumType/>
      <w:cols w:space="454"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autoHyphenation/>
  <w:doNotHyphenateCaps/>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lang w:val="es-AR"/>
      </w:rPr>
    </w:rPrDefault>
    <w:pPrDefault>
      <w:pPr>
        <w:spacing w:after="0" w:before="0"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23fa9bfee0fd75f27bb8c16bc5d463d771df16c.png"/><Relationship Id="rId8" Type="http://schemas.openxmlformats.org/officeDocument/2006/relationships/image" Target="media/16c19fa46b96ede8e70b14e38cb8f4ceeb1cbb46.png"/><Relationship Id="rId9" Type="http://schemas.openxmlformats.org/officeDocument/2006/relationships/image" Target="media/540ad0e0d269be6949296d030956eafc41b6448a.png"/><Relationship Id="rId10" Type="http://schemas.openxmlformats.org/officeDocument/2006/relationships/image" Target="media/0485a64a224a11af6c3121f4cb10c4d76a7f6d77.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Analítica de Datos a Gran Escala y Benchmarking Experimental: Pandas frente a PySpark sobre US Accidents (2016–2023)</dc:title>
  <dc:creator>Grupo 3</dc:creator>
  <dc:description>Proyecto final integrador de Big Data</dc:description>
  <cp:lastModifiedBy>Un-named</cp:lastModifiedBy>
  <cp:revision>1</cp:revision>
  <dcterms:created xsi:type="dcterms:W3CDTF">2026-10-07T17:52:04.278Z</dcterms:created>
  <dcterms:modified xsi:type="dcterms:W3CDTF">2026-10-07T17:52:04.278Z</dcterms:modified>
</cp:coreProperties>
</file>

<file path=docProps/custom.xml><?xml version="1.0" encoding="utf-8"?>
<Properties xmlns="http://schemas.openxmlformats.org/officeDocument/2006/custom-properties" xmlns:vt="http://schemas.openxmlformats.org/officeDocument/2006/docPropsVTypes"/>
</file>