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de las nuevas bases de planilla</w:t>
      </w:r>
    </w:p>
    <w:p>
      <w:r>
        <w:rPr>
          <w:b w:val="0"/>
        </w:rPr>
        <w:t>Informe para coautoría | ASIES | 23 de octubre de 2026</w:t>
      </w:r>
    </w:p>
    <w:p>
      <w:r>
        <w:rPr>
          <w:b/>
        </w:rPr>
        <w:t>Las bases nuevas corrigen errores importantes de montos y de identificación de programas. Los totales de los ministerios coinciden mucho mejor con nuestra base mensual. Antes de usarlas en los análisis por programa, falta completar y revisar algunos nombres que permiten unir ambas bases.</w:t>
      </w:r>
    </w:p>
    <w:p>
      <w:pPr>
        <w:pStyle w:val="Heading1"/>
      </w:pPr>
      <w:r>
        <w:t>Qué información estamos comparando</w:t>
      </w:r>
    </w:p>
    <w:p>
      <w:r>
        <w:rPr>
          <w:b w:val="0"/>
        </w:rPr>
        <w:t>Tenemos una base mensual con el gasto de cada programa y otra anual que separa cuánto se destina a personal. La revisión comparó los 14 ministerios presentes en ambas versiones entre 2004 y 2025. Secretarías se revisó aparte: antes teníamos un listado de instituciones, no una base equivalente de gasto de personal.</w:t>
      </w:r>
    </w:p>
    <w:p>
      <w:pPr>
        <w:pStyle w:val="Heading1"/>
      </w:pPr>
      <w:r>
        <w:t>Qué corrigen los archivos nuevos</w:t>
      </w:r>
    </w:p>
    <w:p>
      <w:r>
        <w:rPr>
          <w:b w:val="0"/>
        </w:rPr>
        <w:t>En 13 ministerios, la versión anterior tomaba una cifra de la columna “Comprometido” y la presentaba como “Devengado”. Son dos columnas distintas del reporte de presupuesto, y no siempre contienen el mismo monto. La nueva versión las mantiene separadas y usa el devengado para medir el gasto. MAGA conserva los mismos montos de devengado.</w:t>
      </w:r>
    </w:p>
    <w:p>
      <w:r>
        <w:rPr>
          <w:b w:val="0"/>
        </w:rPr>
        <w:t>También se corrigen nombres de 2004–2016: muchas filas antiguas decían “Gastos de funcionamiento”, una categoría general, en lugar del programa específico. La versión nueva distingue 2,475 combinaciones de programa y año, frente a 1,354 en la anterior.</w:t>
      </w:r>
    </w:p>
    <w:p>
      <w:r>
        <w:rPr>
          <w:b w:val="0"/>
        </w:rPr>
        <w:t>MIDES 2012 deja de aparecer con gasto cero. Ahora registra Q1,100.39 millones de gasto y Q33.32 millones de servicios personales; el gasto total coincide con nuestra base mensual.</w:t>
      </w:r>
    </w:p>
    <w:p>
      <w:pPr>
        <w:pStyle w:val="Heading1"/>
      </w:pPr>
      <w:r>
        <w:t>Qué significa que coincidan los totales</w:t>
      </w:r>
    </w:p>
    <w:p>
      <w:r>
        <w:rPr>
          <w:b w:val="0"/>
        </w:rPr>
        <w:t>Se hicieron 300 comparaciones: 13 ministerios con 22 años de datos y MIDES con 14 años. En cada una se comparó el total anual nuevo con la suma de los doce meses de nuestra base.</w:t>
      </w:r>
    </w:p>
    <w:tbl>
      <w:tblPr>
        <w:tblW w:type="auto" w:w="0"/>
        <w:jc w:val="center"/>
        <w:tblLayout w:type="fixed"/>
        <w:tblLook w:firstColumn="1" w:firstRow="1" w:lastColumn="0" w:lastRow="0" w:noHBand="0" w:noVBand="1" w:val="04A0"/>
      </w:tblPr>
      <w:tblGrid>
        <w:gridCol w:w="4896"/>
        <w:gridCol w:w="2520"/>
        <w:gridCol w:w="2520"/>
      </w:tblGrid>
      <w:tr>
        <w:trPr>
          <w:tblHeader/>
        </w:trPr>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21"/>
              </w:rPr>
              <w:t>Comprobación</w:t>
            </w:r>
          </w:p>
        </w:tc>
        <w:tc>
          <w:tcPr>
            <w:tcW w:type="dxa" w:w="25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before="40" w:line="240" w:lineRule="auto"/>
              <w:jc w:val="center"/>
            </w:pPr>
            <w:r>
              <w:rPr>
                <w:b/>
                <w:sz w:val="21"/>
              </w:rPr>
              <w:t>Versión anterior</w:t>
            </w:r>
          </w:p>
        </w:tc>
        <w:tc>
          <w:tcPr>
            <w:tcW w:type="dxa" w:w="25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before="40" w:line="240" w:lineRule="auto"/>
              <w:jc w:val="center"/>
            </w:pPr>
            <w:r>
              <w:rPr>
                <w:b/>
                <w:sz w:val="21"/>
              </w:rPr>
              <w:t>Versión nueva</w:t>
            </w:r>
          </w:p>
        </w:tc>
      </w:tr>
      <w:tr>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Totales cercanos a la base mensual</w:t>
            </w:r>
          </w:p>
        </w:tc>
        <w:tc>
          <w:tcPr>
            <w:tcW w:type="dxa" w:w="25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238 de 300</w:t>
            </w:r>
          </w:p>
        </w:tc>
        <w:tc>
          <w:tcPr>
            <w:tcW w:type="dxa" w:w="25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300 de 300</w:t>
            </w:r>
          </w:p>
        </w:tc>
      </w:tr>
    </w:tbl>
    <w:p>
      <w:pPr>
        <w:spacing w:after="0"/>
      </w:pPr>
    </w:p>
    <w:p>
      <w:r>
        <w:rPr>
          <w:b w:val="0"/>
        </w:rPr>
        <w:t>“Cercanos” significa una diferencia máxima permitida de 0.5%. Si la base mensual suma Q100 millones, se acepta una diferencia de hasta Q500,000. La mayor diferencia observada en los archivos nuevos fue 0.181%, menor que ese límite. No estamos diciendo que todos los totales sean exactamente iguales.</w:t>
      </w:r>
    </w:p>
    <w:p>
      <w:r>
        <w:rPr>
          <w:b w:val="0"/>
        </w:rPr>
        <w:t>Para esos mismos 14 ministerios y todos los años juntos, el gasto total cambia −0.23% y el gasto en personal −0.12%. Son cambios pequeños en el total, pero la corrección de los programas puede cambiar los resultados del análisis de planilla y volatilidad.</w:t>
      </w:r>
    </w:p>
    <w:p>
      <w:r>
        <w:br w:type="page"/>
      </w:r>
    </w:p>
    <w:p>
      <w:pPr>
        <w:pStyle w:val="Heading1"/>
      </w:pPr>
      <w:r>
        <w:t>Qué falta revisar en los nombres</w:t>
      </w:r>
    </w:p>
    <w:p>
      <w:r>
        <w:rPr>
          <w:b w:val="0"/>
        </w:rPr>
        <w:t>Para relacionar la planilla con la volatilidad, debemos reconocer el mismo programa en las dos bases. La columna “Programa_Final” guarda el nombre común que usamos para unirlas. Si esa columna está vacía, el programa puede tener un nombre original perfectamente válido, pero todavía no tiene indicado con qué nombre de nuestra base mensual debe unirse.</w:t>
      </w:r>
    </w:p>
    <w:p>
      <w:pPr>
        <w:pStyle w:val="Heading1"/>
      </w:pPr>
      <w:r>
        <w:t>Un nombre original existe pero falta indicar su equivalente</w:t>
      </w:r>
    </w:p>
    <w:p>
      <w:r>
        <w:rPr>
          <w:b w:val="0"/>
        </w:rPr>
        <w:t>MICIVI, 2010, código 24: “Servicios de Urbanización y Desarrollo de Comunidades Urbanas y Rurales”. La base nueva registra Q104.42 millones, pero deja vacío el nombre común de unión. El problema no es que el programa carezca de nombre: falta establecer su correspondencia con la base mensual.</w:t>
      </w:r>
    </w:p>
    <w:p>
      <w:r>
        <w:rPr>
          <w:b w:val="0"/>
        </w:rPr>
        <w:t>En los ministerios, este es el único programa y año con gasto positivo y esa columna vacía. En Secretarías hay más casos: 502 filas sin el nombre común, de las cuales 461 tienen gasto positivo. Por ejemplo, “Obras sociales”, “Gestión privada presidencial” y “Actividades de bienestar social” aparecen sin ese campo completo en 2014, 2018 y 2025.</w:t>
      </w:r>
    </w:p>
    <w:p>
      <w:pPr>
        <w:pStyle w:val="Heading1"/>
      </w:pPr>
      <w:r>
        <w:t>El total coincide pero los programas no coinciden por separado</w:t>
      </w:r>
    </w:p>
    <w:p>
      <w:r>
        <w:rPr>
          <w:b w:val="0"/>
        </w:rPr>
        <w:t>MIDES 2016 muestra por qué un total puede coincidir aunque los programas no coincidan por separado:</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21"/>
              </w:rPr>
              <w:t>Nombre</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before="40" w:line="240" w:lineRule="auto"/>
              <w:jc w:val="center"/>
            </w:pPr>
            <w:r>
              <w:rPr>
                <w:b/>
                <w:sz w:val="21"/>
              </w:rPr>
              <w:t>Base mensual</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before="40" w:line="240" w:lineRule="auto"/>
              <w:jc w:val="center"/>
            </w:pPr>
            <w:r>
              <w:rPr>
                <w:b/>
                <w:sz w:val="21"/>
              </w:rPr>
              <w:t>Base anual nueva</w:t>
            </w:r>
          </w:p>
        </w:tc>
      </w:tr>
      <w:t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Atención por desastres</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Q2,520,511.08</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Q1,831,550.00</w:t>
            </w:r>
          </w:p>
        </w:tc>
      </w:tr>
      <w:t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Reconstrucción N7</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No aparece con ese nombre</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Q688,961.08</w:t>
            </w:r>
          </w:p>
        </w:tc>
      </w:tr>
      <w:t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Suma de estas filas</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Q2,520,511.08</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Q2,520,511.08</w:t>
            </w:r>
          </w:p>
        </w:tc>
      </w:tr>
    </w:tbl>
    <w:p>
      <w:pPr>
        <w:spacing w:after="0"/>
      </w:pPr>
    </w:p>
    <w:p>
      <w:r>
        <w:rPr>
          <w:b w:val="0"/>
        </w:rPr>
        <w:t>Las sumas son iguales. Esto sugiere que una base agrupa lo que la otra separa. Hay que revisar el código y el registro original antes de decidir cómo unirlos; la igualdad de las sumas no lo demuestra por sí sola.</w:t>
      </w:r>
    </w:p>
    <w:p>
      <w:r>
        <w:rPr>
          <w:b w:val="0"/>
        </w:rPr>
        <w:t>Se identificaron nueve diferencias de este tipo al comparar por nombre: seis en MICIVI 2010, dos en MIDES 2016 y una en MINECO 2004. No son nueve nombres mal escritos comprobados. Son nueve casos donde el monto no coincide bajo el mismo nombre o no hay una contraparte con ese nombre.</w:t>
      </w:r>
    </w:p>
    <w:p>
      <w:pPr>
        <w:pStyle w:val="Heading1"/>
      </w:pPr>
      <w:r>
        <w:t>Qué implica para el estudio</w:t>
      </w:r>
    </w:p>
    <w:p>
      <w:r>
        <w:rPr>
          <w:b w:val="0"/>
        </w:rPr>
        <w:t>Los totales nuevos de los ministerios son mucho más consistentes con la base mensual, pero eso no garantiza que cada monto esté asociado al programa adecuado. Antes de sustituir la versión actual, corresponde completar los nombres comunes faltantes y revisar los nueve casos. Después habrá que recalcular la relación entre gasto en personal y volatilidad.</w:t>
      </w:r>
    </w:p>
    <w:p>
      <w:r>
        <w:rPr>
          <w:b/>
        </w:rPr>
        <w:t>El archivo nuevo de Secretarías aporta información adicional de gasto, pero no está incluido en el consolidado nuevo de los 14 ministerios. Debe incorporarse por separado. No se han sustituido las bases actuales ni recalculado los modelos durante esta revisión.</w:t>
      </w:r>
    </w:p>
    <w:p>
      <w:r>
        <w:rPr>
          <w:b w:val="0"/>
          <w:sz w:val="18"/>
        </w:rPr>
        <w:t>Evidencia: comparación de las 14 bases actuales con los 15 archivos individuales nuevos y el consolidado nuevo. Tablas detalladas en 3_output/2_tables/11_payroll_review. La comprobación contrasta los archivos entre sí; no sustituye la revisión de los reportes originales de SICOIN.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 las nuevas bases de planilla</dc:title>
  <dc:subject>Cambios comprobados y revisión pendiente de nombres de programas</dc:subject>
  <dc:creator>Proyecto ASIES</dc:creator>
  <cp:keywords/>
  <dc:description>generated by python-docx</dc:description>
  <cp:lastModifiedBy/>
  <cp:revision>1</cp:revision>
  <dcterms:created xsi:type="dcterms:W3CDTF">2013-12-23T23:15:00Z</dcterms:created>
  <dcterms:modified xsi:type="dcterms:W3CDTF">2013-12-23T23:15:00Z</dcterms:modified>
  <cp:category/>
</cp:coreProperties>
</file>