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Nueve diferencias de gasto por programa</w:t>
      </w:r>
    </w:p>
    <w:p>
      <w:r>
        <w:rPr>
          <w:b w:val="0"/>
        </w:rPr>
        <w:t>Informe para coautoría · ASIES · 23 de octubre de 2026</w:t>
      </w:r>
    </w:p>
    <w:p>
      <w:r>
        <w:rPr>
          <w:b/>
        </w:rPr>
        <w:t>Las nuevas bases corrigen el uso de una columna incorrecta. Es normal que sus valores sean distintos de los antiguos. Los nueve casos de este informe comparan otra cosa: el gasto total anual de la base nueva frente a la suma del gasto mensual del mismo programa.</w:t>
      </w:r>
    </w:p>
    <w:p>
      <w:r>
        <w:rPr>
          <w:b w:val="0"/>
        </w:rPr>
        <w:t>Ambas cifras deberían ser iguales o cercanas si cubren las mismas actividades y el mismo período. Los montos de estas tablas son el gasto total del programa, no únicamente sus sueldos. Cada diferencia es anual nueva menos suma mensual; una diferencia negativa indica que la anual registra menos.</w:t>
      </w:r>
    </w:p>
    <w:p>
      <w:r>
        <w:rPr>
          <w:b w:val="0"/>
        </w:rPr>
        <w:t>En los 14 ministerios, los totales anuales son cercanos en 300 de 300 comparaciones, con un margen de 0.5%. Por ejemplo, para Q100 millones se admite hasta Q500,000 de diferencia. Eso no garantiza que el dinero esté repartido de la misma manera entre los programas.</w:t>
      </w:r>
    </w:p>
    <w:p>
      <w:pPr>
        <w:pStyle w:val="Heading1"/>
        <w:pageBreakBefore w:val="0"/>
      </w:pPr>
      <w:r>
        <w:t>Los nueve casos que requieren revisión</w:t>
      </w:r>
    </w:p>
    <w:tbl>
      <w:tblPr>
        <w:tblW w:type="auto" w:w="0"/>
        <w:tblLayout w:type="fixed"/>
        <w:tblLook w:firstColumn="1" w:firstRow="1" w:lastColumn="0" w:lastRow="0" w:noHBand="0" w:noVBand="1" w:val="04A0"/>
      </w:tblPr>
      <w:tblGrid>
        <w:gridCol w:w="792"/>
        <w:gridCol w:w="1584"/>
        <w:gridCol w:w="5112"/>
        <w:gridCol w:w="2592"/>
      </w:tblGrid>
      <w:tr>
        <w:trPr>
          <w:cantSplit/>
          <w:tblHeader/>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Caso</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Institución y año</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Nombre abreviado</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Diferencia</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A01</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MICIVI</w:t>
              <w:br/>
              <w:t>2010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Vivienda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Q-43,686,522.04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A02</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MICIVI</w:t>
              <w:br/>
              <w:t>2010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Reconstrucción por tormenta Stan</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Q142,464,366.80</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A03</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MICIVI</w:t>
              <w:br/>
              <w:t>2010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Información sismológica y meteorológica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Q17,259,161.11</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A04</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MICIVI</w:t>
              <w:br/>
              <w:t>2010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Radiodifusión y televisión</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Q-17,259,161.11</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A05</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MICIVI</w:t>
              <w:br/>
              <w:t>2010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Urbanización y mejoramiento de inmuebles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Q43,686,522.04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A06</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MICIVI</w:t>
              <w:br/>
              <w:t>2010</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Desarrollo de la telefonía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Q-187,584,305.44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A07</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MIDES</w:t>
              <w:br/>
              <w:t>2016</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Atención por desastres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Q-688,961.08</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A08</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MIDES</w:t>
              <w:br/>
              <w:t>2016</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Reconstrucción N7</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Sin contraparte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A09</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MINECO</w:t>
              <w:br/>
              <w:t>2004</w:t>
            </w:r>
          </w:p>
        </w:tc>
        <w:tc>
          <w:tcPr>
            <w:tcW w:type="dxa" w:w="51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Servicios registrales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Q187,687.34</w:t>
            </w:r>
          </w:p>
        </w:tc>
      </w:tr>
    </w:tbl>
    <w:p>
      <w:pPr>
        <w:spacing w:after="0" w:line="20" w:lineRule="exact"/>
      </w:pPr>
    </w:p>
    <w:p>
      <w:r>
        <w:rPr>
          <w:b w:val="0"/>
          <w:sz w:val="20"/>
        </w:rPr>
        <w:t>A08 no permite calcular diferencia porque no hay una contraparte con ese nombre en la mensual. No se considera gasto cero. Los nueve son casos pendientes de comprobación, no nueve errores confirmados de la base nueva.</w:t>
      </w:r>
    </w:p>
    <w:p>
      <w:r>
        <w:rPr>
          <w:b w:val="0"/>
          <w:sz w:val="20"/>
        </w:rPr>
        <w:t>La unión entre las bases puede realizarse y estos casos pueden conservarse marcados para revisión. A08 requiere un vínculo aprobado antes de incorporarlo como el mismo programa que otro. Ninguna clasificación se modificó durante esta revisión.</w:t>
      </w:r>
    </w:p>
    <w:p>
      <w:pPr>
        <w:pStyle w:val="Heading1"/>
        <w:pageBreakBefore/>
      </w:pPr>
      <w:r>
        <w:t>MICIVI en 2010</w:t>
      </w:r>
    </w:p>
    <w:p>
      <w:r>
        <w:rPr>
          <w:b w:val="0"/>
        </w:rPr>
        <w:t>En los primeros cuatro casos de esta página, las diferencias se compensan exactamente por pares. Eso ayuda a localizar qué programas revisar juntos.</w:t>
      </w:r>
    </w:p>
    <w:p>
      <w:pPr>
        <w:pStyle w:val="Heading2"/>
      </w:pPr>
      <w:r>
        <w:t>A01 y A05 Vivienda y urbanización</w:t>
      </w:r>
    </w:p>
    <w:tbl>
      <w:tblPr>
        <w:tblW w:type="auto" w:w="0"/>
        <w:tblLayout w:type="fixed"/>
        <w:tblLook w:firstColumn="1" w:firstRow="1" w:lastColumn="0" w:lastRow="0" w:noHBand="0" w:noVBand="1" w:val="04A0"/>
      </w:tblPr>
      <w:tblGrid>
        <w:gridCol w:w="3600"/>
        <w:gridCol w:w="2160"/>
        <w:gridCol w:w="2160"/>
        <w:gridCol w:w="2160"/>
      </w:tblGrid>
      <w:tr>
        <w:trPr>
          <w:cantSplit/>
          <w:tblHeader/>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Programa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Suma mensual</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Anual nueva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Diferencia</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A01 · Desarrollo de la vivienda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Q472,045,844.43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Q428,359,322.39</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Q-43,686,522.04</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A05 · Urbanización y mejoramiento de inmuebles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Q17,287,926.72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Q60,974,448.76</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Q43,686,522.04</w:t>
            </w:r>
          </w:p>
        </w:tc>
      </w:tr>
    </w:tbl>
    <w:p>
      <w:pPr>
        <w:spacing w:after="0" w:line="20" w:lineRule="exact"/>
      </w:pPr>
    </w:p>
    <w:p>
      <w:r>
        <w:rPr>
          <w:b w:val="0"/>
        </w:rPr>
        <w:t>La anual registra Q43,686,522.04 menos en vivienda y exactamente ese monto más en urbanización. Al sumar ambos programas, las dos bases dan el mismo total. Esto sugiere que pueden estar agrupando las actividades de manera distinta; no prueba que una cifra se haya trasladado por error.</w:t>
      </w:r>
    </w:p>
    <w:p>
      <w:r>
        <w:rPr>
          <w:b w:val="0"/>
          <w:sz w:val="20"/>
        </w:rPr>
        <w:t>En la planilla nueva, A01 corresponde al código 19, “Subsidio para la Vivienda Popular”, unido al nombre mensual “Desarrollo de la vivienda”. A05 corresponde al código 20, “Servicios de Legalización y Mejoramiento de Bienes Inmuebles”.</w:t>
      </w:r>
    </w:p>
    <w:p>
      <w:r>
        <w:rPr>
          <w:b w:val="0"/>
        </w:rPr>
        <w:t>Qué revisar: confirmar qué actividades incluye cada código y si las dos bases usan los mismos límites entre vivienda y urbanización. No cambiar los nombres solo para hacer que los totales coincidan.</w:t>
      </w:r>
    </w:p>
    <w:p>
      <w:r>
        <w:rPr>
          <w:b w:val="0"/>
          <w:sz w:val="20"/>
        </w:rPr>
        <w:t>Decisión del equipo: __________________________________________________</w:t>
      </w:r>
    </w:p>
    <w:p>
      <w:pPr>
        <w:pStyle w:val="Heading2"/>
      </w:pPr>
      <w:r>
        <w:t>A03 y A04 Información sismológica y radiodifusión</w:t>
      </w:r>
    </w:p>
    <w:tbl>
      <w:tblPr>
        <w:tblW w:type="auto" w:w="0"/>
        <w:tblLayout w:type="fixed"/>
        <w:tblLook w:firstColumn="1" w:firstRow="1" w:lastColumn="0" w:lastRow="0" w:noHBand="0" w:noVBand="1" w:val="04A0"/>
      </w:tblPr>
      <w:tblGrid>
        <w:gridCol w:w="3600"/>
        <w:gridCol w:w="2160"/>
        <w:gridCol w:w="2160"/>
        <w:gridCol w:w="2160"/>
      </w:tblGrid>
      <w:tr>
        <w:trPr>
          <w:cantSplit/>
          <w:tblHeader/>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Programa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Suma mensual</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Anual nueva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Diferencia</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A03 · Información sismológica, climática, meteorológica e hidrológica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Q32,340,907.87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Q49,600,068.98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Q17,259,161.11</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A04 · Radiodifusión y televisión</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Q25,242,132.38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Q7,982,971.27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Q-17,259,161.11</w:t>
            </w:r>
          </w:p>
        </w:tc>
      </w:tr>
    </w:tbl>
    <w:p>
      <w:pPr>
        <w:spacing w:after="0" w:line="20" w:lineRule="exact"/>
      </w:pPr>
    </w:p>
    <w:p>
      <w:r>
        <w:rPr>
          <w:b w:val="0"/>
        </w:rPr>
        <w:t>La anual registra Q17,259,161.11 más en información sismológica y exactamente ese monto menos en radiodifusión. El total de los dos programas vuelve a coincidir. En la planilla nueva son el código 16, “Servicios Sismológicos, Vulcanológicos, Meteorológicos e Hidrológicos”, y el código 15, “Servicios de Radio y Televisión”.</w:t>
      </w:r>
    </w:p>
    <w:p>
      <w:r>
        <w:rPr>
          <w:b w:val="0"/>
        </w:rPr>
        <w:t>Qué revisar: verificar los códigos 15 y 16 en las fuentes originales y comprobar bajo qué nombre quedó cada registro en la mensual. La compensación exacta es una pista, no una corrección ya demostrada.</w:t>
      </w:r>
    </w:p>
    <w:p>
      <w:r>
        <w:rPr>
          <w:b w:val="0"/>
          <w:sz w:val="20"/>
        </w:rPr>
        <w:t>Decisión del equipo: __________________________________________________</w:t>
      </w:r>
    </w:p>
    <w:p>
      <w:pPr>
        <w:pStyle w:val="Heading1"/>
        <w:pageBreakBefore/>
      </w:pPr>
      <w:r>
        <w:t>Reconstrucción y telefonía en MICIVI</w:t>
      </w:r>
    </w:p>
    <w:p>
      <w:r>
        <w:rPr>
          <w:b w:val="0"/>
        </w:rPr>
        <w:t>A02 y A06, ambos de 2010, no se explican por sí solos. Para entenderlos hace falta mostrar un tercer programa, cuyo nombre de unión fue completado en los últimos archivos. Se incluye como contexto, no como un décimo caso de la lista original.</w:t>
      </w:r>
    </w:p>
    <w:tbl>
      <w:tblPr>
        <w:tblW w:type="auto" w:w="0"/>
        <w:tblLayout w:type="fixed"/>
        <w:tblLook w:firstColumn="1" w:firstRow="1" w:lastColumn="0" w:lastRow="0" w:noHBand="0" w:noVBand="1" w:val="04A0"/>
      </w:tblPr>
      <w:tblGrid>
        <w:gridCol w:w="3600"/>
        <w:gridCol w:w="2160"/>
        <w:gridCol w:w="2160"/>
        <w:gridCol w:w="2160"/>
      </w:tblGrid>
      <w:tr>
        <w:trPr>
          <w:cantSplit/>
          <w:tblHeader/>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Programa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Suma mensual</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Anual nueva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Diferencia</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A02 · Reconstrucción por tormenta tropical Stan</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Q207,782,415.61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Q350,246,782.41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Q142,464,366.80</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A06 · Desarrollo de la telefonía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Q194,283,093.49</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Q6,698,788.05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Q-187,584,305.44</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Contexto · Urbanización y desarrollo de comunidades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Q59,300,123.92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Q104,420,062.56</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Q45,119,938.64</w:t>
            </w:r>
          </w:p>
        </w:tc>
      </w:tr>
    </w:tbl>
    <w:p>
      <w:pPr>
        <w:spacing w:after="0" w:line="20" w:lineRule="exact"/>
      </w:pPr>
    </w:p>
    <w:p>
      <w:r>
        <w:rPr>
          <w:b/>
        </w:rPr>
        <w:t>La anual registra Q142,464,366.80 más en reconstrucción por Stan, Q187,584,305.44 menos en telefonía y Q45,119,938.64 más en urbanización de comunidades. Las tres diferencias suman exactamente cero. Es decir, el total de estos tres programas coincide, aunque su reparto no coincide.</w:t>
      </w:r>
    </w:p>
    <w:p>
      <w:r>
        <w:rPr>
          <w:b w:val="0"/>
        </w:rPr>
        <w:t>Esto refuerza la necesidad de revisar cómo se clasificaron los registros de 2010 en cada base. El monto total no permite decidir cuál distribución es correcta. También puede haber una diferencia en cómo cada fuente delimita las actividades de cada programa.</w:t>
      </w:r>
    </w:p>
    <w:p>
      <w:pPr>
        <w:pStyle w:val="Heading2"/>
      </w:pPr>
      <w:r>
        <w:t>Registros que deben revisarse juntos</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Código en la planilla nueva</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Nombre original</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98</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Programa de Reconstrucción originado por la Tormenta Tropical Stan</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23</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Servicios para el Desarrollo de la Telefonía</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24</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Servicios de Urbanización y Desarrollo de Comunidades Urbanas y Rurales</w:t>
            </w:r>
          </w:p>
        </w:tc>
      </w:tr>
    </w:tbl>
    <w:p>
      <w:pPr>
        <w:spacing w:after="0" w:line="20" w:lineRule="exact"/>
      </w:pPr>
    </w:p>
    <w:p>
      <w:r>
        <w:rPr>
          <w:b w:val="0"/>
        </w:rPr>
        <w:t>La casilla del nombre común del código 24 ya está completa. Por tanto, el problema pendiente aquí no es una casilla vacía: es establecer por qué las mismas actividades parecen estar repartidas de otra forma entre estos nombres.</w:t>
      </w:r>
    </w:p>
    <w:p>
      <w:r>
        <w:rPr>
          <w:b w:val="0"/>
        </w:rPr>
        <w:t>Qué revisar: contrastar los tres códigos con los reportes anuales y con los registros que formaron la base mensual de 2010. Mantener visibles ambos montos hasta documentar qué clasificación corresponde.</w:t>
      </w:r>
    </w:p>
    <w:p>
      <w:r>
        <w:rPr>
          <w:b w:val="0"/>
          <w:sz w:val="20"/>
        </w:rPr>
        <w:t>Decisión del equipo: __________________________________________________</w:t>
      </w:r>
    </w:p>
    <w:p>
      <w:pPr>
        <w:pStyle w:val="Heading1"/>
        <w:pageBreakBefore/>
      </w:pPr>
      <w:r>
        <w:t>MIDES en 2016 y MINECO en 2004</w:t>
      </w:r>
    </w:p>
    <w:p>
      <w:pPr>
        <w:pStyle w:val="Heading2"/>
      </w:pPr>
      <w:r>
        <w:t>A07 y A08 Atención por desastres y Reconstrucción N7</w:t>
      </w:r>
    </w:p>
    <w:tbl>
      <w:tblPr>
        <w:tblW w:type="auto" w:w="0"/>
        <w:tblLayout w:type="fixed"/>
        <w:tblLook w:firstColumn="1" w:firstRow="1" w:lastColumn="0" w:lastRow="0" w:noHBand="0" w:noVBand="1" w:val="04A0"/>
      </w:tblPr>
      <w:tblGrid>
        <w:gridCol w:w="3600"/>
        <w:gridCol w:w="2160"/>
        <w:gridCol w:w="2160"/>
        <w:gridCol w:w="2160"/>
      </w:tblGrid>
      <w:tr>
        <w:trPr>
          <w:cantSplit/>
          <w:tblHeader/>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Programa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Suma mensual</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Anual nueva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Diferencia</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A07 · Atención por desastres naturales y calamidades públicas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Q2,520,511.08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Q1,831,550.00</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Q-688,961.08</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0"/>
              </w:rPr>
              <w:t>A08 · Reconstrucción N7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Sin contraparte</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Q688,961.08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0"/>
              </w:rPr>
              <w:t>Sin contraparte</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Suma de estas filas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Q2,520,511.08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Q2,520,511.08</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Q0.00</w:t>
            </w:r>
          </w:p>
        </w:tc>
      </w:tr>
    </w:tbl>
    <w:p>
      <w:pPr>
        <w:spacing w:after="0" w:line="20" w:lineRule="exact"/>
      </w:pPr>
    </w:p>
    <w:p>
      <w:r>
        <w:rPr>
          <w:b w:val="0"/>
        </w:rPr>
        <w:t>La mensual registra Q2,520,511.08 bajo atención por desastres. La anual reparte exactamente ese total entre atención por desastres y Reconstrucción N7. En la anual son los códigos 94 y 96, respectivamente. La coincidencia sugiere que una fuente agrupa lo que la otra separa; hace falta confirmar que realmente sean las mismas actividades.</w:t>
      </w:r>
    </w:p>
    <w:p>
      <w:r>
        <w:rPr>
          <w:b w:val="0"/>
        </w:rPr>
        <w:t>Qué revisar: comprobar si el código 96 está incluido dentro de atención por desastres en la mensual. Si corresponde unirlos, dejar constancia de la regla; si deben permanecer separados, no forzar un vínculo y señalar la falta de una contraparte para N7.</w:t>
      </w:r>
    </w:p>
    <w:p>
      <w:r>
        <w:rPr>
          <w:b w:val="0"/>
          <w:sz w:val="20"/>
        </w:rPr>
        <w:t>Decisión del equipo: __________________________________________________</w:t>
      </w:r>
    </w:p>
    <w:p>
      <w:pPr>
        <w:pStyle w:val="Heading2"/>
      </w:pPr>
      <w:r>
        <w:t>A09 Servicios registrales en MINECO</w:t>
      </w:r>
    </w:p>
    <w:tbl>
      <w:tblPr>
        <w:tblW w:type="auto" w:w="0"/>
        <w:tblLayout w:type="fixed"/>
        <w:tblLook w:firstColumn="1" w:firstRow="1" w:lastColumn="0" w:lastRow="0" w:noHBand="0" w:noVBand="1" w:val="04A0"/>
      </w:tblPr>
      <w:tblGrid>
        <w:gridCol w:w="3600"/>
        <w:gridCol w:w="2160"/>
        <w:gridCol w:w="2160"/>
        <w:gridCol w:w="2160"/>
      </w:tblGrid>
      <w:tr>
        <w:trPr>
          <w:cantSplit/>
          <w:tblHeader/>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0"/>
              </w:rPr>
              <w:t>Programa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Suma mensual</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Anual nueva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0"/>
              </w:rPr>
              <w:t>Diferencia</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0"/>
              </w:rPr>
              <w:t>A09 · Servicios registrales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Q12,723,906.87</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Q12,911,594.21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0"/>
              </w:rPr>
              <w:t>Q187,687.34</w:t>
            </w:r>
          </w:p>
        </w:tc>
      </w:tr>
    </w:tbl>
    <w:p>
      <w:pPr>
        <w:spacing w:after="0" w:line="20" w:lineRule="exact"/>
      </w:pPr>
    </w:p>
    <w:p>
      <w:r>
        <w:rPr>
          <w:b w:val="0"/>
        </w:rPr>
        <w:t>La anual registra Q187,687.34 más, una diferencia de 1.48% respecto de la mensual. El código de la planilla nueva es 11, “Servicios Registrales”. Aquí no se ha identificado otro programa que compense exactamente esa diferencia. No hay evidencia suficiente para atribuirla a un nombre incorrecto.</w:t>
      </w:r>
    </w:p>
    <w:p>
      <w:r>
        <w:rPr>
          <w:b w:val="0"/>
        </w:rPr>
        <w:t>Qué revisar: comparar la suma de los meses con el total anual de 2004 y revisar alcance, ajustes o registros faltantes. Este caso puede ser una diferencia contable o de cobertura, no de etiquetas.</w:t>
      </w:r>
    </w:p>
    <w:p>
      <w:r>
        <w:rPr>
          <w:b w:val="0"/>
          <w:sz w:val="20"/>
        </w:rPr>
        <w:t>Decisión del equipo: __________________________________________________</w:t>
      </w:r>
    </w:p>
    <w:p>
      <w:r>
        <w:rPr>
          <w:b/>
        </w:rPr>
        <w:t>Conclusión para decidir: se puede continuar con la unión y conservar los casos pendientes marcados. La coincidencia del total de un grupo no autoriza a cambiar sus nombres ni sus montos. Cada cambio requiere una comprobación y una regla documentada.</w:t>
      </w:r>
    </w:p>
    <w:p>
      <w:r>
        <w:rPr>
          <w:b w:val="0"/>
          <w:sz w:val="18"/>
        </w:rPr>
        <w:t>Fuente: últimos quince archivos individuales de planilla y base mensual consolidada del proyecto. Evidencia: carpeta 3_output/2_tables/13_payroll_harmonization_check; casos originales A01–A09. Los reportes originales de SICOIN siguen siendo la referencia para resolver las decisiones. No se cambiaron fuentes, enlaces ni modelos.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Comparación de gasto por programa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Nueve diferencias de gasto por programa</dc:title>
  <dc:subject>Comparación explicada del gasto anual nuevo con la suma mensual</dc:subject>
  <dc:creator>Proyecto ASIES</dc:creator>
  <cp:keywords/>
  <dc:description>generated by python-docx</dc:description>
  <cp:lastModifiedBy/>
  <cp:revision>1</cp:revision>
  <dcterms:created xsi:type="dcterms:W3CDTF">2013-12-23T23:15:00Z</dcterms:created>
  <dcterms:modified xsi:type="dcterms:W3CDTF">2013-12-23T23:15:00Z</dcterms:modified>
  <cp:category/>
</cp:coreProperties>
</file>