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eastAsia="Arial"/>
          <w:b/>
          <w:color w:val="2F75B5"/>
          <w:sz w:val="30"/>
        </w:rPr>
        <w:t>SBOM ANALYZER</w:t>
      </w:r>
    </w:p>
    <w:p>
      <w:pPr>
        <w:spacing w:before="360" w:after="288"/>
        <w:jc w:val="center"/>
      </w:pPr>
      <w:r>
        <w:rPr>
          <w:rFonts w:ascii="Arial" w:hAnsi="Arial" w:eastAsia="Arial"/>
          <w:b/>
          <w:color w:val="1F4E79"/>
          <w:sz w:val="48"/>
        </w:rPr>
        <w:t>SBOM Analyzer — SSD Document Package Register</w:t>
      </w:r>
    </w:p>
    <w:p>
      <w:pPr>
        <w:jc w:val="center"/>
      </w:pPr>
      <w:r>
        <w:rPr>
          <w:rFonts w:ascii="Arial" w:hAnsi="Arial" w:eastAsia="Arial"/>
          <w:b/>
          <w:color w:val="667085"/>
          <w:sz w:val="22"/>
        </w:rPr>
        <w:t>Controlled Document Register</w:t>
      </w:r>
    </w:p>
    <w:p/>
    <w:tbl>
      <w:tblPr>
        <w:tblW w:type="auto" w:w="0"/>
        <w:jc w:val="center"/>
        <w:tblLayout w:type="fixed"/>
        <w:tblLook w:firstColumn="1" w:firstRow="1" w:lastColumn="0" w:lastRow="0" w:noHBand="0" w:noVBand="1" w:val="04A0"/>
      </w:tblPr>
      <w:tblGrid>
        <w:gridCol w:w="4975"/>
        <w:gridCol w:w="4975"/>
      </w:tblGrid>
      <w:tr>
        <w:tc>
          <w:tcPr>
            <w:tcW w:type="dxa" w:w="2376"/>
            <w:shd w:fill="D9EAF7"/>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b/>
                <w:color w:val="1F2937"/>
                <w:sz w:val="18"/>
              </w:rPr>
              <w:t>System</w:t>
            </w:r>
          </w:p>
        </w:tc>
        <w:tc>
          <w:tcPr>
            <w:tcW w:type="dxa" w:w="6552"/>
            <w:shd w:fill="FFFFFF"/>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color w:val="1F2937"/>
                <w:sz w:val="18"/>
              </w:rPr>
              <w:t>SBOM Vulnerability Analysis Platform for Medical Devices</w:t>
            </w:r>
          </w:p>
        </w:tc>
      </w:tr>
      <w:tr>
        <w:tc>
          <w:tcPr>
            <w:tcW w:type="dxa" w:w="2376"/>
            <w:shd w:fill="D9EAF7"/>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b/>
                <w:color w:val="1F2937"/>
                <w:sz w:val="18"/>
              </w:rPr>
              <w:t>Doc ID</w:t>
            </w:r>
          </w:p>
        </w:tc>
        <w:tc>
          <w:tcPr>
            <w:tcW w:type="dxa" w:w="6552"/>
            <w:shd w:fill="FFFFFF"/>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color w:val="1F2937"/>
                <w:sz w:val="18"/>
              </w:rPr>
              <w:t>SBOM-DOC-002-REG</w:t>
            </w:r>
          </w:p>
        </w:tc>
      </w:tr>
      <w:tr>
        <w:tc>
          <w:tcPr>
            <w:tcW w:type="dxa" w:w="2376"/>
            <w:shd w:fill="D9EAF7"/>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b/>
                <w:color w:val="1F2937"/>
                <w:sz w:val="18"/>
              </w:rPr>
              <w:t>Release Date</w:t>
            </w:r>
          </w:p>
        </w:tc>
        <w:tc>
          <w:tcPr>
            <w:tcW w:type="dxa" w:w="6552"/>
            <w:shd w:fill="FFFFFF"/>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color w:val="1F2937"/>
                <w:sz w:val="18"/>
              </w:rPr>
              <w:t>07-Jul-2026</w:t>
            </w:r>
          </w:p>
        </w:tc>
      </w:tr>
      <w:tr>
        <w:tc>
          <w:tcPr>
            <w:tcW w:type="dxa" w:w="2376"/>
            <w:shd w:fill="D9EAF7"/>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b/>
                <w:color w:val="1F2937"/>
                <w:sz w:val="18"/>
              </w:rPr>
              <w:t>Revision</w:t>
            </w:r>
          </w:p>
        </w:tc>
        <w:tc>
          <w:tcPr>
            <w:tcW w:type="dxa" w:w="6552"/>
            <w:shd w:fill="FFFFFF"/>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color w:val="1F2937"/>
                <w:sz w:val="18"/>
              </w:rPr>
              <w:t>1.0</w:t>
            </w:r>
          </w:p>
        </w:tc>
      </w:tr>
      <w:tr>
        <w:tc>
          <w:tcPr>
            <w:tcW w:type="dxa" w:w="2376"/>
            <w:shd w:fill="D9EAF7"/>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b/>
                <w:color w:val="1F2937"/>
                <w:sz w:val="18"/>
              </w:rPr>
              <w:t>Status</w:t>
            </w:r>
          </w:p>
        </w:tc>
        <w:tc>
          <w:tcPr>
            <w:tcW w:type="dxa" w:w="6552"/>
            <w:shd w:fill="FFFFFF"/>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color w:val="1F2937"/>
                <w:sz w:val="18"/>
              </w:rPr>
              <w:t>SSD Package Register</w:t>
            </w:r>
          </w:p>
        </w:tc>
      </w:tr>
      <w:tr>
        <w:tc>
          <w:tcPr>
            <w:tcW w:type="dxa" w:w="2376"/>
            <w:shd w:fill="D9EAF7"/>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b/>
                <w:color w:val="1F2937"/>
                <w:sz w:val="18"/>
              </w:rPr>
              <w:t>Prepared By</w:t>
            </w:r>
          </w:p>
        </w:tc>
        <w:tc>
          <w:tcPr>
            <w:tcW w:type="dxa" w:w="6552"/>
            <w:shd w:fill="FFFFFF"/>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color w:val="1F2937"/>
                <w:sz w:val="18"/>
              </w:rPr>
              <w:t>Feroze</w:t>
            </w:r>
          </w:p>
        </w:tc>
      </w:tr>
    </w:tbl>
    <w:p>
      <w:pPr>
        <w:spacing w:before="720"/>
        <w:jc w:val="center"/>
      </w:pPr>
      <w:r>
        <w:rPr>
          <w:rFonts w:ascii="Arial" w:hAnsi="Arial" w:eastAsia="Arial"/>
          <w:b/>
          <w:color w:val="1F4E79"/>
          <w:sz w:val="20"/>
        </w:rPr>
        <w:t>HCL CONFIDENTIAL</w:t>
      </w:r>
    </w:p>
    <w:p>
      <w:pPr>
        <w:jc w:val="center"/>
      </w:pPr>
      <w:r>
        <w:rPr>
          <w:rFonts w:ascii="Arial" w:hAnsi="Arial" w:eastAsia="Arial"/>
          <w:i/>
          <w:color w:val="667085"/>
          <w:sz w:val="17"/>
        </w:rPr>
        <w:t>For internal review and controlled distribution only</w:t>
      </w:r>
    </w:p>
    <w:p>
      <w:r>
        <w:br w:type="page"/>
      </w:r>
    </w:p>
    <w:p>
      <w:pPr>
        <w:pStyle w:val="Heading1"/>
      </w:pPr>
      <w:r>
        <w:t>1. Package Purpose</w:t>
      </w:r>
    </w:p>
    <w:p>
      <w:r>
        <w:t>This register defines the controlled Word-document set for the SBOM Analyzer Software System Design (SSD). The master SSD follows the requested 17-section structure. Detailed inventories are maintained as companion documents to keep the master readable while retaining full implementation, API, configuration, data, verification, and decision traceability.</w:t>
      </w:r>
    </w:p>
    <w:p>
      <w:pPr>
        <w:pStyle w:val="Heading1"/>
      </w:pPr>
      <w:r>
        <w:t>2. Controlled Documents</w:t>
      </w:r>
    </w:p>
    <w:tbl>
      <w:tblPr>
        <w:tblW w:type="auto" w:w="0"/>
        <w:jc w:val="center"/>
        <w:tblLayout w:type="fixed"/>
        <w:tblLook w:firstColumn="1" w:firstRow="1" w:lastColumn="0" w:lastRow="0" w:noHBand="0" w:noVBand="1" w:val="04A0"/>
      </w:tblPr>
      <w:tblGrid>
        <w:gridCol w:w="3317"/>
        <w:gridCol w:w="3317"/>
        <w:gridCol w:w="3317"/>
      </w:tblGrid>
      <w:tr>
        <w:trPr>
          <w:tblHeader w:val="true"/>
        </w:trPr>
        <w:tc>
          <w:tcPr>
            <w:tcW w:type="dxa" w:w="3744"/>
            <w:shd w:fill="1F4E79"/>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b/>
                <w:color w:val="FFFFFF"/>
                <w:sz w:val="17"/>
              </w:rPr>
              <w:t>File Name</w:t>
            </w:r>
          </w:p>
        </w:tc>
        <w:tc>
          <w:tcPr>
            <w:tcW w:type="dxa" w:w="2304"/>
            <w:shd w:fill="1F4E79"/>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b/>
                <w:color w:val="FFFFFF"/>
                <w:sz w:val="17"/>
              </w:rPr>
              <w:t>Document Role</w:t>
            </w:r>
          </w:p>
        </w:tc>
        <w:tc>
          <w:tcPr>
            <w:tcW w:type="dxa" w:w="4320"/>
            <w:shd w:fill="1F4E79"/>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b/>
                <w:color w:val="FFFFFF"/>
                <w:sz w:val="17"/>
              </w:rPr>
              <w:t>Primary Content</w:t>
            </w:r>
          </w:p>
        </w:tc>
      </w:tr>
      <w:tr>
        <w:tc>
          <w:tcPr>
            <w:tcW w:type="dxa" w:w="3744"/>
            <w:shd w:fill="FFFFFF"/>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SBOM_Analyzer_SSD_Master.docx</w:t>
            </w:r>
          </w:p>
        </w:tc>
        <w:tc>
          <w:tcPr>
            <w:tcW w:type="dxa" w:w="2304"/>
            <w:shd w:fill="FFFFFF"/>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Master SSD</w:t>
            </w:r>
          </w:p>
        </w:tc>
        <w:tc>
          <w:tcPr>
            <w:tcW w:type="dxa" w:w="4320"/>
            <w:shd w:fill="FFFFFF"/>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Sections 1–17: architecture, interfaces, security, functional blocks, data, maintenance, support, standards and glossary.</w:t>
            </w:r>
          </w:p>
        </w:tc>
      </w:tr>
      <w:tr>
        <w:tc>
          <w:tcPr>
            <w:tcW w:type="dxa" w:w="3744"/>
            <w:shd w:fill="EDF4FA"/>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SBOM_Analyzer_SSD_API_Inventory.docx</w:t>
            </w:r>
          </w:p>
        </w:tc>
        <w:tc>
          <w:tcPr>
            <w:tcW w:type="dxa" w:w="2304"/>
            <w:shd w:fill="EDF4FA"/>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API companion</w:t>
            </w:r>
          </w:p>
        </w:tc>
        <w:tc>
          <w:tcPr>
            <w:tcW w:type="dxa" w:w="4320"/>
            <w:shd w:fill="EDF4FA"/>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Complete REST/SSE endpoint contracts, authentication, validation, pagination and error behavior.</w:t>
            </w:r>
          </w:p>
        </w:tc>
      </w:tr>
      <w:tr>
        <w:tc>
          <w:tcPr>
            <w:tcW w:type="dxa" w:w="3744"/>
            <w:shd w:fill="FFFFFF"/>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SBOM_Analyzer_SSD_Data_Dictionary.docx</w:t>
            </w:r>
          </w:p>
        </w:tc>
        <w:tc>
          <w:tcPr>
            <w:tcW w:type="dxa" w:w="2304"/>
            <w:shd w:fill="FFFFFF"/>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Data companion</w:t>
            </w:r>
          </w:p>
        </w:tc>
        <w:tc>
          <w:tcPr>
            <w:tcW w:type="dxa" w:w="4320"/>
            <w:shd w:fill="FFFFFF"/>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All database tables, columns, constraints, indexes, relationships, migrations and schema checks.</w:t>
            </w:r>
          </w:p>
        </w:tc>
      </w:tr>
      <w:tr>
        <w:tc>
          <w:tcPr>
            <w:tcW w:type="dxa" w:w="3744"/>
            <w:shd w:fill="EDF4FA"/>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SBOM_Analyzer_SSD_Configuration_Reference.docx</w:t>
            </w:r>
          </w:p>
        </w:tc>
        <w:tc>
          <w:tcPr>
            <w:tcW w:type="dxa" w:w="2304"/>
            <w:shd w:fill="EDF4FA"/>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Configuration companion</w:t>
            </w:r>
          </w:p>
        </w:tc>
        <w:tc>
          <w:tcPr>
            <w:tcW w:type="dxa" w:w="4320"/>
            <w:shd w:fill="EDF4FA"/>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Environment variables, feature flags, consumers, secrets classification and restart semantics.</w:t>
            </w:r>
          </w:p>
        </w:tc>
      </w:tr>
      <w:tr>
        <w:tc>
          <w:tcPr>
            <w:tcW w:type="dxa" w:w="3744"/>
            <w:shd w:fill="FFFFFF"/>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SBOM_Analyzer_SSD_Implementation_Traceability.docx</w:t>
            </w:r>
          </w:p>
        </w:tc>
        <w:tc>
          <w:tcPr>
            <w:tcW w:type="dxa" w:w="2304"/>
            <w:shd w:fill="FFFFFF"/>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Implementation traceability</w:t>
            </w:r>
          </w:p>
        </w:tc>
        <w:tc>
          <w:tcPr>
            <w:tcW w:type="dxa" w:w="4320"/>
            <w:shd w:fill="FFFFFF"/>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Mapping from SSD design topics to code, routes, models, tests and implementation status.</w:t>
            </w:r>
          </w:p>
        </w:tc>
      </w:tr>
      <w:tr>
        <w:tc>
          <w:tcPr>
            <w:tcW w:type="dxa" w:w="3744"/>
            <w:shd w:fill="EDF4FA"/>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SBOM_Analyzer_SSD_Test_Traceability.docx</w:t>
            </w:r>
          </w:p>
        </w:tc>
        <w:tc>
          <w:tcPr>
            <w:tcW w:type="dxa" w:w="2304"/>
            <w:shd w:fill="EDF4FA"/>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Verification traceability</w:t>
            </w:r>
          </w:p>
        </w:tc>
        <w:tc>
          <w:tcPr>
            <w:tcW w:type="dxa" w:w="4320"/>
            <w:shd w:fill="EDF4FA"/>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Backend/frontend test inventory, design-to-test mapping and verification gaps.</w:t>
            </w:r>
          </w:p>
        </w:tc>
      </w:tr>
      <w:tr>
        <w:tc>
          <w:tcPr>
            <w:tcW w:type="dxa" w:w="3744"/>
            <w:shd w:fill="FFFFFF"/>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SBOM_Analyzer_SSD_Open_Questions.docx</w:t>
            </w:r>
          </w:p>
        </w:tc>
        <w:tc>
          <w:tcPr>
            <w:tcW w:type="dxa" w:w="2304"/>
            <w:shd w:fill="FFFFFF"/>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Decision log</w:t>
            </w:r>
          </w:p>
        </w:tc>
        <w:tc>
          <w:tcPr>
            <w:tcW w:type="dxa" w:w="4320"/>
            <w:shd w:fill="FFFFFF"/>
            <w:tcMar>
              <w:top w:w="60" w:type="dxa"/>
              <w:start w:w="75" w:type="dxa"/>
              <w:bottom w:w="60" w:type="dxa"/>
              <w:end w:w="75" w:type="dxa"/>
            </w:tcMar>
            <w:tcBorders>
              <w:top w:val="single" w:sz="4" w:color="B8C4CE"/>
              <w:left w:val="single" w:sz="4" w:color="B8C4CE"/>
              <w:bottom w:val="single" w:sz="4" w:color="B8C4CE"/>
              <w:right w:val="single" w:sz="4" w:color="B8C4CE"/>
            </w:tcBorders>
          </w:tcPr>
          <w:p>
            <w:r/>
            <w:r>
              <w:rPr>
                <w:rFonts w:ascii="Arial" w:hAnsi="Arial" w:eastAsia="Arial"/>
                <w:color w:val="1F2937"/>
                <w:sz w:val="16"/>
              </w:rPr>
              <w:t>Unresolved requirements, security gaps, operational risks, owners and stakeholder decisions.</w:t>
            </w:r>
          </w:p>
        </w:tc>
      </w:tr>
    </w:tbl>
    <w:p>
      <w:pPr>
        <w:pStyle w:val="Heading1"/>
      </w:pPr>
      <w:r>
        <w:t>3. Structure Compliance</w:t>
      </w:r>
    </w:p>
    <w:p>
      <w:pPr>
        <w:pStyle w:val="ListNumber"/>
      </w:pPr>
      <w:r>
        <w:t>Introduction</w:t>
      </w:r>
    </w:p>
    <w:p>
      <w:pPr>
        <w:pStyle w:val="ListNumber"/>
      </w:pPr>
      <w:r>
        <w:t>Reference Documents</w:t>
      </w:r>
    </w:p>
    <w:p>
      <w:pPr>
        <w:pStyle w:val="ListNumber"/>
      </w:pPr>
      <w:r>
        <w:t>Functional Description of the System</w:t>
      </w:r>
    </w:p>
    <w:p>
      <w:pPr>
        <w:pStyle w:val="ListNumber"/>
      </w:pPr>
      <w:r>
        <w:t>Alternate Design Methods Considered</w:t>
      </w:r>
    </w:p>
    <w:p>
      <w:pPr>
        <w:pStyle w:val="ListNumber"/>
      </w:pPr>
      <w:r>
        <w:t>Software Architecture Description</w:t>
      </w:r>
    </w:p>
    <w:p>
      <w:pPr>
        <w:pStyle w:val="ListNumber"/>
      </w:pPr>
      <w:r>
        <w:t>OS Features</w:t>
      </w:r>
    </w:p>
    <w:p>
      <w:pPr>
        <w:pStyle w:val="ListNumber"/>
      </w:pPr>
      <w:r>
        <w:t>Hardware &amp; Software Platforms</w:t>
      </w:r>
    </w:p>
    <w:p>
      <w:pPr>
        <w:pStyle w:val="ListNumber"/>
      </w:pPr>
      <w:r>
        <w:t>Interface Description</w:t>
      </w:r>
    </w:p>
    <w:p>
      <w:pPr>
        <w:pStyle w:val="ListNumber"/>
      </w:pPr>
      <w:r>
        <w:t>Security Features and Threat Mitigation</w:t>
      </w:r>
    </w:p>
    <w:p>
      <w:pPr>
        <w:pStyle w:val="ListNumber"/>
      </w:pPr>
      <w:r>
        <w:t>Individual Functional Block Explanation</w:t>
      </w:r>
    </w:p>
    <w:p>
      <w:pPr>
        <w:pStyle w:val="ListNumber"/>
      </w:pPr>
      <w:r>
        <w:t>Data Management Features</w:t>
      </w:r>
    </w:p>
    <w:p>
      <w:pPr>
        <w:pStyle w:val="ListNumber"/>
      </w:pPr>
      <w:r>
        <w:t>Interoperability Features</w:t>
      </w:r>
    </w:p>
    <w:p>
      <w:pPr>
        <w:pStyle w:val="ListNumber"/>
      </w:pPr>
      <w:r>
        <w:t>Maintenance Features</w:t>
      </w:r>
    </w:p>
    <w:p>
      <w:pPr>
        <w:pStyle w:val="ListNumber"/>
      </w:pPr>
      <w:r>
        <w:t>Security Features (module level)</w:t>
      </w:r>
    </w:p>
    <w:p>
      <w:pPr>
        <w:pStyle w:val="ListNumber"/>
      </w:pPr>
      <w:r>
        <w:t>Product Support</w:t>
      </w:r>
    </w:p>
    <w:p>
      <w:pPr>
        <w:pStyle w:val="ListNumber"/>
      </w:pPr>
      <w:r>
        <w:t>Standards</w:t>
      </w:r>
    </w:p>
    <w:p>
      <w:pPr>
        <w:pStyle w:val="ListNumber"/>
      </w:pPr>
      <w:r>
        <w:t>Appendix / Glossary</w:t>
      </w:r>
    </w:p>
    <w:p>
      <w:pPr>
        <w:pStyle w:val="Heading1"/>
      </w:pPr>
      <w:r>
        <w:t>4. Document Status</w:t>
      </w:r>
    </w:p>
    <w:p>
      <w:r>
        <w:t>The package preserves all known implementation gaps and stakeholder decisions as explicit open questions. Items marked TBD, Planned, Partially Implemented, Not Implemented, or Unable to Confirm must not be interpreted as completed functionality.</w:t>
      </w:r>
    </w:p>
    <w:sectPr w:rsidR="00FC693F" w:rsidRPr="0006063C" w:rsidSect="00034616">
      <w:headerReference w:type="default" r:id="rId9"/>
      <w:footerReference w:type="default" r:id="rId10"/>
      <w:pgSz w:w="11909" w:h="16834"/>
      <w:pgMar w:top="936"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color w:val="667085"/>
        <w:sz w:val="15"/>
      </w:rPr>
      <w:t>SBOM Analyzer Design Documentation</w:t>
    </w:r>
  </w:p>
  <w:p>
    <w:pPr>
      <w:jc w:val="right"/>
    </w:pPr>
    <w:r>
      <w:rPr>
        <w:sz w:val="16"/>
      </w:rPr>
      <w:t xml:space="preserve">Page </w:t>
      <w:fldChar w:fldCharType="begin"/>
      <w:instrText xml:space="preserve"> PAGE </w:instrText>
      <w:fldChar w:fldCharType="end"/>
    </w:r>
    <w:r>
      <w:rPr>
        <w:sz w:val="16"/>
      </w:rP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67085"/>
        <w:sz w:val="15"/>
      </w:rPr>
      <w:t>SBOM Analyzer SSD  |  HCL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eastAsia="Arial"/>
      <w:b/>
      <w:bCs/>
      <w:i/>
      <w:iCs/>
      <w:color w:val="1F4E79"/>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Arial" w:hAnsi="Arial" w:eastAsia="Arial"/>
      <w:b/>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173" w:right="173"/>
    </w:pPr>
    <w:rPr>
      <w:rFonts w:ascii="Consolas" w:hAnsi="Consolas" w:eastAsia="Consolas"/>
      <w:sz w:val="14"/>
    </w:rPr>
  </w:style>
  <w:style w:type="paragraph" w:customStyle="1" w:styleId="TableText">
    <w:name w:val="Table Text"/>
    <w:pPr>
      <w:spacing w:after="0" w:line="240" w:lineRule="auto"/>
    </w:pPr>
    <w:rPr>
      <w:rFonts w:ascii="Arial" w:hAnsi="Arial" w:eastAsia="Arial"/>
      <w:sz w:val="15"/>
    </w:rPr>
  </w:style>
  <w:style w:type="paragraph" w:customStyle="1" w:styleId="TOCEntry">
    <w:name w:val="TOC Entry"/>
    <w:pPr>
      <w:spacing w:after="20"/>
    </w:pPr>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